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8D" w:rsidRDefault="00A1708D" w:rsidP="00A1708D">
      <w:pPr>
        <w:tabs>
          <w:tab w:val="left" w:pos="-720"/>
          <w:tab w:val="left" w:pos="0"/>
          <w:tab w:val="left" w:pos="558"/>
          <w:tab w:val="left" w:pos="1098"/>
          <w:tab w:val="left" w:pos="1638"/>
          <w:tab w:val="left" w:pos="1818"/>
          <w:tab w:val="left" w:pos="3438"/>
        </w:tabs>
        <w:ind w:left="360"/>
        <w:jc w:val="both"/>
        <w:rPr>
          <w:b/>
          <w:sz w:val="22"/>
          <w:szCs w:val="22"/>
        </w:rPr>
      </w:pPr>
      <w:bookmarkStart w:id="0" w:name="_GoBack"/>
      <w:bookmarkEnd w:id="0"/>
    </w:p>
    <w:p w:rsidR="006C03F0" w:rsidRPr="00A1708D" w:rsidRDefault="008006E1" w:rsidP="00A1708D">
      <w:pPr>
        <w:tabs>
          <w:tab w:val="left" w:pos="-720"/>
          <w:tab w:val="left" w:pos="0"/>
          <w:tab w:val="left" w:pos="558"/>
          <w:tab w:val="left" w:pos="1098"/>
          <w:tab w:val="left" w:pos="1638"/>
          <w:tab w:val="left" w:pos="1818"/>
          <w:tab w:val="left" w:pos="3438"/>
        </w:tabs>
        <w:ind w:left="360"/>
        <w:jc w:val="both"/>
        <w:rPr>
          <w:b/>
          <w:sz w:val="22"/>
          <w:szCs w:val="22"/>
        </w:rPr>
      </w:pPr>
      <w:r>
        <w:rPr>
          <w:b/>
          <w:sz w:val="22"/>
          <w:szCs w:val="22"/>
        </w:rPr>
        <w:t xml:space="preserve">1.0 </w:t>
      </w:r>
      <w:r w:rsidR="006C03F0" w:rsidRPr="00A1708D">
        <w:rPr>
          <w:b/>
          <w:sz w:val="22"/>
          <w:szCs w:val="22"/>
        </w:rPr>
        <w:t>Purpose</w:t>
      </w:r>
    </w:p>
    <w:p w:rsidR="006C03F0" w:rsidRPr="00D523BC" w:rsidRDefault="00D523BC" w:rsidP="006C03F0">
      <w:pPr>
        <w:pStyle w:val="ListParagraph"/>
        <w:tabs>
          <w:tab w:val="left" w:pos="-720"/>
          <w:tab w:val="left" w:pos="0"/>
          <w:tab w:val="left" w:pos="558"/>
          <w:tab w:val="left" w:pos="1098"/>
          <w:tab w:val="left" w:pos="1638"/>
          <w:tab w:val="left" w:pos="1818"/>
          <w:tab w:val="left" w:pos="3438"/>
        </w:tabs>
        <w:ind w:left="360"/>
        <w:jc w:val="both"/>
      </w:pPr>
      <w:r>
        <w:t>Human chorionic gonadotropin (hCG) is a glycoprotein hormone produced by the developing placenta shortly after fertilization.  In normal pregnancy, hCG can be detected in both urine and serum as early as 7 to 10 days after conception.</w:t>
      </w:r>
      <w:r>
        <w:rPr>
          <w:vertAlign w:val="superscript"/>
        </w:rPr>
        <w:t xml:space="preserve">(1-4) </w:t>
      </w:r>
      <w:r>
        <w:t>hCG levels continue to rise very rapidly, frequently exceeding 100mIU/mL by the first missed menstrual period,</w:t>
      </w:r>
      <w:r>
        <w:rPr>
          <w:vertAlign w:val="superscript"/>
        </w:rPr>
        <w:t xml:space="preserve">(2-4) </w:t>
      </w:r>
      <w:r>
        <w:t>and peaking in the 100,000-200,000mIU/mL range about 10-12 weeks into pregnancy.  The appearance of hCG in both urine and serum soon after conception, and its subsequent rapid rise in concentration during early gestational growth, make it an excellent marker for the early detection of pregnancy.</w:t>
      </w:r>
    </w:p>
    <w:p w:rsidR="006C03F0" w:rsidRDefault="006C03F0" w:rsidP="006C03F0">
      <w:pPr>
        <w:pStyle w:val="ListParagraph"/>
        <w:tabs>
          <w:tab w:val="left" w:pos="-720"/>
          <w:tab w:val="left" w:pos="0"/>
          <w:tab w:val="left" w:pos="558"/>
          <w:tab w:val="left" w:pos="1098"/>
          <w:tab w:val="left" w:pos="1638"/>
          <w:tab w:val="left" w:pos="1818"/>
          <w:tab w:val="left" w:pos="3438"/>
        </w:tabs>
        <w:ind w:left="360"/>
        <w:jc w:val="both"/>
      </w:pPr>
    </w:p>
    <w:p w:rsidR="00A1708D" w:rsidRDefault="00A1708D" w:rsidP="006C03F0">
      <w:pPr>
        <w:pStyle w:val="ListParagraph"/>
        <w:tabs>
          <w:tab w:val="left" w:pos="-720"/>
          <w:tab w:val="left" w:pos="0"/>
          <w:tab w:val="left" w:pos="558"/>
          <w:tab w:val="left" w:pos="1098"/>
          <w:tab w:val="left" w:pos="1638"/>
          <w:tab w:val="left" w:pos="1818"/>
          <w:tab w:val="left" w:pos="3438"/>
        </w:tabs>
        <w:ind w:left="360"/>
        <w:jc w:val="both"/>
        <w:rPr>
          <w:b/>
        </w:rPr>
      </w:pPr>
    </w:p>
    <w:p w:rsidR="00A1708D" w:rsidRDefault="00A1708D" w:rsidP="006C03F0">
      <w:pPr>
        <w:pStyle w:val="ListParagraph"/>
        <w:tabs>
          <w:tab w:val="left" w:pos="-720"/>
          <w:tab w:val="left" w:pos="0"/>
          <w:tab w:val="left" w:pos="558"/>
          <w:tab w:val="left" w:pos="1098"/>
          <w:tab w:val="left" w:pos="1638"/>
          <w:tab w:val="left" w:pos="1818"/>
          <w:tab w:val="left" w:pos="3438"/>
        </w:tabs>
        <w:ind w:left="360"/>
        <w:jc w:val="both"/>
        <w:rPr>
          <w:b/>
        </w:rPr>
      </w:pPr>
    </w:p>
    <w:p w:rsidR="006C03F0" w:rsidRDefault="006C03F0" w:rsidP="006C03F0">
      <w:pPr>
        <w:pStyle w:val="ListParagraph"/>
        <w:tabs>
          <w:tab w:val="left" w:pos="-720"/>
          <w:tab w:val="left" w:pos="0"/>
          <w:tab w:val="left" w:pos="558"/>
          <w:tab w:val="left" w:pos="1098"/>
          <w:tab w:val="left" w:pos="1638"/>
          <w:tab w:val="left" w:pos="1818"/>
          <w:tab w:val="left" w:pos="3438"/>
        </w:tabs>
        <w:ind w:left="360"/>
        <w:jc w:val="both"/>
        <w:rPr>
          <w:b/>
        </w:rPr>
      </w:pPr>
      <w:r>
        <w:rPr>
          <w:b/>
        </w:rPr>
        <w:t>2.0 Principle</w:t>
      </w:r>
    </w:p>
    <w:p w:rsidR="006C03F0" w:rsidRPr="00880142" w:rsidRDefault="006C03F0" w:rsidP="00F123F7">
      <w:pPr>
        <w:pStyle w:val="Heading1"/>
        <w:ind w:left="360"/>
        <w:jc w:val="both"/>
        <w:rPr>
          <w:rFonts w:ascii="Times New Roman" w:hAnsi="Times New Roman" w:cs="Times New Roman"/>
          <w:b w:val="0"/>
          <w:sz w:val="24"/>
          <w:szCs w:val="24"/>
        </w:rPr>
      </w:pPr>
      <w:r w:rsidRPr="00880142">
        <w:rPr>
          <w:rFonts w:ascii="Times New Roman" w:hAnsi="Times New Roman" w:cs="Times New Roman"/>
          <w:b w:val="0"/>
          <w:sz w:val="24"/>
          <w:szCs w:val="24"/>
        </w:rPr>
        <w:t xml:space="preserve">Sure-Vue® Serum/Urine hCG is a rapid </w:t>
      </w:r>
      <w:r w:rsidR="00F123F7" w:rsidRPr="00880142">
        <w:rPr>
          <w:rFonts w:ascii="Times New Roman" w:hAnsi="Times New Roman" w:cs="Times New Roman"/>
          <w:b w:val="0"/>
          <w:sz w:val="24"/>
          <w:szCs w:val="24"/>
        </w:rPr>
        <w:t>chromatographic immunoassay for the qualitative detection of human chorionic gonadotropin (hCG) in serum or urine to aid in the early detection of pregnancy.  The test utilizes a combination of antibodies including mouse monoclonal anti-hCG antibodies and goat polyclonal anti-hCG antibodies to selectively detect elevated levels of hCG.  The assay is conducted by adding serum or urine specimen to the specimen well of the test device and observing the formation of colored lines.  The specimen migrates via capillary action along the membrane to react with the colored conjugate.  Positive specimens react with the specific colored antibody conjugates and form a colored line at the test line region of the membrane.  Absence of this colored line suggests a negative result.  To serve as a procedural control, a colored line will always appear at the control line region if the test has been performed properly.</w:t>
      </w:r>
    </w:p>
    <w:p w:rsidR="007931F3" w:rsidRDefault="007931F3" w:rsidP="007931F3">
      <w:pPr>
        <w:ind w:firstLine="360"/>
      </w:pPr>
      <w:r>
        <w:t xml:space="preserve"> </w:t>
      </w:r>
    </w:p>
    <w:p w:rsidR="00A1708D" w:rsidRDefault="00A1708D" w:rsidP="007931F3">
      <w:pPr>
        <w:ind w:firstLine="360"/>
        <w:rPr>
          <w:b/>
        </w:rPr>
      </w:pPr>
    </w:p>
    <w:p w:rsidR="00A1708D" w:rsidRDefault="00A1708D" w:rsidP="007931F3">
      <w:pPr>
        <w:ind w:firstLine="360"/>
        <w:rPr>
          <w:b/>
        </w:rPr>
      </w:pPr>
    </w:p>
    <w:p w:rsidR="007931F3" w:rsidRDefault="007931F3" w:rsidP="007931F3">
      <w:pPr>
        <w:ind w:firstLine="360"/>
        <w:rPr>
          <w:b/>
        </w:rPr>
      </w:pPr>
      <w:r>
        <w:rPr>
          <w:b/>
        </w:rPr>
        <w:t>3.0 Specimen</w:t>
      </w:r>
    </w:p>
    <w:p w:rsidR="002A3B82" w:rsidRDefault="002A3B82" w:rsidP="007931F3">
      <w:pPr>
        <w:ind w:firstLine="360"/>
        <w:rPr>
          <w:b/>
        </w:rPr>
      </w:pPr>
    </w:p>
    <w:p w:rsidR="007931F3" w:rsidRDefault="007931F3" w:rsidP="007931F3">
      <w:pPr>
        <w:ind w:left="360"/>
      </w:pPr>
      <w:r>
        <w:t>Urine:  The urine specimen must be collected into a clean, dry container, either plastic or glass.  Specimens collected at random may be used; however, the first morning urine generally contains the highest concentration of hormone.  A urine sample exhibiting visible precipitates should be filtered, centrifuged, or allowed to settle (obtaining clear aliquots) before testing.</w:t>
      </w:r>
    </w:p>
    <w:p w:rsidR="007931F3" w:rsidRDefault="007931F3" w:rsidP="007931F3">
      <w:pPr>
        <w:ind w:left="360"/>
      </w:pPr>
    </w:p>
    <w:p w:rsidR="007931F3" w:rsidRDefault="007931F3" w:rsidP="007931F3">
      <w:pPr>
        <w:ind w:left="360"/>
      </w:pPr>
      <w:r>
        <w:t xml:space="preserve"> Serum:  Blood should be collected aseptically into a clean tube without anticoagulants.  Separate the serum from blood as soon as possible to avoid hemolysis.  Use clear non-hemolyzed specimens when possible.</w:t>
      </w:r>
    </w:p>
    <w:p w:rsidR="007931F3" w:rsidRDefault="007931F3" w:rsidP="007931F3">
      <w:pPr>
        <w:ind w:left="360"/>
      </w:pPr>
    </w:p>
    <w:p w:rsidR="00A1708D" w:rsidRPr="00E460D3" w:rsidRDefault="007931F3" w:rsidP="00E460D3">
      <w:pPr>
        <w:ind w:left="360"/>
      </w:pPr>
      <w:r>
        <w:t>Specimen Storage:  Serum or urine sp</w:t>
      </w:r>
      <w:r w:rsidR="00D06C7A">
        <w:t>ecimen may be stored at 2-8ºC f</w:t>
      </w:r>
      <w:r>
        <w:t>o</w:t>
      </w:r>
      <w:r w:rsidR="00D06C7A">
        <w:t>r</w:t>
      </w:r>
      <w:r>
        <w:t xml:space="preserve"> up to 48 hours prior to testing.  For prolonged storage, specimens may be frozen and stored below -20ºC.  Frozen specimens should be thawed and mixed before testing.</w:t>
      </w:r>
    </w:p>
    <w:p w:rsidR="006F5CE9" w:rsidRDefault="006F5CE9" w:rsidP="007931F3">
      <w:pPr>
        <w:ind w:left="360"/>
        <w:rPr>
          <w:b/>
        </w:rPr>
      </w:pPr>
    </w:p>
    <w:p w:rsidR="007931F3" w:rsidRDefault="007931F3" w:rsidP="007931F3">
      <w:pPr>
        <w:ind w:left="360"/>
        <w:rPr>
          <w:b/>
        </w:rPr>
      </w:pPr>
      <w:r>
        <w:rPr>
          <w:b/>
        </w:rPr>
        <w:lastRenderedPageBreak/>
        <w:t xml:space="preserve">4.0 </w:t>
      </w:r>
      <w:r w:rsidR="00FE67E6">
        <w:rPr>
          <w:b/>
        </w:rPr>
        <w:t>Equipment</w:t>
      </w:r>
    </w:p>
    <w:p w:rsidR="007931F3" w:rsidRDefault="007931F3" w:rsidP="007931F3">
      <w:pPr>
        <w:ind w:left="360"/>
      </w:pPr>
    </w:p>
    <w:p w:rsidR="007931F3" w:rsidRDefault="007931F3" w:rsidP="00D77739">
      <w:pPr>
        <w:ind w:left="720"/>
      </w:pPr>
      <w:r>
        <w:t>4.1 The test device contains anti-hCG particles and ant</w:t>
      </w:r>
      <w:r w:rsidR="00D77739">
        <w:t>i-hCG coated on the membrane</w:t>
      </w:r>
    </w:p>
    <w:p w:rsidR="00FE67E6" w:rsidRDefault="00FE67E6" w:rsidP="00FE67E6">
      <w:pPr>
        <w:ind w:left="360" w:firstLine="360"/>
      </w:pPr>
      <w:r>
        <w:tab/>
        <w:t xml:space="preserve">4.1.1 Store as packaged in the sealed pouch at 2-30ºC.  </w:t>
      </w:r>
    </w:p>
    <w:p w:rsidR="00FE67E6" w:rsidRDefault="00FE67E6" w:rsidP="00FE67E6">
      <w:pPr>
        <w:ind w:left="360" w:firstLine="360"/>
      </w:pPr>
      <w:r>
        <w:tab/>
        <w:t>4.1.2 The test device is stable through the expiration date printed on the sealed pouch.</w:t>
      </w:r>
    </w:p>
    <w:p w:rsidR="00FE67E6" w:rsidRDefault="00FE67E6" w:rsidP="00FE67E6">
      <w:pPr>
        <w:ind w:left="360" w:firstLine="360"/>
      </w:pPr>
      <w:r>
        <w:tab/>
        <w:t>4.1.3 The test devic</w:t>
      </w:r>
      <w:r w:rsidR="004D4DB1">
        <w:t>e</w:t>
      </w:r>
      <w:r>
        <w:t xml:space="preserve"> must remain in the sealed pouch until use.</w:t>
      </w:r>
    </w:p>
    <w:p w:rsidR="00FE67E6" w:rsidRDefault="00FE67E6" w:rsidP="00FE67E6">
      <w:pPr>
        <w:ind w:left="360" w:firstLine="360"/>
      </w:pPr>
      <w:r>
        <w:tab/>
        <w:t>4.1.4 Do Not Freeze</w:t>
      </w:r>
    </w:p>
    <w:p w:rsidR="007931F3" w:rsidRDefault="00FE67E6" w:rsidP="001D5CE4">
      <w:pPr>
        <w:ind w:left="360" w:firstLine="360"/>
      </w:pPr>
      <w:r>
        <w:tab/>
        <w:t xml:space="preserve">4.1.5 Do not </w:t>
      </w:r>
      <w:r w:rsidR="001D5CE4">
        <w:t xml:space="preserve">use beyond the expiration </w:t>
      </w:r>
      <w:r>
        <w:t>date.</w:t>
      </w:r>
    </w:p>
    <w:p w:rsidR="001D5CE4" w:rsidRDefault="001D5CE4" w:rsidP="001D5CE4">
      <w:pPr>
        <w:ind w:left="360" w:firstLine="360"/>
      </w:pPr>
    </w:p>
    <w:p w:rsidR="007931F3" w:rsidRDefault="001D5CE4" w:rsidP="007931F3">
      <w:pPr>
        <w:ind w:left="360" w:firstLine="360"/>
      </w:pPr>
      <w:r>
        <w:t>4.2</w:t>
      </w:r>
      <w:r w:rsidR="007931F3">
        <w:t xml:space="preserve"> Disposable specimen droppers</w:t>
      </w:r>
    </w:p>
    <w:p w:rsidR="001D5CE4" w:rsidRDefault="001D5CE4" w:rsidP="007931F3">
      <w:pPr>
        <w:ind w:left="360" w:firstLine="360"/>
      </w:pPr>
    </w:p>
    <w:p w:rsidR="00D77739" w:rsidRDefault="00D77739" w:rsidP="007931F3">
      <w:pPr>
        <w:ind w:left="360" w:firstLine="360"/>
        <w:rPr>
          <w:sz w:val="22"/>
          <w:szCs w:val="22"/>
        </w:rPr>
      </w:pPr>
      <w:r>
        <w:t>4.</w:t>
      </w:r>
      <w:r w:rsidR="001D5CE4">
        <w:t xml:space="preserve">3 </w:t>
      </w:r>
      <w:r w:rsidR="001D5CE4">
        <w:rPr>
          <w:sz w:val="22"/>
          <w:szCs w:val="22"/>
        </w:rPr>
        <w:t xml:space="preserve">Sure-Vue® Serum and </w:t>
      </w:r>
      <w:r w:rsidR="001D5CE4" w:rsidRPr="001D5CE4">
        <w:rPr>
          <w:sz w:val="22"/>
          <w:szCs w:val="22"/>
        </w:rPr>
        <w:t>Urine hCG</w:t>
      </w:r>
      <w:r w:rsidR="001D5CE4">
        <w:rPr>
          <w:sz w:val="22"/>
          <w:szCs w:val="22"/>
        </w:rPr>
        <w:t xml:space="preserve"> Control Sets include both positive and negative controls</w:t>
      </w:r>
    </w:p>
    <w:p w:rsidR="001D5CE4" w:rsidRDefault="001D5CE4" w:rsidP="007931F3">
      <w:pPr>
        <w:ind w:left="360" w:firstLine="360"/>
        <w:rPr>
          <w:sz w:val="22"/>
          <w:szCs w:val="22"/>
        </w:rPr>
      </w:pPr>
      <w:r>
        <w:rPr>
          <w:sz w:val="22"/>
          <w:szCs w:val="22"/>
        </w:rPr>
        <w:tab/>
        <w:t>4.3.1 Sure-Vue® hCG controls are stored refrigerated (2º-8ºC) for the duration of the shelf-life.</w:t>
      </w:r>
    </w:p>
    <w:p w:rsidR="001D5CE4" w:rsidRDefault="001D5CE4" w:rsidP="007931F3">
      <w:pPr>
        <w:ind w:left="360" w:firstLine="360"/>
        <w:rPr>
          <w:sz w:val="22"/>
          <w:szCs w:val="22"/>
        </w:rPr>
      </w:pPr>
      <w:r>
        <w:rPr>
          <w:sz w:val="22"/>
          <w:szCs w:val="22"/>
        </w:rPr>
        <w:tab/>
        <w:t>4.3.2 Controls must be equilibrated to room temperature (15º-30ºC) before use.</w:t>
      </w:r>
    </w:p>
    <w:p w:rsidR="005B253D" w:rsidRDefault="001D5CE4" w:rsidP="007931F3">
      <w:pPr>
        <w:ind w:left="360" w:firstLine="360"/>
        <w:rPr>
          <w:sz w:val="22"/>
          <w:szCs w:val="22"/>
        </w:rPr>
      </w:pPr>
      <w:r>
        <w:rPr>
          <w:sz w:val="22"/>
          <w:szCs w:val="22"/>
        </w:rPr>
        <w:tab/>
        <w:t xml:space="preserve">4.3.3 Controls are liquid ready to use.  No dilution is required. </w:t>
      </w:r>
    </w:p>
    <w:p w:rsidR="001D5CE4" w:rsidRDefault="005B253D" w:rsidP="005B253D">
      <w:pPr>
        <w:ind w:left="1440"/>
        <w:rPr>
          <w:sz w:val="22"/>
          <w:szCs w:val="22"/>
        </w:rPr>
      </w:pPr>
      <w:r>
        <w:rPr>
          <w:sz w:val="22"/>
          <w:szCs w:val="22"/>
        </w:rPr>
        <w:t>4.3.4 Do not use controls if they are cloudy or if precipitates are observed in the vials.  This may be an indication of reagent instability or deterioration.</w:t>
      </w:r>
      <w:r w:rsidR="001D5CE4">
        <w:rPr>
          <w:sz w:val="22"/>
          <w:szCs w:val="22"/>
        </w:rPr>
        <w:t xml:space="preserve"> </w:t>
      </w:r>
    </w:p>
    <w:p w:rsidR="005B253D" w:rsidRDefault="005B253D" w:rsidP="005B253D">
      <w:pPr>
        <w:ind w:left="1440"/>
        <w:rPr>
          <w:sz w:val="22"/>
          <w:szCs w:val="22"/>
        </w:rPr>
      </w:pPr>
      <w:r>
        <w:rPr>
          <w:sz w:val="22"/>
          <w:szCs w:val="22"/>
        </w:rPr>
        <w:t>4.3.5 Do not use beyond expiration date.</w:t>
      </w:r>
    </w:p>
    <w:p w:rsidR="001D5CE4" w:rsidRDefault="001D5CE4" w:rsidP="007931F3">
      <w:pPr>
        <w:ind w:left="360" w:firstLine="360"/>
      </w:pPr>
      <w:r>
        <w:rPr>
          <w:sz w:val="22"/>
          <w:szCs w:val="22"/>
        </w:rPr>
        <w:tab/>
      </w:r>
    </w:p>
    <w:p w:rsidR="00FE67E6" w:rsidRDefault="00FE67E6" w:rsidP="007931F3">
      <w:pPr>
        <w:ind w:left="360" w:firstLine="360"/>
        <w:rPr>
          <w:b/>
        </w:rPr>
      </w:pPr>
      <w:r>
        <w:rPr>
          <w:b/>
        </w:rPr>
        <w:t>5.0 Calibration: None</w:t>
      </w:r>
    </w:p>
    <w:p w:rsidR="00FE67E6" w:rsidRDefault="00FE67E6" w:rsidP="007931F3">
      <w:pPr>
        <w:ind w:left="360" w:firstLine="360"/>
        <w:rPr>
          <w:b/>
        </w:rPr>
      </w:pPr>
    </w:p>
    <w:p w:rsidR="00FE67E6" w:rsidRDefault="00FE67E6" w:rsidP="007931F3">
      <w:pPr>
        <w:ind w:left="360" w:firstLine="360"/>
        <w:rPr>
          <w:b/>
        </w:rPr>
      </w:pPr>
      <w:r>
        <w:rPr>
          <w:b/>
        </w:rPr>
        <w:t>6.0 Quality Control</w:t>
      </w:r>
    </w:p>
    <w:p w:rsidR="005B253D" w:rsidRDefault="005B253D" w:rsidP="007931F3">
      <w:pPr>
        <w:ind w:left="360" w:firstLine="360"/>
        <w:rPr>
          <w:b/>
        </w:rPr>
      </w:pPr>
    </w:p>
    <w:p w:rsidR="005B253D" w:rsidRDefault="005B253D" w:rsidP="005B253D">
      <w:pPr>
        <w:ind w:left="720"/>
      </w:pPr>
      <w:r w:rsidRPr="005B253D">
        <w:t>Internal procedural controls are included in the test.  A red line</w:t>
      </w:r>
      <w:r>
        <w:t xml:space="preserve"> appearing in the control region is the internal procedural control.  It confirms sufficient specimen volume and correct procedural technique.  A clear background is an internal negative background control.  If the test is working properly, the background in the result area should be white to light pink and not interfere with the ability to read the test result.</w:t>
      </w:r>
    </w:p>
    <w:p w:rsidR="005B253D" w:rsidRDefault="005B253D" w:rsidP="005B253D">
      <w:pPr>
        <w:ind w:left="720"/>
      </w:pPr>
    </w:p>
    <w:p w:rsidR="004D4DB1" w:rsidRDefault="005B253D" w:rsidP="005B253D">
      <w:pPr>
        <w:ind w:left="720"/>
      </w:pPr>
      <w:r w:rsidRPr="00E24697">
        <w:t>Positive</w:t>
      </w:r>
      <w:r w:rsidR="004D4DB1" w:rsidRPr="00E24697">
        <w:t xml:space="preserve"> (25 mIU/mL)</w:t>
      </w:r>
      <w:r w:rsidRPr="00E24697">
        <w:t xml:space="preserve"> and negative serum </w:t>
      </w:r>
      <w:r w:rsidR="00917B3E" w:rsidRPr="00E24697">
        <w:t xml:space="preserve">and urine </w:t>
      </w:r>
      <w:r w:rsidRPr="00E24697">
        <w:t xml:space="preserve">controls </w:t>
      </w:r>
      <w:r w:rsidR="009848AA" w:rsidRPr="00E24697">
        <w:t xml:space="preserve">are performed </w:t>
      </w:r>
      <w:r w:rsidR="004D4DB1" w:rsidRPr="00E24697">
        <w:t>and recorded</w:t>
      </w:r>
      <w:r w:rsidR="003E250C">
        <w:t xml:space="preserve"> </w:t>
      </w:r>
      <w:r w:rsidR="003E250C" w:rsidRPr="003E250C">
        <w:rPr>
          <w:highlight w:val="yellow"/>
        </w:rPr>
        <w:t>for each new box of test kits opened</w:t>
      </w:r>
      <w:r w:rsidR="00F000BC">
        <w:t xml:space="preserve"> </w:t>
      </w:r>
      <w:r w:rsidR="00F000BC" w:rsidRPr="00F000BC">
        <w:rPr>
          <w:highlight w:val="yellow"/>
        </w:rPr>
        <w:t>and at least once a month if the same box is still in use to due to low test volume.</w:t>
      </w:r>
      <w:r w:rsidR="00F000BC">
        <w:t xml:space="preserve"> </w:t>
      </w:r>
      <w:r w:rsidR="004D4DB1" w:rsidRPr="00E24697">
        <w:t xml:space="preserve"> </w:t>
      </w:r>
      <w:r w:rsidR="009848AA" w:rsidRPr="003E250C">
        <w:rPr>
          <w:strike/>
          <w:highlight w:val="yellow"/>
        </w:rPr>
        <w:t>daily by the day shift</w:t>
      </w:r>
      <w:r w:rsidR="009848AA" w:rsidRPr="00F000BC">
        <w:rPr>
          <w:strike/>
          <w:highlight w:val="yellow"/>
        </w:rPr>
        <w:t xml:space="preserve">. </w:t>
      </w:r>
      <w:r w:rsidR="00C07E73" w:rsidRPr="00F000BC">
        <w:rPr>
          <w:strike/>
          <w:highlight w:val="yellow"/>
        </w:rPr>
        <w:t xml:space="preserve">At Elkins Park Quality Control is only performed </w:t>
      </w:r>
      <w:r w:rsidR="00CF12AC" w:rsidRPr="00F000BC">
        <w:rPr>
          <w:strike/>
          <w:highlight w:val="yellow"/>
        </w:rPr>
        <w:t xml:space="preserve">once daily </w:t>
      </w:r>
      <w:r w:rsidR="00C07E73" w:rsidRPr="00F000BC">
        <w:rPr>
          <w:strike/>
          <w:highlight w:val="yellow"/>
        </w:rPr>
        <w:t>whe</w:t>
      </w:r>
      <w:r w:rsidR="00CF12AC" w:rsidRPr="00F000BC">
        <w:rPr>
          <w:strike/>
          <w:highlight w:val="yellow"/>
        </w:rPr>
        <w:t>n a patient specimen is received.</w:t>
      </w:r>
      <w:r w:rsidR="00C07E73">
        <w:t xml:space="preserve"> </w:t>
      </w:r>
      <w:r w:rsidR="00A867CC">
        <w:t xml:space="preserve">Quality Control should be recorded on CH04-002 Form </w:t>
      </w:r>
      <w:r w:rsidR="0065013C">
        <w:t>A</w:t>
      </w:r>
      <w:r w:rsidR="00700937">
        <w:t>2</w:t>
      </w:r>
      <w:r w:rsidR="0065013C">
        <w:t xml:space="preserve"> and </w:t>
      </w:r>
      <w:r w:rsidR="00A867CC">
        <w:t>B</w:t>
      </w:r>
      <w:r w:rsidR="00700937">
        <w:t>2</w:t>
      </w:r>
      <w:r w:rsidR="00A867CC">
        <w:t xml:space="preserve"> daily.</w:t>
      </w:r>
      <w:r w:rsidR="009848AA">
        <w:t xml:space="preserve"> </w:t>
      </w:r>
      <w:r w:rsidR="009848AA" w:rsidRPr="008A2401">
        <w:t>Positive</w:t>
      </w:r>
      <w:r w:rsidR="004D4DB1" w:rsidRPr="008A2401">
        <w:t xml:space="preserve"> (25 mIU/mL)</w:t>
      </w:r>
      <w:r w:rsidR="009848AA" w:rsidRPr="008A2401">
        <w:t xml:space="preserve"> and negative urine</w:t>
      </w:r>
      <w:r w:rsidR="00404B00" w:rsidRPr="008A2401">
        <w:t xml:space="preserve">/serum </w:t>
      </w:r>
      <w:r w:rsidR="009848AA" w:rsidRPr="008A2401">
        <w:t xml:space="preserve">controls are performed </w:t>
      </w:r>
      <w:r w:rsidR="004D4DB1" w:rsidRPr="008A2401">
        <w:t>on each new lot number or shipment of test devices.</w:t>
      </w:r>
      <w:r w:rsidR="006F5CE9">
        <w:t xml:space="preserve"> </w:t>
      </w:r>
    </w:p>
    <w:p w:rsidR="004D4DB1" w:rsidRPr="00722AA3" w:rsidRDefault="004D4DB1" w:rsidP="005B253D">
      <w:pPr>
        <w:ind w:left="720"/>
        <w:rPr>
          <w:color w:val="FF0000"/>
        </w:rPr>
      </w:pPr>
    </w:p>
    <w:p w:rsidR="004D4DB1" w:rsidRDefault="004D4DB1" w:rsidP="005B253D">
      <w:pPr>
        <w:ind w:left="720"/>
        <w:rPr>
          <w:b/>
        </w:rPr>
      </w:pPr>
      <w:r>
        <w:rPr>
          <w:b/>
        </w:rPr>
        <w:t>7.0 Procedure</w:t>
      </w:r>
    </w:p>
    <w:p w:rsidR="004D4DB1" w:rsidRDefault="004D4DB1" w:rsidP="005B253D">
      <w:pPr>
        <w:ind w:left="720"/>
        <w:rPr>
          <w:b/>
        </w:rPr>
      </w:pPr>
    </w:p>
    <w:p w:rsidR="004D4DB1" w:rsidRDefault="004D4DB1" w:rsidP="004D4DB1">
      <w:pPr>
        <w:tabs>
          <w:tab w:val="num" w:pos="1260"/>
          <w:tab w:val="left" w:pos="1800"/>
        </w:tabs>
        <w:ind w:left="1440"/>
        <w:jc w:val="both"/>
        <w:rPr>
          <w:sz w:val="22"/>
        </w:rPr>
      </w:pPr>
      <w:r w:rsidRPr="00565498">
        <w:rPr>
          <w:u w:val="single"/>
        </w:rPr>
        <w:t>7.1</w:t>
      </w:r>
      <w:r>
        <w:t xml:space="preserve"> </w:t>
      </w:r>
      <w:r>
        <w:rPr>
          <w:sz w:val="22"/>
        </w:rPr>
        <w:t>Remove test device from pouch.  Place on flat surface.  Label with patient or control    identification.</w:t>
      </w:r>
    </w:p>
    <w:p w:rsidR="004B240C" w:rsidRDefault="004D4DB1" w:rsidP="004D4DB1">
      <w:pPr>
        <w:tabs>
          <w:tab w:val="num" w:pos="1260"/>
          <w:tab w:val="left" w:pos="1800"/>
        </w:tabs>
        <w:ind w:left="1440"/>
        <w:jc w:val="both"/>
        <w:rPr>
          <w:sz w:val="22"/>
        </w:rPr>
      </w:pPr>
      <w:r w:rsidRPr="00565498">
        <w:rPr>
          <w:sz w:val="22"/>
          <w:u w:val="single"/>
        </w:rPr>
        <w:t>7.2</w:t>
      </w:r>
      <w:r>
        <w:rPr>
          <w:sz w:val="22"/>
        </w:rPr>
        <w:t xml:space="preserve"> Hold the dropper vertically and transfer 3 full drops of serum or urine (approximately 100µl)</w:t>
      </w:r>
      <w:r w:rsidR="00237F5F">
        <w:rPr>
          <w:sz w:val="22"/>
        </w:rPr>
        <w:t xml:space="preserve"> to the specimen we</w:t>
      </w:r>
      <w:r w:rsidR="004B240C">
        <w:rPr>
          <w:sz w:val="22"/>
        </w:rPr>
        <w:t>ll of the test device.  Avoid trapping air bubbles in the specimen well.</w:t>
      </w:r>
    </w:p>
    <w:p w:rsidR="004D4DB1" w:rsidRDefault="004B240C" w:rsidP="004D4DB1">
      <w:pPr>
        <w:tabs>
          <w:tab w:val="num" w:pos="1260"/>
          <w:tab w:val="left" w:pos="1800"/>
        </w:tabs>
        <w:ind w:left="1440"/>
        <w:jc w:val="both"/>
        <w:rPr>
          <w:sz w:val="22"/>
        </w:rPr>
      </w:pPr>
      <w:r w:rsidRPr="00A1708D">
        <w:rPr>
          <w:sz w:val="22"/>
          <w:u w:val="single"/>
        </w:rPr>
        <w:t>7.3</w:t>
      </w:r>
      <w:r>
        <w:rPr>
          <w:sz w:val="22"/>
        </w:rPr>
        <w:t xml:space="preserve"> Wait for the red line(s) to appear.  </w:t>
      </w:r>
      <w:r w:rsidRPr="004B240C">
        <w:rPr>
          <w:b/>
          <w:sz w:val="22"/>
        </w:rPr>
        <w:t>Read the result at 3 minutes when testing a urine specimen, or at 5 minutes when testing a serum specimen</w:t>
      </w:r>
      <w:r w:rsidR="006521A1">
        <w:rPr>
          <w:b/>
          <w:sz w:val="22"/>
        </w:rPr>
        <w:t xml:space="preserve">. </w:t>
      </w:r>
      <w:r w:rsidR="006521A1" w:rsidRPr="009F1B11">
        <w:rPr>
          <w:b/>
          <w:sz w:val="22"/>
        </w:rPr>
        <w:t>Do not interpret results after the appropriate read time.</w:t>
      </w:r>
      <w:r w:rsidR="006521A1">
        <w:rPr>
          <w:b/>
          <w:sz w:val="22"/>
        </w:rPr>
        <w:t xml:space="preserve"> </w:t>
      </w:r>
      <w:r>
        <w:rPr>
          <w:sz w:val="22"/>
        </w:rPr>
        <w:t xml:space="preserve"> It is important that the background is clear before the result is read.</w:t>
      </w:r>
      <w:r w:rsidR="004D4DB1">
        <w:rPr>
          <w:sz w:val="22"/>
        </w:rPr>
        <w:t xml:space="preserve"> </w:t>
      </w:r>
    </w:p>
    <w:p w:rsidR="00A1708D" w:rsidRDefault="00A1708D" w:rsidP="004D4DB1">
      <w:pPr>
        <w:tabs>
          <w:tab w:val="num" w:pos="1260"/>
          <w:tab w:val="left" w:pos="1800"/>
        </w:tabs>
        <w:ind w:left="1440"/>
        <w:jc w:val="both"/>
        <w:rPr>
          <w:sz w:val="22"/>
        </w:rPr>
      </w:pPr>
    </w:p>
    <w:p w:rsidR="005B253D" w:rsidRDefault="005B253D" w:rsidP="005B253D">
      <w:pPr>
        <w:ind w:left="720"/>
      </w:pPr>
    </w:p>
    <w:p w:rsidR="004B240C" w:rsidRDefault="00A1708D" w:rsidP="005B253D">
      <w:pPr>
        <w:ind w:left="720"/>
        <w:rPr>
          <w:b/>
        </w:rPr>
      </w:pPr>
      <w:r>
        <w:rPr>
          <w:b/>
        </w:rPr>
        <w:t>8.0 Interpretation of Result</w:t>
      </w:r>
    </w:p>
    <w:p w:rsidR="00A1708D" w:rsidRDefault="00A1708D" w:rsidP="005B253D">
      <w:pPr>
        <w:ind w:left="720"/>
        <w:rPr>
          <w:b/>
        </w:rPr>
      </w:pPr>
    </w:p>
    <w:p w:rsidR="00A1708D" w:rsidRDefault="00A1708D" w:rsidP="005B253D">
      <w:pPr>
        <w:ind w:left="720"/>
      </w:pPr>
    </w:p>
    <w:p w:rsidR="00A1708D" w:rsidRDefault="00A1708D" w:rsidP="005B253D">
      <w:pPr>
        <w:ind w:left="720"/>
      </w:pPr>
    </w:p>
    <w:p w:rsidR="00A1708D" w:rsidRDefault="00A1708D" w:rsidP="005B253D">
      <w:pPr>
        <w:ind w:left="720"/>
      </w:pPr>
    </w:p>
    <w:p w:rsidR="00A1708D" w:rsidRDefault="00A1708D" w:rsidP="005B253D">
      <w:pPr>
        <w:ind w:left="720"/>
      </w:pPr>
    </w:p>
    <w:p w:rsidR="00A1708D" w:rsidRDefault="00A1708D" w:rsidP="005B253D">
      <w:pPr>
        <w:ind w:left="720"/>
      </w:pPr>
    </w:p>
    <w:p w:rsidR="00A1708D" w:rsidRDefault="00A1708D" w:rsidP="005B253D">
      <w:pPr>
        <w:ind w:left="720"/>
      </w:pPr>
    </w:p>
    <w:p w:rsidR="00E460D3" w:rsidRDefault="00E460D3" w:rsidP="005B253D">
      <w:pPr>
        <w:ind w:left="720"/>
      </w:pPr>
    </w:p>
    <w:p w:rsidR="00A1708D" w:rsidRDefault="00D40534" w:rsidP="00D40534">
      <w:pPr>
        <w:ind w:left="720"/>
        <w:jc w:val="center"/>
      </w:pPr>
      <w:r>
        <w:t>(Please refer to the illustration above)</w:t>
      </w:r>
    </w:p>
    <w:p w:rsidR="004D4DB1" w:rsidRDefault="00D40534" w:rsidP="005B253D">
      <w:pPr>
        <w:ind w:left="720"/>
      </w:pPr>
      <w:r w:rsidRPr="00D40534">
        <w:rPr>
          <w:b/>
        </w:rPr>
        <w:t xml:space="preserve">POSITIVE:* </w:t>
      </w:r>
      <w:r>
        <w:rPr>
          <w:b/>
        </w:rPr>
        <w:t xml:space="preserve">Two distinct red lines appear. </w:t>
      </w:r>
      <w:r>
        <w:t>One line should be in the control region ( C ) and another line should be in the test region ( T ).</w:t>
      </w:r>
    </w:p>
    <w:p w:rsidR="00D40534" w:rsidRDefault="00D40534" w:rsidP="005B253D">
      <w:pPr>
        <w:ind w:left="720"/>
      </w:pPr>
    </w:p>
    <w:p w:rsidR="00D40534" w:rsidRDefault="00D40534" w:rsidP="005B253D">
      <w:pPr>
        <w:ind w:left="720"/>
      </w:pPr>
      <w:r>
        <w:rPr>
          <w:b/>
        </w:rPr>
        <w:t xml:space="preserve">NEGATIVE: One red line appears in the control region ( C ).  </w:t>
      </w:r>
      <w:r>
        <w:t>No apparent red or pink line appears in the test region ( T ).</w:t>
      </w:r>
    </w:p>
    <w:p w:rsidR="00D40534" w:rsidRDefault="00D40534" w:rsidP="005B253D">
      <w:pPr>
        <w:ind w:left="720"/>
      </w:pPr>
    </w:p>
    <w:p w:rsidR="00D40534" w:rsidRDefault="00D40534" w:rsidP="005B253D">
      <w:pPr>
        <w:ind w:left="720"/>
      </w:pPr>
      <w:r>
        <w:rPr>
          <w:b/>
        </w:rPr>
        <w:t xml:space="preserve">INVALID: Control line fails to appear.  </w:t>
      </w:r>
      <w:r>
        <w:t>Insufficient specimen volume or incorrect procedural techniques are the most likely reasons for control line failure.  Review the procedure and repeat the test with a new test device. If the problem persists, discontinue using the test kit immediately and call 1-800-637-3717 for Technical Assistance.</w:t>
      </w:r>
    </w:p>
    <w:p w:rsidR="00D40534" w:rsidRDefault="00D40534" w:rsidP="005B253D">
      <w:pPr>
        <w:ind w:left="720"/>
      </w:pPr>
    </w:p>
    <w:p w:rsidR="00D40534" w:rsidRDefault="00D40534" w:rsidP="005B253D">
      <w:pPr>
        <w:ind w:left="720"/>
      </w:pPr>
      <w:r>
        <w:rPr>
          <w:b/>
        </w:rPr>
        <w:t xml:space="preserve">*NOTE: </w:t>
      </w:r>
      <w:r>
        <w:t>The intensity of the red color in the test line region (T) will vary depending on the concentration of hCG present in the specimen.  However, neither the quantitative value nor the rate of increase in hCG can be determined by this qualitative test.</w:t>
      </w:r>
    </w:p>
    <w:p w:rsidR="00D40534" w:rsidRDefault="00D40534" w:rsidP="005B253D">
      <w:pPr>
        <w:ind w:left="720"/>
      </w:pPr>
    </w:p>
    <w:p w:rsidR="00840945" w:rsidRDefault="00840945" w:rsidP="005B253D">
      <w:pPr>
        <w:ind w:left="720"/>
        <w:rPr>
          <w:b/>
        </w:rPr>
      </w:pPr>
      <w:r>
        <w:rPr>
          <w:b/>
        </w:rPr>
        <w:t>9.0 Reporting Results</w:t>
      </w:r>
    </w:p>
    <w:p w:rsidR="00840945" w:rsidRDefault="00840945" w:rsidP="005B253D">
      <w:pPr>
        <w:ind w:left="720"/>
      </w:pPr>
      <w:r>
        <w:rPr>
          <w:b/>
        </w:rPr>
        <w:tab/>
      </w:r>
      <w:r>
        <w:t>9.1 Results are entered into the LIS</w:t>
      </w:r>
    </w:p>
    <w:p w:rsidR="00840945" w:rsidRDefault="00D17DF6" w:rsidP="005B253D">
      <w:pPr>
        <w:ind w:left="720"/>
      </w:pPr>
      <w:r>
        <w:tab/>
        <w:t xml:space="preserve">9.2 Report as Positive </w:t>
      </w:r>
      <w:r w:rsidR="00840945">
        <w:t>or Negative</w:t>
      </w:r>
    </w:p>
    <w:p w:rsidR="0016395A" w:rsidRDefault="0016395A" w:rsidP="005B253D">
      <w:pPr>
        <w:ind w:left="720"/>
      </w:pPr>
      <w:r>
        <w:tab/>
        <w:t xml:space="preserve">9.3 Patient results should be recorded </w:t>
      </w:r>
      <w:r w:rsidRPr="009F1B11">
        <w:t>on CH04-002 Form C</w:t>
      </w:r>
      <w:r w:rsidR="00880142" w:rsidRPr="009F1B11">
        <w:t>1</w:t>
      </w:r>
    </w:p>
    <w:p w:rsidR="00840945" w:rsidRDefault="00840945" w:rsidP="005B253D">
      <w:pPr>
        <w:ind w:left="720"/>
      </w:pPr>
    </w:p>
    <w:p w:rsidR="00840945" w:rsidRDefault="00840945" w:rsidP="005B253D">
      <w:pPr>
        <w:ind w:left="720"/>
        <w:rPr>
          <w:b/>
        </w:rPr>
      </w:pPr>
      <w:r>
        <w:rPr>
          <w:b/>
        </w:rPr>
        <w:t>10.0 Expected Results</w:t>
      </w:r>
    </w:p>
    <w:p w:rsidR="00840945" w:rsidRDefault="00840945" w:rsidP="005B253D">
      <w:pPr>
        <w:ind w:left="720"/>
        <w:rPr>
          <w:b/>
        </w:rPr>
      </w:pPr>
    </w:p>
    <w:p w:rsidR="00A728D5" w:rsidRDefault="00A728D5" w:rsidP="005B253D">
      <w:pPr>
        <w:ind w:left="720"/>
      </w:pPr>
      <w:r>
        <w:t>Negative results are expected in healthy non-pregnant women and healthy men.  Healthy pregnant women have hCG present in their urine and serum specimens.  The amount of hCG will vary greatly with gestational age and between individuals.  The Sure-Vue®  Serum/Urine hCG has a sensitivity of 25mIU/mL, and is capable of detecting pregnancy as early as 1 day after the first missed menses.</w:t>
      </w:r>
    </w:p>
    <w:p w:rsidR="00A728D5" w:rsidRPr="00A728D5" w:rsidRDefault="00A728D5" w:rsidP="005B253D">
      <w:pPr>
        <w:ind w:left="720"/>
      </w:pPr>
    </w:p>
    <w:p w:rsidR="0004313A" w:rsidRDefault="0004313A" w:rsidP="005B253D">
      <w:pPr>
        <w:ind w:left="720"/>
        <w:rPr>
          <w:b/>
        </w:rPr>
      </w:pPr>
    </w:p>
    <w:p w:rsidR="0004313A" w:rsidRDefault="0004313A" w:rsidP="005B253D">
      <w:pPr>
        <w:ind w:left="720"/>
        <w:rPr>
          <w:b/>
        </w:rPr>
      </w:pPr>
    </w:p>
    <w:p w:rsidR="0004313A" w:rsidRDefault="0004313A" w:rsidP="005B253D">
      <w:pPr>
        <w:ind w:left="720"/>
        <w:rPr>
          <w:b/>
        </w:rPr>
      </w:pPr>
    </w:p>
    <w:p w:rsidR="009F1B11" w:rsidRDefault="009F1B11" w:rsidP="005B253D">
      <w:pPr>
        <w:ind w:left="720"/>
        <w:rPr>
          <w:b/>
        </w:rPr>
      </w:pPr>
    </w:p>
    <w:p w:rsidR="009F1B11" w:rsidRDefault="009F1B11" w:rsidP="005B253D">
      <w:pPr>
        <w:ind w:left="720"/>
        <w:rPr>
          <w:b/>
        </w:rPr>
      </w:pPr>
    </w:p>
    <w:p w:rsidR="009F1B11" w:rsidRDefault="009F1B11" w:rsidP="005B253D">
      <w:pPr>
        <w:ind w:left="720"/>
        <w:rPr>
          <w:b/>
        </w:rPr>
      </w:pPr>
    </w:p>
    <w:p w:rsidR="0004313A" w:rsidRDefault="0004313A" w:rsidP="005B253D">
      <w:pPr>
        <w:ind w:left="720"/>
        <w:rPr>
          <w:b/>
        </w:rPr>
      </w:pPr>
    </w:p>
    <w:p w:rsidR="00D40534" w:rsidRDefault="00A728D5" w:rsidP="005B253D">
      <w:pPr>
        <w:ind w:left="720"/>
        <w:rPr>
          <w:b/>
        </w:rPr>
      </w:pPr>
      <w:r>
        <w:rPr>
          <w:b/>
        </w:rPr>
        <w:t xml:space="preserve">11.0 </w:t>
      </w:r>
      <w:r w:rsidR="00B9207D">
        <w:rPr>
          <w:b/>
        </w:rPr>
        <w:t>Limitations</w:t>
      </w:r>
    </w:p>
    <w:p w:rsidR="00B9207D" w:rsidRDefault="00B9207D" w:rsidP="005B253D">
      <w:pPr>
        <w:ind w:left="720"/>
        <w:rPr>
          <w:b/>
        </w:rPr>
      </w:pPr>
    </w:p>
    <w:p w:rsidR="00B9207D" w:rsidRDefault="00A728D5" w:rsidP="00B9207D">
      <w:pPr>
        <w:ind w:left="1440"/>
      </w:pPr>
      <w:r>
        <w:t>11</w:t>
      </w:r>
      <w:r w:rsidR="00B9207D">
        <w:t>.1 Very dilute urine specimens, as indicated by a low specific gravity, may not contain representative levels of hCG.  If pregnancy is still suspected, a first morning urine specimen should be collected 48 hours later and tested.</w:t>
      </w:r>
    </w:p>
    <w:p w:rsidR="00B9207D" w:rsidRDefault="00A728D5" w:rsidP="00B9207D">
      <w:pPr>
        <w:ind w:left="1440"/>
      </w:pPr>
      <w:r>
        <w:t>11</w:t>
      </w:r>
      <w:r w:rsidR="00565498">
        <w:t xml:space="preserve">.2 </w:t>
      </w:r>
      <w:r w:rsidR="00B9207D">
        <w:t>False negative results may occur when the leve</w:t>
      </w:r>
      <w:r>
        <w:t>ls of hCG are below the sensitiv</w:t>
      </w:r>
      <w:r w:rsidR="00B9207D">
        <w:t>ity level of the test.  When pregnancy is still suspected, a first morning urine specimen should be collected 48 hours later and tested.</w:t>
      </w:r>
    </w:p>
    <w:p w:rsidR="00B9207D" w:rsidRDefault="00A728D5" w:rsidP="00B9207D">
      <w:pPr>
        <w:ind w:left="1440"/>
      </w:pPr>
      <w:r>
        <w:t>11</w:t>
      </w:r>
      <w:r w:rsidR="00B9207D">
        <w:t>.3 As with any assay employing mouse antibodies, the possibility exists for interference by human anti-mouse antibodies (HAMA) in the specimen.  Specimens from patients who have received preparations of monoclonal antibodies for diagnosis or therapy may contain HAMA.  Such specimens may cause false positive or false negative results.</w:t>
      </w:r>
      <w:r w:rsidR="00B9207D">
        <w:tab/>
      </w:r>
    </w:p>
    <w:p w:rsidR="00565498" w:rsidRDefault="009B58FE" w:rsidP="00565498">
      <w:pPr>
        <w:pStyle w:val="ListParagraph"/>
        <w:numPr>
          <w:ilvl w:val="1"/>
          <w:numId w:val="4"/>
        </w:numPr>
        <w:ind w:left="1440" w:firstLine="0"/>
      </w:pPr>
      <w:r>
        <w:t>A number of conditions other than pregnancy, including trophoblastic disease and certain non-trophoblastic neoplasms including testicular tumors, prostate cancer, breast cancer, and lung cancer, cause elevated levels of hCG.</w:t>
      </w:r>
      <w:r w:rsidRPr="00565498">
        <w:rPr>
          <w:vertAlign w:val="superscript"/>
        </w:rPr>
        <w:t xml:space="preserve">(6-7) </w:t>
      </w:r>
      <w:r>
        <w:t>Therefore, the presence of hCG in a serum or urine specimen should not be used to diagnose pregnancy unless these conditions have been ruled out.</w:t>
      </w:r>
    </w:p>
    <w:p w:rsidR="00565498" w:rsidRPr="00565498" w:rsidRDefault="00565498" w:rsidP="00565498">
      <w:pPr>
        <w:pStyle w:val="ListParagraph"/>
        <w:numPr>
          <w:ilvl w:val="1"/>
          <w:numId w:val="4"/>
        </w:numPr>
        <w:ind w:left="1440" w:firstLine="0"/>
      </w:pPr>
      <w:r>
        <w:t xml:space="preserve"> </w:t>
      </w:r>
      <w:r w:rsidRPr="00565498">
        <w:rPr>
          <w:sz w:val="22"/>
        </w:rPr>
        <w:t>Detectable levels of hCG may remain following normal pregnancy and delivery, or spontaneous or therapeutic abortion.</w:t>
      </w:r>
    </w:p>
    <w:p w:rsidR="00565498" w:rsidRPr="00565498" w:rsidRDefault="00565498" w:rsidP="00565498">
      <w:pPr>
        <w:pStyle w:val="ListParagraph"/>
        <w:numPr>
          <w:ilvl w:val="1"/>
          <w:numId w:val="4"/>
        </w:numPr>
        <w:ind w:left="1440" w:firstLine="0"/>
      </w:pPr>
      <w:r w:rsidRPr="00565498">
        <w:rPr>
          <w:sz w:val="22"/>
        </w:rPr>
        <w:t>Approximately one third of all conceptions end in natural termination.  This may produce a positive result when testing early in pregnancy, followed by a negative result after the natural termination.</w:t>
      </w:r>
    </w:p>
    <w:p w:rsidR="00565498" w:rsidRPr="00565498" w:rsidRDefault="00565498" w:rsidP="00565498">
      <w:pPr>
        <w:pStyle w:val="ListParagraph"/>
        <w:numPr>
          <w:ilvl w:val="1"/>
          <w:numId w:val="4"/>
        </w:numPr>
        <w:ind w:left="1440" w:firstLine="0"/>
      </w:pPr>
      <w:r w:rsidRPr="00565498">
        <w:rPr>
          <w:sz w:val="22"/>
        </w:rPr>
        <w:t>Gross hematuria may prevent an accurate reading of the test result by masking the positive line.  If an intensely red background color appears, it may interfere with the ability to read the test result.  Centrifuge the specimen and repeat the test on the supernatant.</w:t>
      </w:r>
    </w:p>
    <w:p w:rsidR="00565498" w:rsidRPr="00565498" w:rsidRDefault="00565498" w:rsidP="00565498">
      <w:pPr>
        <w:pStyle w:val="ListParagraph"/>
        <w:numPr>
          <w:ilvl w:val="1"/>
          <w:numId w:val="4"/>
        </w:numPr>
        <w:ind w:left="1440" w:firstLine="0"/>
      </w:pPr>
      <w:r w:rsidRPr="00565498">
        <w:rPr>
          <w:sz w:val="22"/>
        </w:rPr>
        <w:t>A high dose “hook effect” may occur, where the intensity of the sample line decreases as the concentration of hCG increases.  If a “hook effect” is suspected, dilution of the specimen may increase color intensity of the test line.</w:t>
      </w:r>
    </w:p>
    <w:p w:rsidR="000E1757" w:rsidRDefault="000E1757" w:rsidP="00565498">
      <w:pPr>
        <w:pStyle w:val="ListParagraph"/>
        <w:ind w:left="1440"/>
      </w:pPr>
    </w:p>
    <w:p w:rsidR="000E1757" w:rsidRPr="00565498" w:rsidRDefault="000E1757" w:rsidP="00565498">
      <w:pPr>
        <w:pStyle w:val="ListParagraph"/>
        <w:ind w:left="1440"/>
      </w:pPr>
    </w:p>
    <w:p w:rsidR="00565498" w:rsidRPr="00565498" w:rsidRDefault="00565498" w:rsidP="00565498">
      <w:pPr>
        <w:pStyle w:val="ListParagraph"/>
        <w:ind w:left="1440"/>
      </w:pPr>
    </w:p>
    <w:p w:rsidR="00565498" w:rsidRDefault="000E1757" w:rsidP="000E1757">
      <w:pPr>
        <w:ind w:left="810"/>
        <w:rPr>
          <w:b/>
        </w:rPr>
      </w:pPr>
      <w:r>
        <w:rPr>
          <w:b/>
        </w:rPr>
        <w:t>12.0 Sensitivity and Specificity</w:t>
      </w:r>
    </w:p>
    <w:p w:rsidR="000E1757" w:rsidRDefault="000E1757" w:rsidP="000E1757">
      <w:pPr>
        <w:ind w:left="810"/>
      </w:pPr>
      <w:r>
        <w:tab/>
      </w:r>
    </w:p>
    <w:p w:rsidR="000E1757" w:rsidRPr="000E1757" w:rsidRDefault="000E1757" w:rsidP="000E1757">
      <w:pPr>
        <w:ind w:left="810"/>
      </w:pPr>
      <w:r>
        <w:tab/>
        <w:t>The Sure-Vue® Serum/Urine hCG detects hCG at concentrations of 25mIU/mL or greater.  The test has been standardized to the W.H.O. Third International Standard.  The addition</w:t>
      </w:r>
      <w:r w:rsidR="00536E2C">
        <w:t xml:space="preserve"> of LH (300 mIU/mL, FSH (1,000 mIU/mL), and TSH (1,000 mIU/mL) to negative (0 mIU/mL hCG) and positive (25 mIU/mL hCG) specimens showed no cross-reactivity.</w:t>
      </w:r>
    </w:p>
    <w:p w:rsidR="009B58FE" w:rsidRPr="009B58FE" w:rsidRDefault="009B58FE" w:rsidP="00B9207D">
      <w:pPr>
        <w:ind w:left="1440"/>
      </w:pPr>
    </w:p>
    <w:p w:rsidR="00A728D5" w:rsidRPr="00B9207D" w:rsidRDefault="00A728D5" w:rsidP="00B9207D">
      <w:pPr>
        <w:ind w:left="1440"/>
      </w:pPr>
    </w:p>
    <w:p w:rsidR="004D4DB1" w:rsidRPr="005B253D" w:rsidRDefault="004D4DB1" w:rsidP="005B253D">
      <w:pPr>
        <w:ind w:left="720"/>
      </w:pPr>
    </w:p>
    <w:p w:rsidR="007E07A4" w:rsidRDefault="007E07A4" w:rsidP="007931F3">
      <w:pPr>
        <w:ind w:left="360" w:firstLine="360"/>
        <w:rPr>
          <w:b/>
        </w:rPr>
      </w:pPr>
    </w:p>
    <w:p w:rsidR="007E07A4" w:rsidRDefault="007E07A4" w:rsidP="007931F3">
      <w:pPr>
        <w:ind w:left="360" w:firstLine="360"/>
        <w:rPr>
          <w:b/>
        </w:rPr>
      </w:pPr>
    </w:p>
    <w:p w:rsidR="007E07A4" w:rsidRDefault="007E07A4" w:rsidP="007931F3">
      <w:pPr>
        <w:ind w:left="360" w:firstLine="360"/>
        <w:rPr>
          <w:b/>
        </w:rPr>
      </w:pPr>
    </w:p>
    <w:p w:rsidR="007E07A4" w:rsidRDefault="007E07A4" w:rsidP="007931F3">
      <w:pPr>
        <w:ind w:left="360" w:firstLine="360"/>
        <w:rPr>
          <w:b/>
        </w:rPr>
      </w:pPr>
    </w:p>
    <w:p w:rsidR="007E07A4" w:rsidRDefault="007E07A4" w:rsidP="007931F3">
      <w:pPr>
        <w:ind w:left="360" w:firstLine="360"/>
        <w:rPr>
          <w:b/>
        </w:rPr>
      </w:pPr>
    </w:p>
    <w:p w:rsidR="007E07A4" w:rsidRDefault="007E07A4" w:rsidP="007931F3">
      <w:pPr>
        <w:ind w:left="360" w:firstLine="360"/>
        <w:rPr>
          <w:b/>
        </w:rPr>
      </w:pPr>
    </w:p>
    <w:p w:rsidR="007E07A4" w:rsidRDefault="007E07A4" w:rsidP="007931F3">
      <w:pPr>
        <w:ind w:left="360" w:firstLine="360"/>
        <w:rPr>
          <w:b/>
        </w:rPr>
      </w:pPr>
    </w:p>
    <w:p w:rsidR="007E07A4" w:rsidRDefault="007E07A4" w:rsidP="007931F3">
      <w:pPr>
        <w:ind w:left="360" w:firstLine="360"/>
        <w:rPr>
          <w:b/>
        </w:rPr>
      </w:pPr>
    </w:p>
    <w:p w:rsidR="00D77739" w:rsidRDefault="00CE3AAE" w:rsidP="007931F3">
      <w:pPr>
        <w:ind w:left="360" w:firstLine="360"/>
        <w:rPr>
          <w:b/>
        </w:rPr>
      </w:pPr>
      <w:r>
        <w:rPr>
          <w:b/>
        </w:rPr>
        <w:t>13.0 References</w:t>
      </w:r>
    </w:p>
    <w:p w:rsidR="00CE3AAE" w:rsidRDefault="00202E7F" w:rsidP="00CE3AAE">
      <w:r>
        <w:rPr>
          <w:b/>
        </w:rPr>
        <w:tab/>
      </w:r>
      <w:r>
        <w:t xml:space="preserve"> </w:t>
      </w:r>
      <w:r>
        <w:tab/>
        <w:t xml:space="preserve">1. </w:t>
      </w:r>
      <w:r w:rsidR="00DD0721">
        <w:t xml:space="preserve">Batzer FR.”Hormonal evaluation of early pregnancy.” </w:t>
      </w:r>
      <w:r w:rsidR="00DD0721">
        <w:rPr>
          <w:i/>
        </w:rPr>
        <w:t xml:space="preserve">Fertil. Steril. </w:t>
      </w:r>
      <w:r w:rsidR="00DD0721">
        <w:t>1980;34(1):1-13</w:t>
      </w:r>
    </w:p>
    <w:p w:rsidR="00DD0721" w:rsidRDefault="00DD0721" w:rsidP="00DD0721">
      <w:pPr>
        <w:ind w:left="1710" w:hanging="270"/>
      </w:pPr>
      <w:r>
        <w:t xml:space="preserve">2. Catt KJ, ML Dufau, JL Vaitukaitis “Appearance of hCG in pregnancy plasma following the initiation of implantation of the blastocyte,: </w:t>
      </w:r>
      <w:r w:rsidRPr="00DD0721">
        <w:rPr>
          <w:i/>
        </w:rPr>
        <w:t>J. Clin. Endocrinol. Metab.</w:t>
      </w:r>
      <w:r>
        <w:t>1975;40(3):537-540</w:t>
      </w:r>
    </w:p>
    <w:p w:rsidR="00DD0721" w:rsidRDefault="00DD0721" w:rsidP="00DD0721">
      <w:pPr>
        <w:ind w:left="1710" w:hanging="270"/>
      </w:pPr>
      <w:r>
        <w:t>3. Braunstein GD, J Rasor, H. Danzer, D Adler, ME Wade “Serum human chorionic gonadotropin levels throughout normal pregnancy,:</w:t>
      </w:r>
      <w:r w:rsidRPr="00DD0721">
        <w:rPr>
          <w:i/>
        </w:rPr>
        <w:t>AM</w:t>
      </w:r>
      <w:r>
        <w:rPr>
          <w:i/>
        </w:rPr>
        <w:t xml:space="preserve">. </w:t>
      </w:r>
      <w:r w:rsidRPr="00DD0721">
        <w:rPr>
          <w:i/>
        </w:rPr>
        <w:t>J.</w:t>
      </w:r>
      <w:r>
        <w:rPr>
          <w:i/>
        </w:rPr>
        <w:t xml:space="preserve"> </w:t>
      </w:r>
      <w:r w:rsidRPr="00DD0721">
        <w:rPr>
          <w:i/>
        </w:rPr>
        <w:t>Obstet.</w:t>
      </w:r>
      <w:r>
        <w:rPr>
          <w:i/>
        </w:rPr>
        <w:t xml:space="preserve"> </w:t>
      </w:r>
      <w:r w:rsidRPr="00DD0721">
        <w:rPr>
          <w:i/>
        </w:rPr>
        <w:t>Gynecol.</w:t>
      </w:r>
      <w:r>
        <w:t xml:space="preserve"> 1976:126(6):678-681</w:t>
      </w:r>
    </w:p>
    <w:p w:rsidR="00DD0721" w:rsidRDefault="00DD0721" w:rsidP="00DD0721">
      <w:pPr>
        <w:ind w:left="1710" w:hanging="270"/>
      </w:pPr>
      <w:r>
        <w:t xml:space="preserve">4. Lenton EA, LM Neal, R Sulaiman “Plasma concentration of human chorionic gonadotropin from the time of implantation until the second week of pregnancy,” </w:t>
      </w:r>
      <w:r w:rsidRPr="00DD0721">
        <w:rPr>
          <w:i/>
        </w:rPr>
        <w:t>Fertil. Steril.</w:t>
      </w:r>
      <w:r>
        <w:t xml:space="preserve"> 1982:37(6):773-778</w:t>
      </w:r>
    </w:p>
    <w:p w:rsidR="00DD0721" w:rsidRDefault="007E07A4" w:rsidP="00DD0721">
      <w:pPr>
        <w:ind w:left="1710" w:hanging="270"/>
      </w:pPr>
      <w:r>
        <w:t>5. Steier JA, P Bergsjo, OL Mykin “Human chorionic gonado</w:t>
      </w:r>
      <w:r w:rsidR="00DD0721">
        <w:t>tropin in maternal plasma af</w:t>
      </w:r>
      <w:r>
        <w:t>t</w:t>
      </w:r>
      <w:r w:rsidR="00DD0721">
        <w:t xml:space="preserve">er induced abortion, spontaneous abortion and removed ectopic pregnancy,” </w:t>
      </w:r>
      <w:r w:rsidR="00DD0721" w:rsidRPr="007E07A4">
        <w:rPr>
          <w:i/>
        </w:rPr>
        <w:t>Obstet. Gynecol.</w:t>
      </w:r>
      <w:r w:rsidR="00DD0721">
        <w:t xml:space="preserve"> 1984;64(3):391-394</w:t>
      </w:r>
    </w:p>
    <w:p w:rsidR="007E07A4" w:rsidRDefault="007E07A4" w:rsidP="00DD0721">
      <w:pPr>
        <w:ind w:left="1710" w:hanging="270"/>
      </w:pPr>
      <w:r>
        <w:t>6. Dawood MY, BB Saxena, R Landesman “Human chorionic gonadotropin and its subunits in hydatidiform mole and choriocarcinoma, “</w:t>
      </w:r>
      <w:r w:rsidRPr="007E07A4">
        <w:rPr>
          <w:i/>
        </w:rPr>
        <w:t>Obstet. Gynecol.</w:t>
      </w:r>
      <w:r>
        <w:t xml:space="preserve"> 1977;50(2):172-181</w:t>
      </w:r>
    </w:p>
    <w:p w:rsidR="007E07A4" w:rsidRDefault="007E07A4" w:rsidP="00DD0721">
      <w:pPr>
        <w:ind w:left="1710" w:hanging="270"/>
      </w:pPr>
      <w:r>
        <w:t xml:space="preserve">7. Braunstein GD, JL Vaitukaitis, PP Carbone, GT Ross “Ectopic production of human chorionic gonadotropin by neoplasms,” </w:t>
      </w:r>
      <w:r>
        <w:rPr>
          <w:i/>
        </w:rPr>
        <w:t xml:space="preserve">Ann. Intern Med. </w:t>
      </w:r>
      <w:r>
        <w:t>1973;78(1):39-45</w:t>
      </w:r>
    </w:p>
    <w:p w:rsidR="007E07A4" w:rsidRDefault="007E07A4" w:rsidP="00DD0721">
      <w:pPr>
        <w:ind w:left="1710" w:hanging="270"/>
      </w:pPr>
      <w:r>
        <w:t xml:space="preserve">8. Sure-Vue® Serum/Urine hCG Package Insert, DN:1155810903, Eff. Date: </w:t>
      </w:r>
      <w:r w:rsidRPr="009F1B11">
        <w:t>20</w:t>
      </w:r>
      <w:r w:rsidR="006521A1" w:rsidRPr="009F1B11">
        <w:t>10-01-1</w:t>
      </w:r>
      <w:r w:rsidRPr="009F1B11">
        <w:t>5,</w:t>
      </w:r>
      <w:r>
        <w:t xml:space="preserve"> Fisher Scientific, </w:t>
      </w:r>
      <w:hyperlink r:id="rId9" w:history="1">
        <w:r w:rsidRPr="008B4147">
          <w:rPr>
            <w:rStyle w:val="Hyperlink"/>
          </w:rPr>
          <w:t>www.fisherhealthcare.com</w:t>
        </w:r>
      </w:hyperlink>
    </w:p>
    <w:p w:rsidR="007E07A4" w:rsidRPr="007E07A4" w:rsidRDefault="007E07A4" w:rsidP="00DD0721">
      <w:pPr>
        <w:ind w:left="1710" w:hanging="270"/>
      </w:pPr>
      <w:r>
        <w:t xml:space="preserve">9. Sure-Vue® Serum and Urine hCG Control Set Package Inserts, Fisher Scientific, </w:t>
      </w:r>
      <w:hyperlink r:id="rId10" w:history="1">
        <w:r w:rsidRPr="008B4147">
          <w:rPr>
            <w:rStyle w:val="Hyperlink"/>
          </w:rPr>
          <w:t>www.fisherhealthcare.com</w:t>
        </w:r>
      </w:hyperlink>
      <w:r>
        <w:t xml:space="preserve"> </w:t>
      </w:r>
    </w:p>
    <w:p w:rsidR="00DD0721" w:rsidRPr="00DD0721" w:rsidRDefault="00DD0721" w:rsidP="00CE3AAE"/>
    <w:p w:rsidR="00D77739" w:rsidRDefault="00D77739" w:rsidP="007931F3">
      <w:pPr>
        <w:ind w:left="360" w:firstLine="360"/>
      </w:pPr>
    </w:p>
    <w:p w:rsidR="00D77739" w:rsidRDefault="00D77739" w:rsidP="007931F3">
      <w:pPr>
        <w:ind w:left="360" w:firstLine="360"/>
      </w:pPr>
    </w:p>
    <w:p w:rsidR="007931F3" w:rsidRDefault="007931F3" w:rsidP="007931F3">
      <w:pPr>
        <w:ind w:left="360" w:firstLine="360"/>
      </w:pPr>
    </w:p>
    <w:p w:rsidR="007931F3" w:rsidRDefault="007931F3" w:rsidP="007931F3">
      <w:pPr>
        <w:ind w:left="360"/>
      </w:pPr>
    </w:p>
    <w:p w:rsidR="007931F3" w:rsidRPr="007931F3" w:rsidRDefault="007931F3" w:rsidP="007931F3">
      <w:pPr>
        <w:ind w:left="360"/>
      </w:pPr>
    </w:p>
    <w:p w:rsidR="007931F3" w:rsidRDefault="007931F3" w:rsidP="007931F3"/>
    <w:p w:rsidR="007931F3" w:rsidRPr="007931F3" w:rsidRDefault="007931F3" w:rsidP="007931F3">
      <w:r>
        <w:t xml:space="preserve">      </w:t>
      </w:r>
    </w:p>
    <w:p w:rsidR="006C03F0" w:rsidRPr="006C03F0" w:rsidRDefault="006C03F0" w:rsidP="006C03F0">
      <w:pPr>
        <w:pStyle w:val="ListParagraph"/>
        <w:tabs>
          <w:tab w:val="left" w:pos="-720"/>
          <w:tab w:val="left" w:pos="0"/>
          <w:tab w:val="left" w:pos="558"/>
          <w:tab w:val="left" w:pos="1098"/>
          <w:tab w:val="left" w:pos="1638"/>
          <w:tab w:val="left" w:pos="1818"/>
          <w:tab w:val="left" w:pos="3438"/>
        </w:tabs>
        <w:ind w:left="360"/>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4810F3" w:rsidRDefault="004810F3" w:rsidP="003055E6">
      <w:pPr>
        <w:tabs>
          <w:tab w:val="left" w:pos="-720"/>
          <w:tab w:val="left" w:pos="0"/>
          <w:tab w:val="left" w:pos="558"/>
          <w:tab w:val="left" w:pos="1098"/>
          <w:tab w:val="left" w:pos="1638"/>
          <w:tab w:val="left" w:pos="1818"/>
          <w:tab w:val="left" w:pos="3438"/>
        </w:tabs>
        <w:jc w:val="both"/>
        <w:rPr>
          <w:sz w:val="22"/>
          <w:szCs w:val="22"/>
        </w:rPr>
      </w:pPr>
    </w:p>
    <w:p w:rsidR="007E07A4" w:rsidRDefault="007E07A4" w:rsidP="003055E6">
      <w:pPr>
        <w:tabs>
          <w:tab w:val="left" w:pos="-720"/>
          <w:tab w:val="left" w:pos="0"/>
          <w:tab w:val="left" w:pos="558"/>
          <w:tab w:val="left" w:pos="1098"/>
          <w:tab w:val="left" w:pos="1638"/>
          <w:tab w:val="left" w:pos="1818"/>
          <w:tab w:val="left" w:pos="3438"/>
        </w:tabs>
        <w:jc w:val="both"/>
        <w:rPr>
          <w:sz w:val="22"/>
          <w:szCs w:val="22"/>
        </w:rPr>
      </w:pPr>
    </w:p>
    <w:p w:rsidR="00DB5A8C" w:rsidRDefault="00DB5A8C" w:rsidP="00DB5A8C">
      <w:pPr>
        <w:rPr>
          <w:b/>
          <w:sz w:val="22"/>
          <w:szCs w:val="22"/>
        </w:rPr>
      </w:pPr>
      <w:r w:rsidRPr="00E57CAA">
        <w:rPr>
          <w:b/>
          <w:sz w:val="22"/>
          <w:szCs w:val="22"/>
        </w:rPr>
        <w:t>Approval Signature</w:t>
      </w:r>
      <w:r>
        <w:rPr>
          <w:b/>
          <w:sz w:val="22"/>
          <w:szCs w:val="22"/>
        </w:rPr>
        <w:t>s</w:t>
      </w:r>
      <w:r w:rsidRPr="00E57CAA">
        <w:rPr>
          <w:b/>
          <w:sz w:val="22"/>
          <w:szCs w:val="22"/>
        </w:rPr>
        <w:t>:</w:t>
      </w:r>
    </w:p>
    <w:p w:rsidR="00DB5A8C" w:rsidRPr="00E57CAA" w:rsidRDefault="00DB5A8C" w:rsidP="00DB5A8C">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4410"/>
        <w:gridCol w:w="3960"/>
      </w:tblGrid>
      <w:tr w:rsidR="00DB5A8C" w:rsidRPr="00E57CAA" w:rsidTr="00E460D3">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DB5A8C" w:rsidRPr="00E57CAA" w:rsidRDefault="00DB5A8C" w:rsidP="00E460D3">
            <w:pPr>
              <w:spacing w:line="120" w:lineRule="exact"/>
            </w:pPr>
          </w:p>
          <w:p w:rsidR="00DB5A8C" w:rsidRPr="00E57CAA" w:rsidRDefault="00DB5A8C" w:rsidP="00E460D3">
            <w:pPr>
              <w:spacing w:after="58"/>
              <w:jc w:val="center"/>
            </w:pPr>
            <w:r w:rsidRPr="00E57CAA">
              <w:rPr>
                <w:b/>
                <w:sz w:val="22"/>
                <w:szCs w:val="22"/>
              </w:rPr>
              <w:t>Date</w:t>
            </w:r>
          </w:p>
        </w:tc>
        <w:tc>
          <w:tcPr>
            <w:tcW w:w="441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DB5A8C" w:rsidRPr="00E57CAA" w:rsidRDefault="00DB5A8C" w:rsidP="00E460D3">
            <w:pPr>
              <w:spacing w:line="120" w:lineRule="exact"/>
            </w:pPr>
          </w:p>
          <w:p w:rsidR="00DB5A8C" w:rsidRPr="00E57CAA" w:rsidRDefault="00DB5A8C" w:rsidP="00E460D3">
            <w:pPr>
              <w:spacing w:after="58"/>
              <w:jc w:val="center"/>
            </w:pPr>
            <w:r w:rsidRPr="00E57CAA">
              <w:rPr>
                <w:b/>
                <w:sz w:val="22"/>
                <w:szCs w:val="22"/>
              </w:rPr>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DB5A8C" w:rsidRPr="00E57CAA" w:rsidRDefault="00DB5A8C" w:rsidP="00E460D3">
            <w:pPr>
              <w:spacing w:line="120" w:lineRule="exact"/>
            </w:pPr>
          </w:p>
          <w:p w:rsidR="00DB5A8C" w:rsidRPr="00E57CAA" w:rsidRDefault="00DB5A8C" w:rsidP="00E460D3">
            <w:pPr>
              <w:spacing w:after="58"/>
              <w:jc w:val="center"/>
            </w:pPr>
            <w:r w:rsidRPr="00E57CAA">
              <w:rPr>
                <w:b/>
                <w:sz w:val="22"/>
                <w:szCs w:val="22"/>
              </w:rPr>
              <w:t>Signature</w:t>
            </w:r>
          </w:p>
        </w:tc>
      </w:tr>
      <w:tr w:rsidR="00DB5A8C" w:rsidRPr="00E57CAA" w:rsidTr="00E460D3">
        <w:trPr>
          <w:trHeight w:val="576"/>
        </w:trPr>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F000BC" w:rsidP="006D42D6">
            <w:pPr>
              <w:spacing w:after="58"/>
            </w:pPr>
            <w:r>
              <w:t>8/11/2016</w:t>
            </w:r>
          </w:p>
        </w:tc>
        <w:tc>
          <w:tcPr>
            <w:tcW w:w="4410" w:type="dxa"/>
            <w:tcBorders>
              <w:top w:val="single" w:sz="7" w:space="0" w:color="000000"/>
              <w:left w:val="single" w:sz="7" w:space="0" w:color="000000"/>
              <w:bottom w:val="single" w:sz="7" w:space="0" w:color="000000"/>
              <w:right w:val="single" w:sz="7" w:space="0" w:color="000000"/>
            </w:tcBorders>
          </w:tcPr>
          <w:p w:rsidR="00DB5A8C" w:rsidRDefault="006D42D6" w:rsidP="00E460D3">
            <w:r>
              <w:t>Vanessa Rawlings</w:t>
            </w:r>
          </w:p>
          <w:p w:rsidR="004117FA" w:rsidRPr="00B20719" w:rsidRDefault="004117FA" w:rsidP="00E460D3">
            <w:r>
              <w:t>Elkins Park Supervisor</w:t>
            </w:r>
          </w:p>
        </w:tc>
        <w:tc>
          <w:tcPr>
            <w:tcW w:w="396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after="58"/>
            </w:pPr>
          </w:p>
        </w:tc>
      </w:tr>
      <w:tr w:rsidR="004117FA" w:rsidRPr="00E57CAA" w:rsidTr="004117FA">
        <w:trPr>
          <w:trHeight w:val="658"/>
        </w:trPr>
        <w:tc>
          <w:tcPr>
            <w:tcW w:w="1260" w:type="dxa"/>
            <w:tcBorders>
              <w:top w:val="single" w:sz="7" w:space="0" w:color="000000"/>
              <w:left w:val="double" w:sz="7" w:space="0" w:color="000000"/>
              <w:bottom w:val="single" w:sz="7" w:space="0" w:color="000000"/>
              <w:right w:val="single" w:sz="7" w:space="0" w:color="000000"/>
            </w:tcBorders>
          </w:tcPr>
          <w:p w:rsidR="004117FA" w:rsidRPr="00E57CAA" w:rsidRDefault="00F000BC" w:rsidP="003E250C">
            <w:pPr>
              <w:spacing w:after="58"/>
            </w:pPr>
            <w:r>
              <w:t>8/11/2016</w:t>
            </w:r>
          </w:p>
        </w:tc>
        <w:tc>
          <w:tcPr>
            <w:tcW w:w="4410" w:type="dxa"/>
            <w:tcBorders>
              <w:top w:val="single" w:sz="7" w:space="0" w:color="000000"/>
              <w:left w:val="single" w:sz="7" w:space="0" w:color="000000"/>
              <w:bottom w:val="single" w:sz="7" w:space="0" w:color="000000"/>
              <w:right w:val="single" w:sz="7" w:space="0" w:color="000000"/>
            </w:tcBorders>
          </w:tcPr>
          <w:p w:rsidR="004117FA" w:rsidRPr="00B20719" w:rsidRDefault="004117FA" w:rsidP="003E250C">
            <w:pPr>
              <w:spacing w:line="120" w:lineRule="exact"/>
            </w:pPr>
          </w:p>
          <w:p w:rsidR="004117FA" w:rsidRPr="00B20719" w:rsidRDefault="004117FA" w:rsidP="003E250C">
            <w:pPr>
              <w:spacing w:after="58"/>
            </w:pPr>
            <w:r>
              <w:rPr>
                <w:sz w:val="22"/>
                <w:szCs w:val="22"/>
              </w:rPr>
              <w:t>Jennifer Lore, MFS, MT</w:t>
            </w:r>
          </w:p>
          <w:p w:rsidR="004117FA" w:rsidRPr="00B20719" w:rsidRDefault="004117FA" w:rsidP="003E250C">
            <w:r>
              <w:rPr>
                <w:sz w:val="22"/>
                <w:szCs w:val="22"/>
              </w:rPr>
              <w:t>Chemistry Supervisor</w:t>
            </w:r>
          </w:p>
        </w:tc>
        <w:tc>
          <w:tcPr>
            <w:tcW w:w="3960" w:type="dxa"/>
            <w:tcBorders>
              <w:top w:val="single" w:sz="7" w:space="0" w:color="000000"/>
              <w:left w:val="single" w:sz="7" w:space="0" w:color="000000"/>
              <w:bottom w:val="single" w:sz="7" w:space="0" w:color="000000"/>
              <w:right w:val="double" w:sz="7" w:space="0" w:color="000000"/>
            </w:tcBorders>
          </w:tcPr>
          <w:p w:rsidR="004117FA" w:rsidRPr="00E57CAA" w:rsidRDefault="004117FA" w:rsidP="003E250C">
            <w:pPr>
              <w:spacing w:line="120" w:lineRule="exact"/>
            </w:pPr>
          </w:p>
          <w:p w:rsidR="004117FA" w:rsidRPr="00E57CAA" w:rsidRDefault="004117FA" w:rsidP="003E250C">
            <w:pPr>
              <w:spacing w:after="58"/>
            </w:pPr>
          </w:p>
        </w:tc>
      </w:tr>
      <w:tr w:rsidR="004117FA" w:rsidRPr="00E57CAA" w:rsidTr="00E460D3">
        <w:trPr>
          <w:trHeight w:val="658"/>
        </w:trPr>
        <w:tc>
          <w:tcPr>
            <w:tcW w:w="1260" w:type="dxa"/>
            <w:tcBorders>
              <w:top w:val="single" w:sz="7" w:space="0" w:color="000000"/>
              <w:left w:val="double" w:sz="7" w:space="0" w:color="000000"/>
              <w:bottom w:val="double" w:sz="7" w:space="0" w:color="000000"/>
              <w:right w:val="single" w:sz="7" w:space="0" w:color="000000"/>
            </w:tcBorders>
          </w:tcPr>
          <w:p w:rsidR="004117FA" w:rsidRPr="00E57CAA" w:rsidRDefault="00F000BC" w:rsidP="003E250C">
            <w:pPr>
              <w:spacing w:after="58"/>
            </w:pPr>
            <w:r>
              <w:t>8/11/2016</w:t>
            </w:r>
          </w:p>
        </w:tc>
        <w:tc>
          <w:tcPr>
            <w:tcW w:w="4410" w:type="dxa"/>
            <w:tcBorders>
              <w:top w:val="single" w:sz="7" w:space="0" w:color="000000"/>
              <w:left w:val="single" w:sz="7" w:space="0" w:color="000000"/>
              <w:bottom w:val="double" w:sz="7" w:space="0" w:color="000000"/>
              <w:right w:val="single" w:sz="7" w:space="0" w:color="000000"/>
            </w:tcBorders>
          </w:tcPr>
          <w:p w:rsidR="004117FA" w:rsidRPr="00B20719" w:rsidRDefault="004117FA" w:rsidP="003E250C">
            <w:pPr>
              <w:spacing w:line="120" w:lineRule="exact"/>
            </w:pPr>
          </w:p>
          <w:p w:rsidR="004117FA" w:rsidRDefault="004117FA" w:rsidP="003E250C">
            <w:r w:rsidRPr="00E57CAA">
              <w:rPr>
                <w:sz w:val="22"/>
                <w:szCs w:val="22"/>
              </w:rPr>
              <w:t>Nancy A. Young, M.D., FCAP</w:t>
            </w:r>
          </w:p>
          <w:p w:rsidR="004117FA" w:rsidRPr="00DB5A8C" w:rsidRDefault="004117FA" w:rsidP="003E250C">
            <w:r w:rsidRPr="00DB5A8C">
              <w:rPr>
                <w:sz w:val="22"/>
                <w:szCs w:val="22"/>
              </w:rPr>
              <w:t>Medical Director</w:t>
            </w:r>
          </w:p>
        </w:tc>
        <w:tc>
          <w:tcPr>
            <w:tcW w:w="3960" w:type="dxa"/>
            <w:tcBorders>
              <w:top w:val="single" w:sz="7" w:space="0" w:color="000000"/>
              <w:left w:val="single" w:sz="7" w:space="0" w:color="000000"/>
              <w:bottom w:val="double" w:sz="7" w:space="0" w:color="000000"/>
              <w:right w:val="double" w:sz="7" w:space="0" w:color="000000"/>
            </w:tcBorders>
          </w:tcPr>
          <w:p w:rsidR="004117FA" w:rsidRPr="00E57CAA" w:rsidRDefault="004117FA" w:rsidP="003E250C">
            <w:pPr>
              <w:spacing w:line="120" w:lineRule="exact"/>
            </w:pPr>
          </w:p>
          <w:p w:rsidR="004117FA" w:rsidRPr="00E57CAA" w:rsidRDefault="004117FA" w:rsidP="003E250C">
            <w:pPr>
              <w:spacing w:after="58"/>
            </w:pPr>
          </w:p>
        </w:tc>
      </w:tr>
    </w:tbl>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F150D6" w:rsidRDefault="00F150D6"/>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DB5A8C" w:rsidRDefault="00DB5A8C"/>
    <w:p w:rsidR="00F150D6" w:rsidRDefault="00F150D6"/>
    <w:p w:rsidR="00F150D6" w:rsidRDefault="00F150D6"/>
    <w:p w:rsidR="00F150D6" w:rsidRDefault="00F150D6"/>
    <w:p w:rsidR="00F150D6" w:rsidRDefault="00F150D6"/>
    <w:p w:rsidR="00F150D6" w:rsidRDefault="00F150D6"/>
    <w:p w:rsidR="00F150D6" w:rsidRDefault="00F150D6"/>
    <w:p w:rsidR="00DB5A8C" w:rsidRPr="009343A2" w:rsidRDefault="00DB5A8C" w:rsidP="00DB5A8C">
      <w:pPr>
        <w:jc w:val="center"/>
        <w:rPr>
          <w:b/>
          <w:sz w:val="22"/>
          <w:szCs w:val="22"/>
          <w:u w:val="single"/>
        </w:rPr>
      </w:pPr>
      <w:r w:rsidRPr="009343A2">
        <w:rPr>
          <w:b/>
          <w:sz w:val="22"/>
          <w:szCs w:val="22"/>
          <w:u w:val="single"/>
        </w:rPr>
        <w:t>Review History</w:t>
      </w:r>
    </w:p>
    <w:p w:rsidR="00DB5A8C" w:rsidRPr="00E57CAA" w:rsidRDefault="00DB5A8C" w:rsidP="00DB5A8C">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1620"/>
        <w:gridCol w:w="6750"/>
      </w:tblGrid>
      <w:tr w:rsidR="00DB5A8C" w:rsidRPr="00E57CAA" w:rsidTr="00E460D3">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DB5A8C" w:rsidRPr="00E57CAA" w:rsidRDefault="00DB5A8C" w:rsidP="00E460D3">
            <w:pPr>
              <w:spacing w:line="120" w:lineRule="exact"/>
            </w:pPr>
          </w:p>
          <w:p w:rsidR="00DB5A8C" w:rsidRPr="00E57CAA" w:rsidRDefault="00DB5A8C" w:rsidP="00E460D3">
            <w:pPr>
              <w:spacing w:after="58"/>
              <w:jc w:val="center"/>
              <w:rPr>
                <w:b/>
              </w:rPr>
            </w:pPr>
            <w:r w:rsidRPr="00E57CAA">
              <w:rPr>
                <w:b/>
                <w:sz w:val="22"/>
                <w:szCs w:val="22"/>
              </w:rPr>
              <w:t>Date Reviewed</w:t>
            </w:r>
          </w:p>
        </w:tc>
        <w:tc>
          <w:tcPr>
            <w:tcW w:w="1620" w:type="dxa"/>
            <w:tcBorders>
              <w:top w:val="double" w:sz="7" w:space="0" w:color="000000"/>
              <w:left w:val="single" w:sz="7" w:space="0" w:color="000000"/>
              <w:bottom w:val="double" w:sz="7" w:space="0" w:color="000000"/>
              <w:right w:val="single" w:sz="7" w:space="0" w:color="000000"/>
            </w:tcBorders>
            <w:shd w:val="clear" w:color="auto" w:fill="EEECE1"/>
          </w:tcPr>
          <w:p w:rsidR="00DB5A8C" w:rsidRPr="00E57CAA" w:rsidRDefault="00DB5A8C" w:rsidP="00E460D3">
            <w:pPr>
              <w:spacing w:line="120" w:lineRule="exact"/>
              <w:rPr>
                <w:b/>
              </w:rPr>
            </w:pPr>
          </w:p>
          <w:p w:rsidR="00DB5A8C" w:rsidRPr="00E57CAA" w:rsidRDefault="00DB5A8C" w:rsidP="00E460D3">
            <w:pPr>
              <w:spacing w:after="58"/>
              <w:jc w:val="center"/>
              <w:rPr>
                <w:b/>
              </w:rPr>
            </w:pPr>
            <w:r w:rsidRPr="00E57CAA">
              <w:rPr>
                <w:b/>
                <w:sz w:val="22"/>
                <w:szCs w:val="22"/>
              </w:rPr>
              <w:t>Reviewed By</w:t>
            </w:r>
          </w:p>
        </w:tc>
        <w:tc>
          <w:tcPr>
            <w:tcW w:w="675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DB5A8C" w:rsidRPr="00E57CAA" w:rsidRDefault="00DB5A8C" w:rsidP="00E460D3">
            <w:pPr>
              <w:spacing w:line="120" w:lineRule="exact"/>
              <w:rPr>
                <w:b/>
              </w:rPr>
            </w:pPr>
          </w:p>
          <w:p w:rsidR="00DB5A8C" w:rsidRPr="00E57CAA" w:rsidRDefault="00DB5A8C" w:rsidP="00E460D3">
            <w:pPr>
              <w:spacing w:after="58"/>
              <w:jc w:val="center"/>
              <w:rPr>
                <w:b/>
              </w:rPr>
            </w:pPr>
            <w:r w:rsidRPr="00E57CAA">
              <w:rPr>
                <w:b/>
                <w:sz w:val="22"/>
                <w:szCs w:val="22"/>
              </w:rPr>
              <w:t>Revisions</w:t>
            </w:r>
          </w:p>
        </w:tc>
      </w:tr>
      <w:tr w:rsidR="00DB5A8C" w:rsidRPr="00E57CAA" w:rsidTr="00F000BC">
        <w:trPr>
          <w:trHeight w:val="534"/>
        </w:trPr>
        <w:tc>
          <w:tcPr>
            <w:tcW w:w="1260" w:type="dxa"/>
            <w:tcBorders>
              <w:top w:val="single" w:sz="7" w:space="0" w:color="000000"/>
              <w:left w:val="double" w:sz="7" w:space="0" w:color="000000"/>
              <w:bottom w:val="single" w:sz="7" w:space="0" w:color="000000"/>
              <w:right w:val="single" w:sz="7" w:space="0" w:color="000000"/>
            </w:tcBorders>
          </w:tcPr>
          <w:p w:rsidR="009F1B11" w:rsidRPr="00E57CAA" w:rsidRDefault="009F1B11"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6D42D6" w:rsidRPr="00E57CAA" w:rsidRDefault="006D42D6"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after="58"/>
              <w:rPr>
                <w:sz w:val="20"/>
              </w:rPr>
            </w:pPr>
          </w:p>
        </w:tc>
      </w:tr>
      <w:tr w:rsidR="00DB5A8C" w:rsidRPr="00E57CAA" w:rsidTr="00F000BC">
        <w:trPr>
          <w:trHeight w:val="523"/>
        </w:trPr>
        <w:tc>
          <w:tcPr>
            <w:tcW w:w="1260" w:type="dxa"/>
            <w:tcBorders>
              <w:top w:val="single" w:sz="7" w:space="0" w:color="000000"/>
              <w:left w:val="double" w:sz="7" w:space="0" w:color="000000"/>
              <w:bottom w:val="single" w:sz="7" w:space="0" w:color="000000"/>
              <w:right w:val="single" w:sz="7" w:space="0" w:color="000000"/>
            </w:tcBorders>
          </w:tcPr>
          <w:p w:rsidR="009F1B11" w:rsidRPr="00E57CAA" w:rsidRDefault="009F1B11"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E65FF1" w:rsidRPr="00E57CAA" w:rsidRDefault="00E65FF1"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Default="00DB5A8C" w:rsidP="00E460D3">
            <w:pPr>
              <w:spacing w:after="58"/>
              <w:rPr>
                <w:sz w:val="20"/>
              </w:rPr>
            </w:pPr>
          </w:p>
          <w:p w:rsidR="009F1B11" w:rsidRPr="00E57CAA" w:rsidRDefault="009F1B11"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r w:rsidR="00DB5A8C" w:rsidRPr="00E57CAA" w:rsidTr="00E460D3">
        <w:tc>
          <w:tcPr>
            <w:tcW w:w="1260" w:type="dxa"/>
            <w:tcBorders>
              <w:top w:val="single" w:sz="7" w:space="0" w:color="000000"/>
              <w:left w:val="doub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DB5A8C" w:rsidRPr="00E57CAA" w:rsidRDefault="00DB5A8C" w:rsidP="00E460D3">
            <w:pPr>
              <w:spacing w:line="120" w:lineRule="exact"/>
              <w:rPr>
                <w:sz w:val="20"/>
              </w:rPr>
            </w:pPr>
          </w:p>
          <w:p w:rsidR="00DB5A8C" w:rsidRPr="00E57CAA" w:rsidRDefault="00DB5A8C" w:rsidP="00E460D3">
            <w:pPr>
              <w:spacing w:after="58"/>
              <w:rPr>
                <w:sz w:val="20"/>
              </w:rPr>
            </w:pPr>
          </w:p>
        </w:tc>
      </w:tr>
    </w:tbl>
    <w:p w:rsidR="00F150D6" w:rsidRDefault="00F150D6"/>
    <w:p w:rsidR="00F150D6" w:rsidRDefault="00F150D6"/>
    <w:p w:rsidR="00F150D6" w:rsidRDefault="00F150D6"/>
    <w:p w:rsidR="00F150D6" w:rsidRDefault="00F150D6"/>
    <w:p w:rsidR="00F150D6" w:rsidRDefault="00F150D6"/>
    <w:p w:rsidR="00F150D6" w:rsidRDefault="00F150D6"/>
    <w:p w:rsidR="003055E6" w:rsidRPr="00F16C67" w:rsidRDefault="003055E6" w:rsidP="003055E6">
      <w:pPr>
        <w:rPr>
          <w:sz w:val="20"/>
          <w:szCs w:val="20"/>
        </w:rPr>
      </w:pPr>
    </w:p>
    <w:p w:rsidR="00F150D6" w:rsidRDefault="00F150D6" w:rsidP="003055E6"/>
    <w:sectPr w:rsidR="00F150D6" w:rsidSect="00DB5A8C">
      <w:head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0C" w:rsidRDefault="003E250C" w:rsidP="00F150D6">
      <w:r>
        <w:separator/>
      </w:r>
    </w:p>
  </w:endnote>
  <w:endnote w:type="continuationSeparator" w:id="0">
    <w:p w:rsidR="003E250C" w:rsidRDefault="003E250C" w:rsidP="00F1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Helen Pro Cond">
    <w:altName w:val="Arial"/>
    <w:panose1 w:val="00000000000000000000"/>
    <w:charset w:val="00"/>
    <w:family w:val="modern"/>
    <w:notTrueType/>
    <w:pitch w:val="variable"/>
    <w:sig w:usb0="00000001" w:usb1="00000000" w:usb2="00000000" w:usb3="00000000" w:csb0="0000009F" w:csb1="00000000"/>
  </w:font>
  <w:font w:name="HelenPro-Cond">
    <w:altName w:val="Helen Pro Con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0C" w:rsidRDefault="003E250C" w:rsidP="00F150D6">
      <w:r>
        <w:separator/>
      </w:r>
    </w:p>
  </w:footnote>
  <w:footnote w:type="continuationSeparator" w:id="0">
    <w:p w:rsidR="003E250C" w:rsidRDefault="003E250C" w:rsidP="00F1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4774"/>
      <w:gridCol w:w="2277"/>
    </w:tblGrid>
    <w:tr w:rsidR="003E250C" w:rsidRPr="0022728F" w:rsidTr="00E460D3">
      <w:tc>
        <w:tcPr>
          <w:tcW w:w="2579" w:type="dxa"/>
          <w:hideMark/>
        </w:tcPr>
        <w:p w:rsidR="003E250C" w:rsidRPr="00697053" w:rsidRDefault="003E250C" w:rsidP="00E460D3">
          <w:pPr>
            <w:tabs>
              <w:tab w:val="center" w:pos="1197"/>
              <w:tab w:val="center" w:pos="4320"/>
              <w:tab w:val="right" w:pos="9360"/>
            </w:tabs>
            <w:jc w:val="center"/>
            <w:rPr>
              <w:b/>
              <w:sz w:val="16"/>
              <w:szCs w:val="16"/>
            </w:rPr>
          </w:pPr>
          <w:r w:rsidRPr="00697053">
            <w:rPr>
              <w:b/>
              <w:sz w:val="16"/>
              <w:szCs w:val="16"/>
            </w:rPr>
            <w:t>EINSTEIN MEDICAL CENTER</w:t>
          </w:r>
        </w:p>
        <w:p w:rsidR="003E250C" w:rsidRPr="00697053" w:rsidRDefault="003E250C" w:rsidP="00E460D3">
          <w:pPr>
            <w:tabs>
              <w:tab w:val="left" w:pos="495"/>
              <w:tab w:val="center" w:pos="1149"/>
              <w:tab w:val="center" w:pos="4320"/>
              <w:tab w:val="right" w:pos="8640"/>
            </w:tabs>
            <w:jc w:val="center"/>
            <w:rPr>
              <w:b/>
              <w:sz w:val="16"/>
              <w:szCs w:val="16"/>
            </w:rPr>
          </w:pPr>
          <w:r>
            <w:rPr>
              <w:b/>
              <w:sz w:val="16"/>
              <w:szCs w:val="16"/>
            </w:rPr>
            <w:t>STAT CHEMISTRY POLICY &amp;</w:t>
          </w:r>
        </w:p>
        <w:p w:rsidR="003E250C" w:rsidRPr="0022728F" w:rsidRDefault="003E250C" w:rsidP="00E460D3">
          <w:pPr>
            <w:pStyle w:val="Header"/>
            <w:spacing w:before="40"/>
            <w:jc w:val="center"/>
            <w:rPr>
              <w:b/>
              <w:sz w:val="16"/>
              <w:szCs w:val="16"/>
            </w:rPr>
          </w:pPr>
          <w:r w:rsidRPr="00697053">
            <w:rPr>
              <w:b/>
              <w:sz w:val="16"/>
              <w:szCs w:val="16"/>
            </w:rPr>
            <w:t>PROCEDURE MANUAL</w:t>
          </w:r>
        </w:p>
      </w:tc>
      <w:tc>
        <w:tcPr>
          <w:tcW w:w="4774" w:type="dxa"/>
          <w:vAlign w:val="center"/>
          <w:hideMark/>
        </w:tcPr>
        <w:p w:rsidR="003E250C" w:rsidRPr="0022728F" w:rsidRDefault="003E250C" w:rsidP="00E460D3">
          <w:pPr>
            <w:pStyle w:val="Header"/>
            <w:spacing w:before="40"/>
            <w:jc w:val="center"/>
            <w:rPr>
              <w:b/>
              <w:sz w:val="16"/>
              <w:szCs w:val="16"/>
            </w:rPr>
          </w:pPr>
          <w:r w:rsidRPr="00697053">
            <w:rPr>
              <w:b/>
            </w:rPr>
            <w:t xml:space="preserve"> </w:t>
          </w:r>
          <w:r>
            <w:rPr>
              <w:b/>
            </w:rPr>
            <w:t>Qualitative Pregnancy (Sure-Vue® Serum/Urine)</w:t>
          </w:r>
          <w:r w:rsidRPr="00697053">
            <w:rPr>
              <w:b/>
            </w:rPr>
            <w:t xml:space="preserve">        </w:t>
          </w:r>
          <w:r>
            <w:rPr>
              <w:b/>
            </w:rPr>
            <w:t xml:space="preserve"> </w:t>
          </w:r>
        </w:p>
      </w:tc>
      <w:tc>
        <w:tcPr>
          <w:tcW w:w="2277" w:type="dxa"/>
          <w:hideMark/>
        </w:tcPr>
        <w:p w:rsidR="003E250C" w:rsidRPr="0022728F" w:rsidRDefault="003E250C" w:rsidP="00DB5A8C">
          <w:pPr>
            <w:pStyle w:val="Header"/>
            <w:spacing w:before="40" w:after="0"/>
            <w:rPr>
              <w:b/>
              <w:sz w:val="16"/>
              <w:szCs w:val="16"/>
            </w:rPr>
          </w:pPr>
          <w:r w:rsidRPr="0022728F">
            <w:rPr>
              <w:b/>
              <w:sz w:val="16"/>
              <w:szCs w:val="16"/>
            </w:rPr>
            <w:t>DOCUMENT NUMBER</w:t>
          </w:r>
        </w:p>
        <w:p w:rsidR="003E250C" w:rsidRPr="0022728F" w:rsidRDefault="00F000BC" w:rsidP="00DB5A8C">
          <w:pPr>
            <w:pStyle w:val="Header"/>
            <w:spacing w:before="40" w:after="0"/>
            <w:rPr>
              <w:b/>
              <w:sz w:val="20"/>
            </w:rPr>
          </w:pPr>
          <w:r>
            <w:rPr>
              <w:b/>
            </w:rPr>
            <w:t>CH04-002.04</w:t>
          </w:r>
        </w:p>
      </w:tc>
    </w:tr>
  </w:tbl>
  <w:p w:rsidR="003E250C" w:rsidRPr="00DB5A8C" w:rsidRDefault="003E250C" w:rsidP="00DB5A8C">
    <w:pPr>
      <w:tabs>
        <w:tab w:val="right" w:pos="9540"/>
      </w:tabs>
      <w:ind w:right="-270"/>
      <w:rPr>
        <w:sz w:val="22"/>
        <w:szCs w:val="22"/>
      </w:rPr>
    </w:pPr>
    <w:r>
      <w:rPr>
        <w:sz w:val="22"/>
        <w:szCs w:val="22"/>
      </w:rPr>
      <w:tab/>
    </w:r>
    <w:r w:rsidRPr="00076C18">
      <w:rPr>
        <w:sz w:val="22"/>
        <w:szCs w:val="22"/>
      </w:rPr>
      <w:t xml:space="preserve">Page </w:t>
    </w:r>
    <w:r w:rsidRPr="00076C18">
      <w:rPr>
        <w:sz w:val="22"/>
        <w:szCs w:val="22"/>
      </w:rPr>
      <w:fldChar w:fldCharType="begin"/>
    </w:r>
    <w:r w:rsidRPr="00076C18">
      <w:rPr>
        <w:sz w:val="22"/>
        <w:szCs w:val="22"/>
      </w:rPr>
      <w:instrText xml:space="preserve"> PAGE </w:instrText>
    </w:r>
    <w:r w:rsidRPr="00076C18">
      <w:rPr>
        <w:sz w:val="22"/>
        <w:szCs w:val="22"/>
      </w:rPr>
      <w:fldChar w:fldCharType="separate"/>
    </w:r>
    <w:r w:rsidR="00C02B1B">
      <w:rPr>
        <w:noProof/>
        <w:sz w:val="22"/>
        <w:szCs w:val="22"/>
      </w:rPr>
      <w:t>7</w:t>
    </w:r>
    <w:r w:rsidRPr="00076C18">
      <w:rPr>
        <w:sz w:val="22"/>
        <w:szCs w:val="22"/>
      </w:rPr>
      <w:fldChar w:fldCharType="end"/>
    </w:r>
    <w:r w:rsidRPr="00076C18">
      <w:rPr>
        <w:sz w:val="22"/>
        <w:szCs w:val="22"/>
      </w:rPr>
      <w:t xml:space="preserve"> of </w:t>
    </w:r>
    <w:r w:rsidRPr="00076C18">
      <w:rPr>
        <w:sz w:val="22"/>
        <w:szCs w:val="22"/>
      </w:rPr>
      <w:fldChar w:fldCharType="begin"/>
    </w:r>
    <w:r w:rsidRPr="00076C18">
      <w:rPr>
        <w:sz w:val="22"/>
        <w:szCs w:val="22"/>
      </w:rPr>
      <w:instrText xml:space="preserve"> NUMPAGES  </w:instrText>
    </w:r>
    <w:r w:rsidRPr="00076C18">
      <w:rPr>
        <w:sz w:val="22"/>
        <w:szCs w:val="22"/>
      </w:rPr>
      <w:fldChar w:fldCharType="separate"/>
    </w:r>
    <w:r w:rsidR="00C02B1B">
      <w:rPr>
        <w:noProof/>
        <w:sz w:val="22"/>
        <w:szCs w:val="22"/>
      </w:rPr>
      <w:t>7</w:t>
    </w:r>
    <w:r w:rsidRPr="00076C18">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3E250C" w:rsidRPr="00697053" w:rsidTr="00E460D3">
      <w:tc>
        <w:tcPr>
          <w:tcW w:w="2520" w:type="dxa"/>
          <w:tcBorders>
            <w:top w:val="double" w:sz="4" w:space="0" w:color="auto"/>
            <w:left w:val="double" w:sz="4" w:space="0" w:color="auto"/>
            <w:bottom w:val="single" w:sz="4" w:space="0" w:color="000000"/>
            <w:right w:val="single" w:sz="4" w:space="0" w:color="000000"/>
          </w:tcBorders>
        </w:tcPr>
        <w:p w:rsidR="003E250C" w:rsidRPr="00697053" w:rsidRDefault="003E250C" w:rsidP="00E460D3">
          <w:pPr>
            <w:tabs>
              <w:tab w:val="center" w:pos="1197"/>
              <w:tab w:val="center" w:pos="4320"/>
              <w:tab w:val="right" w:pos="9360"/>
            </w:tabs>
            <w:jc w:val="center"/>
            <w:rPr>
              <w:b/>
              <w:sz w:val="16"/>
              <w:szCs w:val="16"/>
            </w:rPr>
          </w:pPr>
          <w:r w:rsidRPr="00697053">
            <w:rPr>
              <w:b/>
              <w:sz w:val="16"/>
              <w:szCs w:val="16"/>
            </w:rPr>
            <w:t>EINSTEIN MEDICAL CENTER</w:t>
          </w:r>
        </w:p>
        <w:p w:rsidR="003E250C" w:rsidRPr="00697053" w:rsidRDefault="003E250C" w:rsidP="00E460D3">
          <w:pPr>
            <w:tabs>
              <w:tab w:val="left" w:pos="495"/>
              <w:tab w:val="center" w:pos="1149"/>
              <w:tab w:val="center" w:pos="4320"/>
              <w:tab w:val="right" w:pos="8640"/>
            </w:tabs>
            <w:jc w:val="center"/>
            <w:rPr>
              <w:b/>
              <w:sz w:val="16"/>
              <w:szCs w:val="16"/>
            </w:rPr>
          </w:pPr>
          <w:r>
            <w:rPr>
              <w:b/>
              <w:sz w:val="16"/>
              <w:szCs w:val="16"/>
            </w:rPr>
            <w:t>STAT CHEMISTRY POLICY &amp;</w:t>
          </w:r>
        </w:p>
        <w:p w:rsidR="003E250C" w:rsidRPr="00697053" w:rsidRDefault="003E250C" w:rsidP="00E460D3">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3E250C" w:rsidRPr="00697053" w:rsidRDefault="003E250C" w:rsidP="00E460D3">
          <w:pPr>
            <w:tabs>
              <w:tab w:val="center" w:pos="4320"/>
              <w:tab w:val="right" w:pos="8640"/>
            </w:tabs>
            <w:jc w:val="center"/>
            <w:rPr>
              <w:b/>
              <w:sz w:val="16"/>
              <w:szCs w:val="16"/>
            </w:rPr>
          </w:pPr>
          <w:r w:rsidRPr="00697053">
            <w:rPr>
              <w:b/>
              <w:sz w:val="16"/>
              <w:szCs w:val="16"/>
            </w:rPr>
            <w:t>DEPARTMENT OF PATHOLOGY &amp; LABORATORY</w:t>
          </w:r>
        </w:p>
        <w:p w:rsidR="003E250C" w:rsidRPr="00697053" w:rsidRDefault="003E250C" w:rsidP="00E460D3">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3E250C" w:rsidRPr="00697053" w:rsidRDefault="003E250C" w:rsidP="00E460D3">
          <w:pPr>
            <w:tabs>
              <w:tab w:val="center" w:pos="4320"/>
              <w:tab w:val="right" w:pos="8640"/>
            </w:tabs>
            <w:rPr>
              <w:b/>
              <w:sz w:val="16"/>
              <w:szCs w:val="16"/>
            </w:rPr>
          </w:pPr>
          <w:r w:rsidRPr="00697053">
            <w:rPr>
              <w:b/>
              <w:sz w:val="16"/>
              <w:szCs w:val="16"/>
            </w:rPr>
            <w:t>DOCUMENT NUMBER</w:t>
          </w:r>
        </w:p>
        <w:p w:rsidR="003E250C" w:rsidRPr="00697053" w:rsidRDefault="003E250C" w:rsidP="008A2401">
          <w:pPr>
            <w:tabs>
              <w:tab w:val="center" w:pos="4320"/>
              <w:tab w:val="right" w:pos="8640"/>
            </w:tabs>
            <w:rPr>
              <w:b/>
            </w:rPr>
          </w:pPr>
          <w:r>
            <w:rPr>
              <w:b/>
            </w:rPr>
            <w:t>CH04-002.0</w:t>
          </w:r>
          <w:r w:rsidR="00F000BC">
            <w:rPr>
              <w:b/>
            </w:rPr>
            <w:t>4</w:t>
          </w:r>
        </w:p>
      </w:tc>
    </w:tr>
    <w:tr w:rsidR="003E250C" w:rsidRPr="00697053" w:rsidTr="00E460D3">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3E250C" w:rsidRPr="00697053" w:rsidRDefault="003E250C" w:rsidP="00E460D3">
          <w:pPr>
            <w:tabs>
              <w:tab w:val="center" w:pos="4320"/>
              <w:tab w:val="right" w:pos="8640"/>
            </w:tabs>
            <w:jc w:val="center"/>
            <w:rPr>
              <w:b/>
              <w:sz w:val="16"/>
              <w:szCs w:val="16"/>
            </w:rPr>
          </w:pPr>
        </w:p>
        <w:p w:rsidR="003E250C" w:rsidRPr="00F000BC" w:rsidRDefault="003E250C" w:rsidP="00E460D3">
          <w:pPr>
            <w:tabs>
              <w:tab w:val="center" w:pos="4320"/>
              <w:tab w:val="right" w:pos="8640"/>
            </w:tabs>
            <w:jc w:val="center"/>
            <w:rPr>
              <w:b/>
              <w:color w:val="FF0000"/>
            </w:rPr>
          </w:pPr>
          <w:r>
            <w:rPr>
              <w:b/>
            </w:rPr>
            <w:t>Qualitative Pr</w:t>
          </w:r>
          <w:r w:rsidR="00C02B1B">
            <w:rPr>
              <w:b/>
            </w:rPr>
            <w:t>egnancy (Sure-Vue® Serum/Urine)</w:t>
          </w:r>
        </w:p>
        <w:p w:rsidR="003E250C" w:rsidRPr="00A06265" w:rsidRDefault="003E250C" w:rsidP="00E460D3">
          <w:pPr>
            <w:tabs>
              <w:tab w:val="center" w:pos="4320"/>
              <w:tab w:val="right" w:pos="8640"/>
            </w:tabs>
            <w:jc w:val="center"/>
            <w:rPr>
              <w:b/>
              <w:caps/>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3E250C" w:rsidRDefault="003E250C" w:rsidP="00E460D3">
          <w:pPr>
            <w:tabs>
              <w:tab w:val="center" w:pos="4320"/>
              <w:tab w:val="right" w:pos="8640"/>
            </w:tabs>
            <w:rPr>
              <w:sz w:val="16"/>
              <w:szCs w:val="16"/>
            </w:rPr>
          </w:pPr>
        </w:p>
        <w:p w:rsidR="003E250C" w:rsidRPr="00697053" w:rsidRDefault="003E250C" w:rsidP="00E460D3">
          <w:pPr>
            <w:tabs>
              <w:tab w:val="center" w:pos="4320"/>
              <w:tab w:val="right" w:pos="8640"/>
            </w:tabs>
            <w:rPr>
              <w:sz w:val="16"/>
              <w:szCs w:val="16"/>
            </w:rPr>
          </w:pPr>
          <w:r w:rsidRPr="00697053">
            <w:rPr>
              <w:sz w:val="16"/>
              <w:szCs w:val="16"/>
            </w:rPr>
            <w:t>DATE OF ISSUE:</w:t>
          </w:r>
        </w:p>
        <w:p w:rsidR="003E250C" w:rsidRPr="00697053" w:rsidRDefault="00F000BC" w:rsidP="00E460D3">
          <w:pPr>
            <w:tabs>
              <w:tab w:val="center" w:pos="4320"/>
              <w:tab w:val="right" w:pos="8640"/>
            </w:tabs>
            <w:rPr>
              <w:sz w:val="16"/>
              <w:szCs w:val="16"/>
            </w:rPr>
          </w:pPr>
          <w:r>
            <w:rPr>
              <w:sz w:val="16"/>
              <w:szCs w:val="16"/>
            </w:rPr>
            <w:t>8/11/2016</w:t>
          </w:r>
        </w:p>
      </w:tc>
    </w:tr>
    <w:tr w:rsidR="003E250C" w:rsidRPr="00697053" w:rsidTr="00E460D3">
      <w:tc>
        <w:tcPr>
          <w:tcW w:w="7650" w:type="dxa"/>
          <w:gridSpan w:val="2"/>
          <w:tcBorders>
            <w:top w:val="single" w:sz="4" w:space="0" w:color="000000"/>
            <w:left w:val="double" w:sz="4" w:space="0" w:color="auto"/>
            <w:bottom w:val="double" w:sz="4" w:space="0" w:color="auto"/>
            <w:right w:val="single" w:sz="4" w:space="0" w:color="000000"/>
          </w:tcBorders>
          <w:vAlign w:val="center"/>
        </w:tcPr>
        <w:p w:rsidR="003E250C" w:rsidRPr="004958D1" w:rsidRDefault="003E250C" w:rsidP="00E460D3">
          <w:pPr>
            <w:tabs>
              <w:tab w:val="center" w:pos="4320"/>
              <w:tab w:val="right" w:pos="8640"/>
            </w:tabs>
            <w:rPr>
              <w:sz w:val="20"/>
            </w:rPr>
          </w:pPr>
          <w:r w:rsidRPr="004958D1">
            <w:rPr>
              <w:b/>
              <w:sz w:val="20"/>
            </w:rPr>
            <w:t xml:space="preserve">POLICY OWNER: </w:t>
          </w:r>
          <w:r>
            <w:rPr>
              <w:b/>
              <w:sz w:val="20"/>
            </w:rPr>
            <w:t>CHEMISTRY SUPERVISOR</w:t>
          </w:r>
        </w:p>
      </w:tc>
      <w:tc>
        <w:tcPr>
          <w:tcW w:w="2250" w:type="dxa"/>
          <w:vMerge/>
          <w:tcBorders>
            <w:left w:val="single" w:sz="4" w:space="0" w:color="000000"/>
            <w:bottom w:val="double" w:sz="4" w:space="0" w:color="auto"/>
            <w:right w:val="double" w:sz="4" w:space="0" w:color="auto"/>
          </w:tcBorders>
        </w:tcPr>
        <w:p w:rsidR="003E250C" w:rsidRPr="00697053" w:rsidRDefault="003E250C" w:rsidP="00E460D3">
          <w:pPr>
            <w:tabs>
              <w:tab w:val="center" w:pos="4320"/>
              <w:tab w:val="right" w:pos="8640"/>
            </w:tabs>
            <w:rPr>
              <w:sz w:val="16"/>
              <w:szCs w:val="16"/>
            </w:rPr>
          </w:pPr>
        </w:p>
      </w:tc>
    </w:tr>
  </w:tbl>
  <w:p w:rsidR="003E250C" w:rsidRDefault="003E250C" w:rsidP="00DB5A8C">
    <w:pPr>
      <w:tabs>
        <w:tab w:val="right" w:pos="9810"/>
      </w:tabs>
    </w:pPr>
    <w:r>
      <w:tab/>
    </w:r>
    <w:r w:rsidRPr="00AA4C11">
      <w:rPr>
        <w:sz w:val="22"/>
        <w:szCs w:val="22"/>
      </w:rPr>
      <w:t xml:space="preserve">Page </w:t>
    </w:r>
    <w:r w:rsidRPr="00AA4C11">
      <w:rPr>
        <w:sz w:val="22"/>
        <w:szCs w:val="22"/>
      </w:rPr>
      <w:fldChar w:fldCharType="begin"/>
    </w:r>
    <w:r w:rsidRPr="00AA4C11">
      <w:rPr>
        <w:sz w:val="22"/>
        <w:szCs w:val="22"/>
      </w:rPr>
      <w:instrText xml:space="preserve"> PAGE </w:instrText>
    </w:r>
    <w:r w:rsidRPr="00AA4C11">
      <w:rPr>
        <w:sz w:val="22"/>
        <w:szCs w:val="22"/>
      </w:rPr>
      <w:fldChar w:fldCharType="separate"/>
    </w:r>
    <w:r w:rsidR="00C02B1B">
      <w:rPr>
        <w:noProof/>
        <w:sz w:val="22"/>
        <w:szCs w:val="22"/>
      </w:rPr>
      <w:t>1</w:t>
    </w:r>
    <w:r w:rsidRPr="00AA4C11">
      <w:rPr>
        <w:sz w:val="22"/>
        <w:szCs w:val="22"/>
      </w:rPr>
      <w:fldChar w:fldCharType="end"/>
    </w:r>
    <w:r w:rsidRPr="00AA4C11">
      <w:rPr>
        <w:sz w:val="22"/>
        <w:szCs w:val="22"/>
      </w:rPr>
      <w:t xml:space="preserve"> of </w:t>
    </w:r>
    <w:r w:rsidRPr="00AA4C11">
      <w:rPr>
        <w:sz w:val="22"/>
        <w:szCs w:val="22"/>
      </w:rPr>
      <w:fldChar w:fldCharType="begin"/>
    </w:r>
    <w:r w:rsidRPr="00AA4C11">
      <w:rPr>
        <w:sz w:val="22"/>
        <w:szCs w:val="22"/>
      </w:rPr>
      <w:instrText xml:space="preserve"> NUMPAGES  </w:instrText>
    </w:r>
    <w:r w:rsidRPr="00AA4C11">
      <w:rPr>
        <w:sz w:val="22"/>
        <w:szCs w:val="22"/>
      </w:rPr>
      <w:fldChar w:fldCharType="separate"/>
    </w:r>
    <w:r w:rsidR="00C02B1B">
      <w:rPr>
        <w:noProof/>
        <w:sz w:val="22"/>
        <w:szCs w:val="22"/>
      </w:rPr>
      <w:t>7</w:t>
    </w:r>
    <w:r w:rsidRPr="00AA4C11">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836"/>
    <w:multiLevelType w:val="multilevel"/>
    <w:tmpl w:val="128CFAD0"/>
    <w:lvl w:ilvl="0">
      <w:start w:val="11"/>
      <w:numFmt w:val="decimal"/>
      <w:lvlText w:val="%1"/>
      <w:lvlJc w:val="left"/>
      <w:pPr>
        <w:ind w:left="420" w:hanging="420"/>
      </w:pPr>
      <w:rPr>
        <w:rFonts w:hint="default"/>
      </w:rPr>
    </w:lvl>
    <w:lvl w:ilvl="1">
      <w:start w:val="4"/>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5A356362"/>
    <w:multiLevelType w:val="hybridMultilevel"/>
    <w:tmpl w:val="3C8AE314"/>
    <w:lvl w:ilvl="0" w:tplc="41C216DC">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FB54F9F"/>
    <w:multiLevelType w:val="hybridMultilevel"/>
    <w:tmpl w:val="FF2858AA"/>
    <w:lvl w:ilvl="0" w:tplc="EE7A4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D9707B"/>
    <w:multiLevelType w:val="multilevel"/>
    <w:tmpl w:val="C89492E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
    <w:nsid w:val="79046E26"/>
    <w:multiLevelType w:val="hybridMultilevel"/>
    <w:tmpl w:val="3DDA5A48"/>
    <w:lvl w:ilvl="0" w:tplc="AF4C9A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1"/>
  </w:compat>
  <w:rsids>
    <w:rsidRoot w:val="00F150D6"/>
    <w:rsid w:val="0004313A"/>
    <w:rsid w:val="00046093"/>
    <w:rsid w:val="00074F46"/>
    <w:rsid w:val="00077848"/>
    <w:rsid w:val="000A3EC9"/>
    <w:rsid w:val="000D7C53"/>
    <w:rsid w:val="000E049F"/>
    <w:rsid w:val="000E1757"/>
    <w:rsid w:val="00117997"/>
    <w:rsid w:val="00142928"/>
    <w:rsid w:val="00162EE9"/>
    <w:rsid w:val="0016395A"/>
    <w:rsid w:val="001C6847"/>
    <w:rsid w:val="001D473B"/>
    <w:rsid w:val="001D5CE4"/>
    <w:rsid w:val="00202E7F"/>
    <w:rsid w:val="00237703"/>
    <w:rsid w:val="00237F5F"/>
    <w:rsid w:val="00252966"/>
    <w:rsid w:val="00285E5F"/>
    <w:rsid w:val="002A3380"/>
    <w:rsid w:val="002A3528"/>
    <w:rsid w:val="002A3B82"/>
    <w:rsid w:val="003055E6"/>
    <w:rsid w:val="0035733C"/>
    <w:rsid w:val="00380F9C"/>
    <w:rsid w:val="00387C96"/>
    <w:rsid w:val="003954FA"/>
    <w:rsid w:val="003C3073"/>
    <w:rsid w:val="003E250C"/>
    <w:rsid w:val="003F20D9"/>
    <w:rsid w:val="00404B00"/>
    <w:rsid w:val="00406943"/>
    <w:rsid w:val="004117FA"/>
    <w:rsid w:val="00423BD1"/>
    <w:rsid w:val="00426D0B"/>
    <w:rsid w:val="00426D35"/>
    <w:rsid w:val="004810F3"/>
    <w:rsid w:val="004970ED"/>
    <w:rsid w:val="004B240C"/>
    <w:rsid w:val="004D4DB1"/>
    <w:rsid w:val="004D64CA"/>
    <w:rsid w:val="005101EF"/>
    <w:rsid w:val="00521524"/>
    <w:rsid w:val="00521BD9"/>
    <w:rsid w:val="00536E2C"/>
    <w:rsid w:val="00551E17"/>
    <w:rsid w:val="00565498"/>
    <w:rsid w:val="00566161"/>
    <w:rsid w:val="00571A97"/>
    <w:rsid w:val="005B253D"/>
    <w:rsid w:val="005B5155"/>
    <w:rsid w:val="006466F5"/>
    <w:rsid w:val="0065013C"/>
    <w:rsid w:val="006521A1"/>
    <w:rsid w:val="006675D9"/>
    <w:rsid w:val="006C03F0"/>
    <w:rsid w:val="006D42D6"/>
    <w:rsid w:val="006F5CE9"/>
    <w:rsid w:val="00700937"/>
    <w:rsid w:val="00722AA3"/>
    <w:rsid w:val="007931F3"/>
    <w:rsid w:val="00793597"/>
    <w:rsid w:val="007E07A4"/>
    <w:rsid w:val="007E738A"/>
    <w:rsid w:val="008006E1"/>
    <w:rsid w:val="00840945"/>
    <w:rsid w:val="008704AD"/>
    <w:rsid w:val="00880142"/>
    <w:rsid w:val="008A1F64"/>
    <w:rsid w:val="008A2401"/>
    <w:rsid w:val="008B33A3"/>
    <w:rsid w:val="008C4004"/>
    <w:rsid w:val="008D7A9B"/>
    <w:rsid w:val="0091316D"/>
    <w:rsid w:val="00917B3E"/>
    <w:rsid w:val="0093036D"/>
    <w:rsid w:val="00946CCA"/>
    <w:rsid w:val="0095062A"/>
    <w:rsid w:val="0096223F"/>
    <w:rsid w:val="00973935"/>
    <w:rsid w:val="009848AA"/>
    <w:rsid w:val="009B58FE"/>
    <w:rsid w:val="009D2149"/>
    <w:rsid w:val="009F1B11"/>
    <w:rsid w:val="00A02B2F"/>
    <w:rsid w:val="00A1708D"/>
    <w:rsid w:val="00A66898"/>
    <w:rsid w:val="00A728D5"/>
    <w:rsid w:val="00A867CC"/>
    <w:rsid w:val="00A95EEE"/>
    <w:rsid w:val="00AA7017"/>
    <w:rsid w:val="00AB478D"/>
    <w:rsid w:val="00B337D0"/>
    <w:rsid w:val="00B40D8A"/>
    <w:rsid w:val="00B41E5E"/>
    <w:rsid w:val="00B84AAF"/>
    <w:rsid w:val="00B9207D"/>
    <w:rsid w:val="00BB75DB"/>
    <w:rsid w:val="00BE34BF"/>
    <w:rsid w:val="00BF02A9"/>
    <w:rsid w:val="00C02B1B"/>
    <w:rsid w:val="00C07E73"/>
    <w:rsid w:val="00C745EE"/>
    <w:rsid w:val="00C7521B"/>
    <w:rsid w:val="00CA044F"/>
    <w:rsid w:val="00CC4956"/>
    <w:rsid w:val="00CE3AAE"/>
    <w:rsid w:val="00CF12AC"/>
    <w:rsid w:val="00D03371"/>
    <w:rsid w:val="00D06C7A"/>
    <w:rsid w:val="00D10AB5"/>
    <w:rsid w:val="00D17DF6"/>
    <w:rsid w:val="00D40534"/>
    <w:rsid w:val="00D4341B"/>
    <w:rsid w:val="00D523BC"/>
    <w:rsid w:val="00D7100F"/>
    <w:rsid w:val="00D77739"/>
    <w:rsid w:val="00D81F24"/>
    <w:rsid w:val="00D86E7F"/>
    <w:rsid w:val="00DB4143"/>
    <w:rsid w:val="00DB446C"/>
    <w:rsid w:val="00DB5A8C"/>
    <w:rsid w:val="00DC555E"/>
    <w:rsid w:val="00DD0721"/>
    <w:rsid w:val="00DF0AE4"/>
    <w:rsid w:val="00DF2F8C"/>
    <w:rsid w:val="00E07081"/>
    <w:rsid w:val="00E24697"/>
    <w:rsid w:val="00E441A4"/>
    <w:rsid w:val="00E460D3"/>
    <w:rsid w:val="00E65FF1"/>
    <w:rsid w:val="00E71E44"/>
    <w:rsid w:val="00E72FD0"/>
    <w:rsid w:val="00E821AE"/>
    <w:rsid w:val="00F000BC"/>
    <w:rsid w:val="00F123F7"/>
    <w:rsid w:val="00F150D6"/>
    <w:rsid w:val="00F56946"/>
    <w:rsid w:val="00F9160E"/>
    <w:rsid w:val="00FC5028"/>
    <w:rsid w:val="00FE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733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F150D6"/>
    <w:pPr>
      <w:keepNext/>
      <w:spacing w:before="240" w:after="60" w:line="160" w:lineRule="atLeas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33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33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33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5733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50D6"/>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F150D6"/>
  </w:style>
  <w:style w:type="paragraph" w:styleId="Footer">
    <w:name w:val="footer"/>
    <w:basedOn w:val="Normal"/>
    <w:link w:val="FooterChar"/>
    <w:unhideWhenUsed/>
    <w:rsid w:val="00F150D6"/>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F150D6"/>
  </w:style>
  <w:style w:type="character" w:customStyle="1" w:styleId="Heading2Char">
    <w:name w:val="Heading 2 Char"/>
    <w:basedOn w:val="DefaultParagraphFont"/>
    <w:link w:val="Heading2"/>
    <w:semiHidden/>
    <w:rsid w:val="00F150D6"/>
    <w:rPr>
      <w:rFonts w:asciiTheme="majorHAnsi" w:eastAsiaTheme="majorEastAsia" w:hAnsiTheme="majorHAnsi" w:cstheme="majorBidi"/>
      <w:b/>
      <w:bCs/>
      <w:i/>
      <w:iCs/>
      <w:sz w:val="28"/>
      <w:szCs w:val="28"/>
    </w:rPr>
  </w:style>
  <w:style w:type="paragraph" w:styleId="Bibliography">
    <w:name w:val="Bibliography"/>
    <w:basedOn w:val="Normal"/>
    <w:next w:val="Normal"/>
    <w:uiPriority w:val="37"/>
    <w:semiHidden/>
    <w:unhideWhenUsed/>
    <w:rsid w:val="00AA7017"/>
  </w:style>
  <w:style w:type="paragraph" w:customStyle="1" w:styleId="NoParagraphStyle">
    <w:name w:val="[No Paragraph Style]"/>
    <w:rsid w:val="00AA7017"/>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BodyText1">
    <w:name w:val="Body Text1"/>
    <w:basedOn w:val="NoParagraphStyle"/>
    <w:rsid w:val="00AA7017"/>
    <w:pPr>
      <w:suppressAutoHyphens/>
      <w:spacing w:after="58" w:line="150" w:lineRule="atLeast"/>
    </w:pPr>
    <w:rPr>
      <w:rFonts w:ascii="Helen Pro Cond" w:hAnsi="Helen Pro Cond" w:cs="Helen Pro Cond"/>
      <w:sz w:val="15"/>
      <w:szCs w:val="15"/>
    </w:rPr>
  </w:style>
  <w:style w:type="paragraph" w:customStyle="1" w:styleId="Subhead1">
    <w:name w:val="Subhead 1"/>
    <w:basedOn w:val="NoParagraphStyle"/>
    <w:rsid w:val="00AA7017"/>
    <w:pPr>
      <w:suppressAutoHyphens/>
      <w:spacing w:before="72" w:line="150" w:lineRule="atLeast"/>
    </w:pPr>
    <w:rPr>
      <w:rFonts w:ascii="Helen Pro Cond" w:hAnsi="Helen Pro Cond" w:cs="Helen Pro Cond"/>
      <w:b/>
      <w:bCs/>
      <w:sz w:val="15"/>
      <w:szCs w:val="15"/>
    </w:rPr>
  </w:style>
  <w:style w:type="paragraph" w:customStyle="1" w:styleId="TableHead1">
    <w:name w:val="Table Head 1"/>
    <w:basedOn w:val="NoParagraphStyle"/>
    <w:rsid w:val="00AA7017"/>
    <w:pPr>
      <w:tabs>
        <w:tab w:val="center" w:pos="675"/>
        <w:tab w:val="left" w:pos="1125"/>
        <w:tab w:val="center" w:pos="2295"/>
        <w:tab w:val="center" w:pos="3105"/>
      </w:tabs>
      <w:spacing w:after="43" w:line="140" w:lineRule="atLeast"/>
    </w:pPr>
    <w:rPr>
      <w:rFonts w:ascii="Helen Pro Cond" w:hAnsi="Helen Pro Cond" w:cs="Helen Pro Cond"/>
      <w:b/>
      <w:bCs/>
      <w:sz w:val="14"/>
      <w:szCs w:val="14"/>
    </w:rPr>
  </w:style>
  <w:style w:type="paragraph" w:customStyle="1" w:styleId="Footnotes">
    <w:name w:val="Footnotes"/>
    <w:basedOn w:val="NoParagraphStyle"/>
    <w:rsid w:val="00AA7017"/>
    <w:pPr>
      <w:tabs>
        <w:tab w:val="left" w:pos="180"/>
      </w:tabs>
      <w:suppressAutoHyphens/>
      <w:spacing w:after="14" w:line="140" w:lineRule="atLeast"/>
      <w:ind w:left="180" w:hanging="180"/>
    </w:pPr>
    <w:rPr>
      <w:rFonts w:ascii="Helen Pro Cond" w:hAnsi="Helen Pro Cond" w:cs="Helen Pro Cond"/>
      <w:sz w:val="14"/>
      <w:szCs w:val="14"/>
    </w:rPr>
  </w:style>
  <w:style w:type="paragraph" w:customStyle="1" w:styleId="Subhead2">
    <w:name w:val="Subhead 2"/>
    <w:basedOn w:val="NoParagraphStyle"/>
    <w:rsid w:val="00AA7017"/>
    <w:pPr>
      <w:suppressAutoHyphens/>
      <w:spacing w:before="72" w:after="29" w:line="150" w:lineRule="atLeast"/>
      <w:jc w:val="center"/>
    </w:pPr>
    <w:rPr>
      <w:rFonts w:ascii="Helen Pro Cond" w:hAnsi="Helen Pro Cond" w:cs="Helen Pro Cond"/>
      <w:b/>
      <w:bCs/>
      <w:sz w:val="15"/>
      <w:szCs w:val="15"/>
    </w:rPr>
  </w:style>
  <w:style w:type="paragraph" w:styleId="BodyText">
    <w:name w:val="Body Text"/>
    <w:basedOn w:val="NoParagraphStyle"/>
    <w:link w:val="BodyTextChar"/>
    <w:rsid w:val="00AA7017"/>
    <w:pPr>
      <w:suppressAutoHyphens/>
      <w:spacing w:after="72" w:line="150" w:lineRule="atLeast"/>
    </w:pPr>
    <w:rPr>
      <w:rFonts w:ascii="Helen Pro Cond" w:hAnsi="Helen Pro Cond" w:cs="Helen Pro Cond"/>
      <w:sz w:val="15"/>
      <w:szCs w:val="15"/>
    </w:rPr>
  </w:style>
  <w:style w:type="character" w:customStyle="1" w:styleId="BodyTextChar">
    <w:name w:val="Body Text Char"/>
    <w:basedOn w:val="DefaultParagraphFont"/>
    <w:link w:val="BodyText"/>
    <w:rsid w:val="00AA7017"/>
    <w:rPr>
      <w:rFonts w:ascii="Helen Pro Cond" w:eastAsia="Times New Roman" w:hAnsi="Helen Pro Cond" w:cs="Helen Pro Cond"/>
      <w:color w:val="000000"/>
      <w:sz w:val="15"/>
      <w:szCs w:val="15"/>
    </w:rPr>
  </w:style>
  <w:style w:type="paragraph" w:customStyle="1" w:styleId="TestConditions">
    <w:name w:val="Test Conditions"/>
    <w:basedOn w:val="NoParagraphStyle"/>
    <w:rsid w:val="00AA7017"/>
    <w:pPr>
      <w:tabs>
        <w:tab w:val="left" w:pos="180"/>
        <w:tab w:val="left" w:pos="2340"/>
      </w:tabs>
      <w:spacing w:after="14" w:line="150" w:lineRule="atLeast"/>
      <w:ind w:left="180" w:hanging="180"/>
    </w:pPr>
    <w:rPr>
      <w:rFonts w:ascii="Helen Pro Cond" w:hAnsi="Helen Pro Cond" w:cs="Helen Pro Cond"/>
      <w:sz w:val="15"/>
      <w:szCs w:val="15"/>
    </w:rPr>
  </w:style>
  <w:style w:type="paragraph" w:customStyle="1" w:styleId="ArrowPara">
    <w:name w:val="Arrow Para"/>
    <w:basedOn w:val="NoParagraphStyle"/>
    <w:rsid w:val="00AA7017"/>
    <w:pPr>
      <w:tabs>
        <w:tab w:val="center" w:pos="720"/>
      </w:tabs>
      <w:spacing w:after="58" w:line="130" w:lineRule="atLeast"/>
    </w:pPr>
    <w:rPr>
      <w:rFonts w:ascii="Helen Pro Cond" w:hAnsi="Helen Pro Cond" w:cs="Helen Pro Cond"/>
      <w:sz w:val="13"/>
      <w:szCs w:val="13"/>
    </w:rPr>
  </w:style>
  <w:style w:type="paragraph" w:customStyle="1" w:styleId="TableText1">
    <w:name w:val="Table Text 1"/>
    <w:basedOn w:val="NoParagraphStyle"/>
    <w:rsid w:val="00AA7017"/>
    <w:pPr>
      <w:tabs>
        <w:tab w:val="center" w:pos="675"/>
        <w:tab w:val="left" w:pos="1125"/>
        <w:tab w:val="center" w:pos="2295"/>
        <w:tab w:val="center" w:pos="3105"/>
      </w:tabs>
      <w:spacing w:line="140" w:lineRule="atLeast"/>
    </w:pPr>
    <w:rPr>
      <w:rFonts w:ascii="Helen Pro Cond" w:hAnsi="Helen Pro Cond" w:cs="Helen Pro Cond"/>
      <w:sz w:val="14"/>
      <w:szCs w:val="14"/>
    </w:rPr>
  </w:style>
  <w:style w:type="character" w:customStyle="1" w:styleId="BoldBodyText">
    <w:name w:val="Bold Body Text"/>
    <w:rsid w:val="00AA7017"/>
    <w:rPr>
      <w:rFonts w:ascii="Helen Pro Cond" w:hAnsi="Helen Pro Cond" w:cs="Helen Pro Cond"/>
      <w:b/>
      <w:bCs/>
      <w:color w:val="000000"/>
      <w:spacing w:val="0"/>
      <w:w w:val="100"/>
      <w:position w:val="0"/>
      <w:sz w:val="15"/>
      <w:szCs w:val="15"/>
      <w:u w:val="none"/>
      <w:vertAlign w:val="baseline"/>
    </w:rPr>
  </w:style>
  <w:style w:type="character" w:customStyle="1" w:styleId="Body">
    <w:name w:val="Body"/>
    <w:rsid w:val="00AA7017"/>
    <w:rPr>
      <w:rFonts w:ascii="Helen Pro Cond" w:hAnsi="Helen Pro Cond" w:cs="Helen Pro Cond"/>
      <w:color w:val="000000"/>
      <w:spacing w:val="0"/>
      <w:w w:val="100"/>
      <w:position w:val="0"/>
      <w:sz w:val="14"/>
      <w:szCs w:val="14"/>
      <w:u w:val="none"/>
      <w:vertAlign w:val="baseline"/>
    </w:rPr>
  </w:style>
  <w:style w:type="character" w:customStyle="1" w:styleId="ItalicBodyText">
    <w:name w:val="Italic Body Text"/>
    <w:rsid w:val="00AA7017"/>
    <w:rPr>
      <w:rFonts w:ascii="Helen Pro Cond" w:hAnsi="Helen Pro Cond" w:cs="Helen Pro Cond"/>
      <w:i/>
      <w:iCs/>
      <w:sz w:val="15"/>
      <w:szCs w:val="15"/>
    </w:rPr>
  </w:style>
  <w:style w:type="character" w:customStyle="1" w:styleId="Superscript">
    <w:name w:val="Superscript"/>
    <w:rsid w:val="00AA7017"/>
    <w:rPr>
      <w:rFonts w:ascii="Helen Pro Cond" w:hAnsi="Helen Pro Cond" w:cs="Helen Pro Cond"/>
      <w:spacing w:val="0"/>
      <w:sz w:val="15"/>
      <w:szCs w:val="15"/>
      <w:u w:val="none"/>
      <w:vertAlign w:val="superscript"/>
    </w:rPr>
  </w:style>
  <w:style w:type="character" w:customStyle="1" w:styleId="ShadeBodyTextCondensed">
    <w:name w:val="Shade Body Text (Condensed)"/>
    <w:rsid w:val="00AA7017"/>
    <w:rPr>
      <w:rFonts w:ascii="Helen Pro Cond" w:hAnsi="Helen Pro Cond" w:cs="Helen Pro Cond"/>
      <w:u w:val="thick" w:color="000000"/>
    </w:rPr>
  </w:style>
  <w:style w:type="character" w:customStyle="1" w:styleId="ShadeBodyTextBoldCondensed">
    <w:name w:val="Shade Body Text (Bold Condensed)"/>
    <w:rsid w:val="00AA7017"/>
    <w:rPr>
      <w:rFonts w:ascii="Helen Pro Cond" w:hAnsi="Helen Pro Cond" w:cs="Helen Pro Cond"/>
      <w:b/>
      <w:bCs/>
      <w:u w:val="thick" w:color="000000"/>
    </w:rPr>
  </w:style>
  <w:style w:type="character" w:customStyle="1" w:styleId="UnderlineBodyText">
    <w:name w:val="Underline Body Text"/>
    <w:rsid w:val="00AA7017"/>
    <w:rPr>
      <w:rFonts w:ascii="Helen Pro Cond" w:hAnsi="Helen Pro Cond" w:cs="Helen Pro Cond"/>
      <w:position w:val="0"/>
      <w:sz w:val="15"/>
      <w:szCs w:val="15"/>
      <w:u w:val="thick"/>
    </w:rPr>
  </w:style>
  <w:style w:type="character" w:customStyle="1" w:styleId="Subscript">
    <w:name w:val="Subscript"/>
    <w:rsid w:val="00AA7017"/>
    <w:rPr>
      <w:rFonts w:ascii="Helen Pro Cond" w:hAnsi="Helen Pro Cond" w:cs="Helen Pro Cond"/>
      <w:spacing w:val="0"/>
      <w:sz w:val="15"/>
      <w:szCs w:val="15"/>
      <w:u w:val="none"/>
      <w:vertAlign w:val="subscript"/>
    </w:rPr>
  </w:style>
  <w:style w:type="paragraph" w:customStyle="1" w:styleId="Heading">
    <w:name w:val="Heading"/>
    <w:basedOn w:val="Normal"/>
    <w:rsid w:val="00AA7017"/>
    <w:pPr>
      <w:spacing w:after="40" w:line="160" w:lineRule="atLeast"/>
    </w:pPr>
    <w:rPr>
      <w:b/>
      <w:sz w:val="20"/>
      <w:szCs w:val="20"/>
    </w:rPr>
  </w:style>
  <w:style w:type="paragraph" w:customStyle="1" w:styleId="RevDates">
    <w:name w:val="RevDates"/>
    <w:basedOn w:val="Normal"/>
    <w:rsid w:val="00AA7017"/>
    <w:pPr>
      <w:tabs>
        <w:tab w:val="left" w:pos="5760"/>
      </w:tabs>
      <w:spacing w:after="160" w:line="160" w:lineRule="atLeast"/>
      <w:ind w:left="720"/>
    </w:pPr>
    <w:rPr>
      <w:sz w:val="20"/>
      <w:szCs w:val="20"/>
    </w:rPr>
  </w:style>
  <w:style w:type="character" w:customStyle="1" w:styleId="Heading1Char">
    <w:name w:val="Heading 1 Char"/>
    <w:basedOn w:val="DefaultParagraphFont"/>
    <w:link w:val="Heading1"/>
    <w:uiPriority w:val="9"/>
    <w:rsid w:val="0035733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5733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33C"/>
    <w:rPr>
      <w:rFonts w:eastAsiaTheme="minorEastAsia"/>
      <w:b/>
      <w:bCs/>
      <w:sz w:val="28"/>
      <w:szCs w:val="28"/>
    </w:rPr>
  </w:style>
  <w:style w:type="character" w:customStyle="1" w:styleId="Heading5Char">
    <w:name w:val="Heading 5 Char"/>
    <w:basedOn w:val="DefaultParagraphFont"/>
    <w:link w:val="Heading5"/>
    <w:uiPriority w:val="9"/>
    <w:semiHidden/>
    <w:rsid w:val="0035733C"/>
    <w:rPr>
      <w:rFonts w:eastAsiaTheme="minorEastAsia"/>
      <w:b/>
      <w:bCs/>
      <w:i/>
      <w:iCs/>
      <w:sz w:val="26"/>
      <w:szCs w:val="26"/>
    </w:rPr>
  </w:style>
  <w:style w:type="character" w:customStyle="1" w:styleId="Heading6Char">
    <w:name w:val="Heading 6 Char"/>
    <w:basedOn w:val="DefaultParagraphFont"/>
    <w:link w:val="Heading6"/>
    <w:uiPriority w:val="9"/>
    <w:semiHidden/>
    <w:rsid w:val="0035733C"/>
    <w:rPr>
      <w:rFonts w:eastAsiaTheme="minorEastAsia"/>
      <w:b/>
      <w:bCs/>
    </w:rPr>
  </w:style>
  <w:style w:type="paragraph" w:styleId="BodyTextIndent">
    <w:name w:val="Body Text Indent"/>
    <w:basedOn w:val="Normal"/>
    <w:link w:val="BodyTextIndentChar"/>
    <w:uiPriority w:val="99"/>
    <w:semiHidden/>
    <w:unhideWhenUsed/>
    <w:rsid w:val="0035733C"/>
    <w:pPr>
      <w:spacing w:after="120"/>
      <w:ind w:left="360"/>
    </w:pPr>
  </w:style>
  <w:style w:type="character" w:customStyle="1" w:styleId="BodyTextIndentChar">
    <w:name w:val="Body Text Indent Char"/>
    <w:basedOn w:val="DefaultParagraphFont"/>
    <w:link w:val="BodyTextIndent"/>
    <w:uiPriority w:val="99"/>
    <w:semiHidden/>
    <w:rsid w:val="0035733C"/>
    <w:rPr>
      <w:rFonts w:ascii="Times New Roman" w:eastAsia="Times New Roman" w:hAnsi="Times New Roman" w:cs="Times New Roman"/>
      <w:sz w:val="24"/>
      <w:szCs w:val="24"/>
    </w:rPr>
  </w:style>
  <w:style w:type="paragraph" w:customStyle="1" w:styleId="ConcSD">
    <w:name w:val="Conc/SD"/>
    <w:basedOn w:val="BodyText"/>
    <w:rsid w:val="0035733C"/>
    <w:pPr>
      <w:tabs>
        <w:tab w:val="center" w:pos="1800"/>
        <w:tab w:val="center" w:pos="4320"/>
      </w:tabs>
      <w:suppressAutoHyphens w:val="0"/>
      <w:autoSpaceDE/>
      <w:autoSpaceDN/>
      <w:adjustRightInd/>
      <w:spacing w:after="40" w:line="160" w:lineRule="atLeast"/>
      <w:textAlignment w:val="auto"/>
    </w:pPr>
    <w:rPr>
      <w:rFonts w:ascii="Times New Roman" w:hAnsi="Times New Roman" w:cs="Times New Roman"/>
      <w:b/>
      <w:color w:val="auto"/>
      <w:sz w:val="20"/>
      <w:szCs w:val="20"/>
    </w:rPr>
  </w:style>
  <w:style w:type="character" w:customStyle="1" w:styleId="TableBodyText">
    <w:name w:val="Table Body Text"/>
    <w:rsid w:val="0035733C"/>
    <w:rPr>
      <w:rFonts w:ascii="HelenPro-Cond" w:hAnsi="HelenPro-Cond"/>
      <w:position w:val="0"/>
      <w:sz w:val="14"/>
      <w:szCs w:val="14"/>
    </w:rPr>
  </w:style>
  <w:style w:type="paragraph" w:styleId="Caption">
    <w:name w:val="caption"/>
    <w:basedOn w:val="Normal"/>
    <w:next w:val="Normal"/>
    <w:qFormat/>
    <w:rsid w:val="0035733C"/>
    <w:pPr>
      <w:spacing w:before="144" w:after="43" w:line="160" w:lineRule="atLeast"/>
    </w:pPr>
    <w:rPr>
      <w:bCs/>
      <w:sz w:val="20"/>
      <w:szCs w:val="20"/>
    </w:rPr>
  </w:style>
  <w:style w:type="paragraph" w:styleId="Title">
    <w:name w:val="Title"/>
    <w:basedOn w:val="NoParagraphStyle"/>
    <w:link w:val="TitleChar"/>
    <w:qFormat/>
    <w:rsid w:val="00252966"/>
    <w:pPr>
      <w:suppressAutoHyphens/>
      <w:spacing w:after="58" w:line="150" w:lineRule="atLeast"/>
    </w:pPr>
    <w:rPr>
      <w:rFonts w:ascii="Helen Pro Cond" w:hAnsi="Helen Pro Cond" w:cs="Helen Pro Cond"/>
      <w:b/>
      <w:bCs/>
      <w:sz w:val="20"/>
      <w:szCs w:val="20"/>
    </w:rPr>
  </w:style>
  <w:style w:type="character" w:customStyle="1" w:styleId="TitleChar">
    <w:name w:val="Title Char"/>
    <w:basedOn w:val="DefaultParagraphFont"/>
    <w:link w:val="Title"/>
    <w:rsid w:val="00252966"/>
    <w:rPr>
      <w:rFonts w:ascii="Helen Pro Cond" w:eastAsia="Times New Roman" w:hAnsi="Helen Pro Cond" w:cs="Helen Pro Cond"/>
      <w:b/>
      <w:bCs/>
      <w:color w:val="000000"/>
      <w:sz w:val="20"/>
      <w:szCs w:val="20"/>
    </w:rPr>
  </w:style>
  <w:style w:type="paragraph" w:customStyle="1" w:styleId="BodyTextRiskandSafety">
    <w:name w:val="Body Text (Risk and Safety)"/>
    <w:basedOn w:val="NoParagraphStyle"/>
    <w:rsid w:val="00252966"/>
    <w:pPr>
      <w:tabs>
        <w:tab w:val="left" w:pos="1780"/>
      </w:tabs>
      <w:suppressAutoHyphens/>
      <w:spacing w:line="150" w:lineRule="atLeast"/>
      <w:ind w:left="900"/>
    </w:pPr>
    <w:rPr>
      <w:rFonts w:ascii="Helen Pro Cond" w:hAnsi="Helen Pro Cond" w:cs="Helen Pro Cond"/>
      <w:sz w:val="15"/>
      <w:szCs w:val="15"/>
    </w:rPr>
  </w:style>
  <w:style w:type="paragraph" w:styleId="ListParagraph">
    <w:name w:val="List Paragraph"/>
    <w:basedOn w:val="Normal"/>
    <w:uiPriority w:val="34"/>
    <w:qFormat/>
    <w:rsid w:val="006C03F0"/>
    <w:pPr>
      <w:ind w:left="720"/>
    </w:pPr>
  </w:style>
  <w:style w:type="character" w:styleId="Hyperlink">
    <w:name w:val="Hyperlink"/>
    <w:basedOn w:val="DefaultParagraphFont"/>
    <w:uiPriority w:val="99"/>
    <w:unhideWhenUsed/>
    <w:rsid w:val="007E07A4"/>
    <w:rPr>
      <w:color w:val="0000FF" w:themeColor="hyperlink"/>
      <w:u w:val="single"/>
    </w:rPr>
  </w:style>
  <w:style w:type="paragraph" w:styleId="BalloonText">
    <w:name w:val="Balloon Text"/>
    <w:basedOn w:val="Normal"/>
    <w:link w:val="BalloonTextChar"/>
    <w:uiPriority w:val="99"/>
    <w:semiHidden/>
    <w:unhideWhenUsed/>
    <w:rsid w:val="0095062A"/>
    <w:rPr>
      <w:rFonts w:ascii="Tahoma" w:hAnsi="Tahoma" w:cs="Tahoma"/>
      <w:sz w:val="16"/>
      <w:szCs w:val="16"/>
    </w:rPr>
  </w:style>
  <w:style w:type="character" w:customStyle="1" w:styleId="BalloonTextChar">
    <w:name w:val="Balloon Text Char"/>
    <w:basedOn w:val="DefaultParagraphFont"/>
    <w:link w:val="BalloonText"/>
    <w:uiPriority w:val="99"/>
    <w:semiHidden/>
    <w:rsid w:val="009506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isherhealthcare.com" TargetMode="External"/><Relationship Id="rId4" Type="http://schemas.microsoft.com/office/2007/relationships/stylesWithEffects" Target="stylesWithEffects.xml"/><Relationship Id="rId9" Type="http://schemas.openxmlformats.org/officeDocument/2006/relationships/hyperlink" Target="http://www.fisherhealthca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8DAC-A396-4255-A18D-63BAFE7C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espositol</dc:creator>
  <cp:lastModifiedBy>Jennifer M Lore</cp:lastModifiedBy>
  <cp:revision>3</cp:revision>
  <cp:lastPrinted>2016-02-10T17:39:00Z</cp:lastPrinted>
  <dcterms:created xsi:type="dcterms:W3CDTF">2016-08-11T18:45:00Z</dcterms:created>
  <dcterms:modified xsi:type="dcterms:W3CDTF">2016-08-30T13:59:00Z</dcterms:modified>
</cp:coreProperties>
</file>