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601" w:rsidRPr="003D2CB4" w:rsidRDefault="003D2CB4">
      <w:pPr>
        <w:pStyle w:val="Heading1"/>
        <w:rPr>
          <w:color w:val="FF0000"/>
        </w:rPr>
      </w:pPr>
      <w:r>
        <w:rPr>
          <w:color w:val="FF0000"/>
        </w:rPr>
        <w:t>ONLY CHANGE IS SCANNNING INTO SOFT MEDIA</w:t>
      </w:r>
    </w:p>
    <w:p w:rsidR="004D2601" w:rsidRDefault="004D2601">
      <w:pPr>
        <w:rPr>
          <w:b/>
          <w:bCs/>
          <w:sz w:val="28"/>
        </w:rPr>
      </w:pPr>
      <w:r>
        <w:rPr>
          <w:b/>
          <w:bCs/>
          <w:sz w:val="28"/>
        </w:rPr>
        <w:t>TITLE:  Basic TEG Testing</w:t>
      </w:r>
    </w:p>
    <w:p w:rsidR="004D2601" w:rsidRDefault="004D2601">
      <w:pPr>
        <w:rPr>
          <w:b/>
          <w:bCs/>
          <w:sz w:val="28"/>
        </w:rPr>
      </w:pPr>
    </w:p>
    <w:p w:rsidR="004D2601" w:rsidRDefault="004D2601">
      <w:pPr>
        <w:pStyle w:val="Default"/>
        <w:rPr>
          <w:rFonts w:ascii="Times New Roman" w:hAnsi="Times New Roman" w:cs="Times New Roman"/>
        </w:rPr>
      </w:pPr>
      <w:r>
        <w:rPr>
          <w:rFonts w:ascii="Times New Roman" w:hAnsi="Times New Roman" w:cs="Times New Roman"/>
          <w:b/>
          <w:bCs/>
        </w:rPr>
        <w:t xml:space="preserve">PRINCIPLE: </w:t>
      </w:r>
      <w:r>
        <w:rPr>
          <w:rFonts w:ascii="Times New Roman" w:hAnsi="Times New Roman" w:cs="Times New Roman"/>
        </w:rPr>
        <w:t>The Thrombelastograph (TEG) analyzer is a non-invasive diagnostic instrument designed to monitor and analyze the coagulation state of a blood sample in order to assist in the assessment of patient clinical hemostasis conditions.  The TEG analyzer measures a clot’s properties using a small cup that holds the blood and slowly oscillates.  A pin, held by a thin wire is suspended in the blood.  When a clot forms, it links the pin and cup together and the movement of the pin is converted to electrical signals which are monitored by a computer.</w:t>
      </w:r>
    </w:p>
    <w:p w:rsidR="004D2601" w:rsidRDefault="004D2601">
      <w:pPr>
        <w:rPr>
          <w:b/>
          <w:bCs/>
          <w:sz w:val="24"/>
        </w:rPr>
      </w:pPr>
    </w:p>
    <w:p w:rsidR="004D2601" w:rsidRDefault="004D2601">
      <w:pPr>
        <w:rPr>
          <w:b/>
          <w:bCs/>
          <w:sz w:val="24"/>
        </w:rPr>
      </w:pPr>
      <w:r>
        <w:rPr>
          <w:b/>
          <w:bCs/>
          <w:sz w:val="24"/>
        </w:rPr>
        <w:t>CLINICAL SIGNIFICANCE:</w:t>
      </w:r>
    </w:p>
    <w:p w:rsidR="004D2601" w:rsidRDefault="004D2601">
      <w:pPr>
        <w:pStyle w:val="Heading6"/>
      </w:pPr>
      <w:r>
        <w:t>The Thrombelastograph (TEG) Hemostasis Analyzer TEG-5000 series is a non-invasive diagnostic instrument designed to monitor and analyze the hematological state of a blood sample in order to assist in the assessment of patient clinical hemostasis conditions.</w:t>
      </w:r>
    </w:p>
    <w:p w:rsidR="004D2601" w:rsidRDefault="004D2601"/>
    <w:p w:rsidR="004D2601" w:rsidRDefault="004D2601">
      <w:pPr>
        <w:rPr>
          <w:sz w:val="24"/>
        </w:rPr>
      </w:pPr>
      <w:r>
        <w:rPr>
          <w:sz w:val="24"/>
        </w:rPr>
        <w:t>The TEG Hemostasis System is indicated for use with adult patient</w:t>
      </w:r>
      <w:r w:rsidR="00392A88">
        <w:rPr>
          <w:sz w:val="24"/>
        </w:rPr>
        <w:t>s</w:t>
      </w:r>
      <w:r>
        <w:rPr>
          <w:sz w:val="24"/>
        </w:rPr>
        <w:t xml:space="preserve"> where an evaluation of their blood hemostatic properties is desired.</w:t>
      </w:r>
    </w:p>
    <w:p w:rsidR="004D2601" w:rsidRDefault="004D2601">
      <w:pPr>
        <w:rPr>
          <w:sz w:val="24"/>
        </w:rPr>
      </w:pPr>
    </w:p>
    <w:p w:rsidR="004D2601" w:rsidRDefault="004D2601">
      <w:pPr>
        <w:rPr>
          <w:sz w:val="24"/>
        </w:rPr>
      </w:pPr>
      <w:r>
        <w:rPr>
          <w:sz w:val="24"/>
        </w:rPr>
        <w:t>Hemostasis evaluations are commonly used to assess clinical conditions such as post-</w:t>
      </w:r>
      <w:r w:rsidR="00DE26A3">
        <w:rPr>
          <w:sz w:val="24"/>
        </w:rPr>
        <w:t>operative</w:t>
      </w:r>
      <w:r>
        <w:rPr>
          <w:sz w:val="24"/>
        </w:rPr>
        <w:t xml:space="preserve"> hemorrhage and/or thrombosis during and following cardiovascular surgery, organ transplantation, trauma, and cardiology procedures.</w:t>
      </w:r>
    </w:p>
    <w:p w:rsidR="004D2601" w:rsidRDefault="004D2601">
      <w:pPr>
        <w:pStyle w:val="Heading3"/>
        <w:spacing w:before="0" w:after="0"/>
      </w:pPr>
    </w:p>
    <w:p w:rsidR="004D2601" w:rsidRDefault="004D2601">
      <w:pPr>
        <w:rPr>
          <w:b/>
          <w:bCs/>
          <w:sz w:val="22"/>
        </w:rPr>
      </w:pPr>
      <w:r>
        <w:rPr>
          <w:b/>
          <w:bCs/>
          <w:sz w:val="22"/>
        </w:rPr>
        <w:t>PERSONNEL:</w:t>
      </w:r>
    </w:p>
    <w:p w:rsidR="004D2601" w:rsidRDefault="004D2601">
      <w:pPr>
        <w:pStyle w:val="Heading6"/>
      </w:pPr>
      <w:r>
        <w:t>Medical Technologists</w:t>
      </w:r>
    </w:p>
    <w:p w:rsidR="004D2601" w:rsidRDefault="004D2601">
      <w:pPr>
        <w:rPr>
          <w:sz w:val="24"/>
        </w:rPr>
      </w:pPr>
    </w:p>
    <w:p w:rsidR="004D2601" w:rsidRDefault="004D2601">
      <w:pPr>
        <w:pStyle w:val="Heading3"/>
        <w:spacing w:before="0" w:after="0"/>
        <w:rPr>
          <w:bCs/>
        </w:rPr>
      </w:pPr>
      <w:r>
        <w:rPr>
          <w:bCs/>
        </w:rPr>
        <w:t>EQUIPMENT AND REAGENT PREPARATION</w:t>
      </w:r>
    </w:p>
    <w:p w:rsidR="004D2601" w:rsidRDefault="004D2601">
      <w:pPr>
        <w:pStyle w:val="Footer"/>
        <w:tabs>
          <w:tab w:val="clear" w:pos="4320"/>
          <w:tab w:val="clear" w:pos="8640"/>
        </w:tabs>
      </w:pPr>
    </w:p>
    <w:p w:rsidR="004D2601" w:rsidRDefault="004D2601">
      <w:pPr>
        <w:pStyle w:val="Footer"/>
        <w:tabs>
          <w:tab w:val="clear" w:pos="4320"/>
          <w:tab w:val="clear" w:pos="8640"/>
        </w:tabs>
        <w:rPr>
          <w:sz w:val="24"/>
        </w:rPr>
      </w:pPr>
      <w:r>
        <w:tab/>
      </w:r>
      <w:r>
        <w:rPr>
          <w:sz w:val="24"/>
        </w:rPr>
        <w:t xml:space="preserve">      1.</w:t>
      </w:r>
      <w:r>
        <w:rPr>
          <w:sz w:val="24"/>
        </w:rPr>
        <w:tab/>
        <w:t>Teg Analyzer/Computer</w:t>
      </w:r>
    </w:p>
    <w:p w:rsidR="004D2601" w:rsidRDefault="004D2601" w:rsidP="00BD6B8F">
      <w:pPr>
        <w:numPr>
          <w:ilvl w:val="1"/>
          <w:numId w:val="4"/>
        </w:numPr>
        <w:rPr>
          <w:sz w:val="24"/>
        </w:rPr>
      </w:pPr>
      <w:r>
        <w:rPr>
          <w:sz w:val="24"/>
        </w:rPr>
        <w:t>Plain cups and pins</w:t>
      </w:r>
    </w:p>
    <w:p w:rsidR="004D2601" w:rsidRDefault="004D2601" w:rsidP="00BD6B8F">
      <w:pPr>
        <w:numPr>
          <w:ilvl w:val="1"/>
          <w:numId w:val="4"/>
        </w:numPr>
        <w:rPr>
          <w:sz w:val="24"/>
        </w:rPr>
      </w:pPr>
      <w:r>
        <w:rPr>
          <w:sz w:val="24"/>
        </w:rPr>
        <w:t>Heparinased cup and pins</w:t>
      </w:r>
    </w:p>
    <w:p w:rsidR="004D2601" w:rsidRDefault="004D2601" w:rsidP="00BD6B8F">
      <w:pPr>
        <w:numPr>
          <w:ilvl w:val="1"/>
          <w:numId w:val="4"/>
        </w:numPr>
        <w:rPr>
          <w:sz w:val="24"/>
        </w:rPr>
      </w:pPr>
      <w:r>
        <w:rPr>
          <w:sz w:val="24"/>
        </w:rPr>
        <w:t>Kaolin</w:t>
      </w:r>
    </w:p>
    <w:p w:rsidR="004D2601" w:rsidRDefault="004D2601" w:rsidP="00BD6B8F">
      <w:pPr>
        <w:numPr>
          <w:ilvl w:val="1"/>
          <w:numId w:val="4"/>
        </w:numPr>
        <w:rPr>
          <w:sz w:val="24"/>
        </w:rPr>
      </w:pPr>
      <w:r>
        <w:rPr>
          <w:sz w:val="24"/>
        </w:rPr>
        <w:t>340/360 Pipette</w:t>
      </w:r>
    </w:p>
    <w:p w:rsidR="004D2601" w:rsidRDefault="004D2601" w:rsidP="00BD6B8F">
      <w:pPr>
        <w:numPr>
          <w:ilvl w:val="1"/>
          <w:numId w:val="4"/>
        </w:numPr>
        <w:rPr>
          <w:sz w:val="24"/>
        </w:rPr>
      </w:pPr>
      <w:r>
        <w:rPr>
          <w:sz w:val="24"/>
        </w:rPr>
        <w:t>20 Pipette</w:t>
      </w:r>
    </w:p>
    <w:p w:rsidR="004D2601" w:rsidRDefault="004D2601">
      <w:pPr>
        <w:rPr>
          <w:b/>
          <w:bCs/>
          <w:sz w:val="24"/>
        </w:rPr>
      </w:pPr>
    </w:p>
    <w:p w:rsidR="004D2601" w:rsidRDefault="004D2601">
      <w:pPr>
        <w:rPr>
          <w:b/>
          <w:bCs/>
          <w:sz w:val="24"/>
        </w:rPr>
      </w:pPr>
    </w:p>
    <w:p w:rsidR="004D2601" w:rsidRDefault="004D2601">
      <w:pPr>
        <w:rPr>
          <w:b/>
          <w:bCs/>
          <w:sz w:val="24"/>
        </w:rPr>
      </w:pPr>
      <w:r>
        <w:rPr>
          <w:b/>
          <w:bCs/>
          <w:sz w:val="24"/>
        </w:rPr>
        <w:t>COLLECTION OF SAMPLE</w:t>
      </w:r>
    </w:p>
    <w:p w:rsidR="004D2601" w:rsidRDefault="004D2601">
      <w:pPr>
        <w:pStyle w:val="Heading7"/>
      </w:pPr>
    </w:p>
    <w:p w:rsidR="004D2601" w:rsidRDefault="004D2601">
      <w:pPr>
        <w:pStyle w:val="Heading8"/>
      </w:pPr>
      <w:r>
        <w:t>Specimen Collection</w:t>
      </w:r>
    </w:p>
    <w:p w:rsidR="004D2601" w:rsidRDefault="004D2601"/>
    <w:p w:rsidR="004D2601" w:rsidRDefault="004D2601"/>
    <w:p w:rsidR="004D2601" w:rsidRDefault="004D2601"/>
    <w:p w:rsidR="004D2601" w:rsidRDefault="004D2601">
      <w:pPr>
        <w:pStyle w:val="BodyText2"/>
      </w:pPr>
      <w:r>
        <w:t>No special preparation of the patient is required prior to specimen collection.  Blood should be drawn by an aseptic technique and the serum or plasma should be tested as soon as possible.</w:t>
      </w:r>
    </w:p>
    <w:p w:rsidR="004D2601" w:rsidRDefault="004D2601">
      <w:pPr>
        <w:rPr>
          <w:sz w:val="24"/>
        </w:rPr>
      </w:pPr>
    </w:p>
    <w:p w:rsidR="004D2601" w:rsidRDefault="004D2601">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5"/>
        <w:gridCol w:w="1915"/>
        <w:gridCol w:w="1915"/>
        <w:gridCol w:w="1915"/>
        <w:gridCol w:w="1916"/>
      </w:tblGrid>
      <w:tr w:rsidR="004D2601">
        <w:trPr>
          <w:jc w:val="center"/>
        </w:trPr>
        <w:tc>
          <w:tcPr>
            <w:tcW w:w="1915" w:type="dxa"/>
          </w:tcPr>
          <w:p w:rsidR="004D2601" w:rsidRDefault="004D2601">
            <w:r>
              <w:lastRenderedPageBreak/>
              <w:t>Teg Sample Type</w:t>
            </w:r>
          </w:p>
        </w:tc>
        <w:tc>
          <w:tcPr>
            <w:tcW w:w="1915" w:type="dxa"/>
          </w:tcPr>
          <w:p w:rsidR="004D2601" w:rsidRDefault="004D2601">
            <w:r>
              <w:t>CK</w:t>
            </w:r>
          </w:p>
          <w:p w:rsidR="004D2601" w:rsidRDefault="004D2601">
            <w:r>
              <w:t>Citrated Kaolin</w:t>
            </w:r>
          </w:p>
        </w:tc>
        <w:tc>
          <w:tcPr>
            <w:tcW w:w="1915" w:type="dxa"/>
          </w:tcPr>
          <w:p w:rsidR="004D2601" w:rsidRDefault="004D2601">
            <w:r>
              <w:t>CKH</w:t>
            </w:r>
          </w:p>
          <w:p w:rsidR="004D2601" w:rsidRDefault="004D2601">
            <w:r>
              <w:t>Citrated Kaolin</w:t>
            </w:r>
          </w:p>
          <w:p w:rsidR="004D2601" w:rsidRDefault="004D2601">
            <w:r>
              <w:t>Heparinase</w:t>
            </w:r>
          </w:p>
        </w:tc>
        <w:tc>
          <w:tcPr>
            <w:tcW w:w="1915" w:type="dxa"/>
          </w:tcPr>
          <w:p w:rsidR="004D2601" w:rsidRDefault="004D2601">
            <w:r>
              <w:t xml:space="preserve">K </w:t>
            </w:r>
          </w:p>
          <w:p w:rsidR="004D2601" w:rsidRDefault="004D2601">
            <w:r>
              <w:t>Kaolin</w:t>
            </w:r>
          </w:p>
        </w:tc>
        <w:tc>
          <w:tcPr>
            <w:tcW w:w="1916" w:type="dxa"/>
          </w:tcPr>
          <w:p w:rsidR="004D2601" w:rsidRDefault="004D2601">
            <w:r>
              <w:t>KH</w:t>
            </w:r>
          </w:p>
          <w:p w:rsidR="004D2601" w:rsidRDefault="004D2601">
            <w:r>
              <w:t>Kaolin Heparinase</w:t>
            </w:r>
          </w:p>
        </w:tc>
      </w:tr>
      <w:tr w:rsidR="004D2601">
        <w:trPr>
          <w:jc w:val="center"/>
        </w:trPr>
        <w:tc>
          <w:tcPr>
            <w:tcW w:w="1915" w:type="dxa"/>
          </w:tcPr>
          <w:p w:rsidR="004D2601" w:rsidRDefault="004D2601">
            <w:r>
              <w:t>Blood Draw</w:t>
            </w:r>
          </w:p>
        </w:tc>
        <w:tc>
          <w:tcPr>
            <w:tcW w:w="1915" w:type="dxa"/>
          </w:tcPr>
          <w:p w:rsidR="004D2601" w:rsidRDefault="004D2601">
            <w:r>
              <w:t>Citrate Tube</w:t>
            </w:r>
          </w:p>
          <w:p w:rsidR="004D2601" w:rsidRDefault="004D2601">
            <w:r>
              <w:t>2-5mL</w:t>
            </w:r>
          </w:p>
        </w:tc>
        <w:tc>
          <w:tcPr>
            <w:tcW w:w="1915" w:type="dxa"/>
          </w:tcPr>
          <w:p w:rsidR="004D2601" w:rsidRDefault="004D2601">
            <w:r>
              <w:t>Citrate Tube</w:t>
            </w:r>
          </w:p>
          <w:p w:rsidR="004D2601" w:rsidRDefault="004D2601">
            <w:r>
              <w:t>2-5mL</w:t>
            </w:r>
          </w:p>
        </w:tc>
        <w:tc>
          <w:tcPr>
            <w:tcW w:w="1915" w:type="dxa"/>
          </w:tcPr>
          <w:p w:rsidR="004D2601" w:rsidRDefault="004D2601">
            <w:r>
              <w:t>Syringe Blood</w:t>
            </w:r>
          </w:p>
          <w:p w:rsidR="004D2601" w:rsidRDefault="004D2601">
            <w:r>
              <w:t>(in polypropylene tube)  3-5 mL</w:t>
            </w:r>
          </w:p>
        </w:tc>
        <w:tc>
          <w:tcPr>
            <w:tcW w:w="1916" w:type="dxa"/>
          </w:tcPr>
          <w:p w:rsidR="004D2601" w:rsidRDefault="004D2601">
            <w:r>
              <w:t>Syringe Blood</w:t>
            </w:r>
          </w:p>
          <w:p w:rsidR="004D2601" w:rsidRDefault="004D2601">
            <w:r>
              <w:t>(in polypropylene tube)  3-5 mL</w:t>
            </w:r>
          </w:p>
        </w:tc>
      </w:tr>
      <w:tr w:rsidR="004D2601">
        <w:trPr>
          <w:jc w:val="center"/>
        </w:trPr>
        <w:tc>
          <w:tcPr>
            <w:tcW w:w="1915" w:type="dxa"/>
          </w:tcPr>
          <w:p w:rsidR="004D2601" w:rsidRDefault="004D2601">
            <w:r>
              <w:t>Time to Test</w:t>
            </w:r>
          </w:p>
        </w:tc>
        <w:tc>
          <w:tcPr>
            <w:tcW w:w="1915" w:type="dxa"/>
          </w:tcPr>
          <w:p w:rsidR="004D2601" w:rsidRDefault="004D2601">
            <w:r>
              <w:t>15 min – 2 hours</w:t>
            </w:r>
          </w:p>
        </w:tc>
        <w:tc>
          <w:tcPr>
            <w:tcW w:w="1915" w:type="dxa"/>
          </w:tcPr>
          <w:p w:rsidR="004D2601" w:rsidRDefault="004D2601">
            <w:r>
              <w:t>15 min – 2 hours</w:t>
            </w:r>
          </w:p>
        </w:tc>
        <w:tc>
          <w:tcPr>
            <w:tcW w:w="1915" w:type="dxa"/>
          </w:tcPr>
          <w:p w:rsidR="004D2601" w:rsidRDefault="004D2601">
            <w:r>
              <w:t>&lt;4 min</w:t>
            </w:r>
          </w:p>
        </w:tc>
        <w:tc>
          <w:tcPr>
            <w:tcW w:w="1916" w:type="dxa"/>
          </w:tcPr>
          <w:p w:rsidR="004D2601" w:rsidRDefault="004D2601">
            <w:r>
              <w:t>&lt;4 min</w:t>
            </w:r>
          </w:p>
        </w:tc>
      </w:tr>
      <w:tr w:rsidR="004D2601">
        <w:trPr>
          <w:jc w:val="center"/>
        </w:trPr>
        <w:tc>
          <w:tcPr>
            <w:tcW w:w="1915" w:type="dxa"/>
          </w:tcPr>
          <w:p w:rsidR="004D2601" w:rsidRDefault="004D2601">
            <w:r>
              <w:t>Cup and Pin</w:t>
            </w:r>
          </w:p>
        </w:tc>
        <w:tc>
          <w:tcPr>
            <w:tcW w:w="1915" w:type="dxa"/>
          </w:tcPr>
          <w:p w:rsidR="004D2601" w:rsidRDefault="004D2601">
            <w:r>
              <w:t>Clear</w:t>
            </w:r>
          </w:p>
        </w:tc>
        <w:tc>
          <w:tcPr>
            <w:tcW w:w="1915" w:type="dxa"/>
          </w:tcPr>
          <w:p w:rsidR="004D2601" w:rsidRDefault="004D2601">
            <w:r>
              <w:t>Blue</w:t>
            </w:r>
          </w:p>
        </w:tc>
        <w:tc>
          <w:tcPr>
            <w:tcW w:w="1915" w:type="dxa"/>
          </w:tcPr>
          <w:p w:rsidR="004D2601" w:rsidRDefault="004D2601">
            <w:r>
              <w:t>Clear</w:t>
            </w:r>
          </w:p>
        </w:tc>
        <w:tc>
          <w:tcPr>
            <w:tcW w:w="1916" w:type="dxa"/>
          </w:tcPr>
          <w:p w:rsidR="004D2601" w:rsidRDefault="004D2601">
            <w:r>
              <w:t>Blue</w:t>
            </w:r>
          </w:p>
        </w:tc>
      </w:tr>
      <w:tr w:rsidR="004D2601">
        <w:trPr>
          <w:jc w:val="center"/>
        </w:trPr>
        <w:tc>
          <w:tcPr>
            <w:tcW w:w="1915" w:type="dxa"/>
          </w:tcPr>
          <w:p w:rsidR="004D2601" w:rsidRDefault="004D2601">
            <w:r>
              <w:t>Kaolin Vial</w:t>
            </w:r>
          </w:p>
        </w:tc>
        <w:tc>
          <w:tcPr>
            <w:tcW w:w="1915" w:type="dxa"/>
          </w:tcPr>
          <w:p w:rsidR="004D2601" w:rsidRDefault="004D2601">
            <w:r>
              <w:t>1 mL</w:t>
            </w:r>
          </w:p>
        </w:tc>
        <w:tc>
          <w:tcPr>
            <w:tcW w:w="1915" w:type="dxa"/>
          </w:tcPr>
          <w:p w:rsidR="004D2601" w:rsidRDefault="004D2601">
            <w:r>
              <w:t>1 mL</w:t>
            </w:r>
          </w:p>
        </w:tc>
        <w:tc>
          <w:tcPr>
            <w:tcW w:w="1915" w:type="dxa"/>
          </w:tcPr>
          <w:p w:rsidR="004D2601" w:rsidRDefault="004D2601">
            <w:r>
              <w:t>1mL</w:t>
            </w:r>
          </w:p>
        </w:tc>
        <w:tc>
          <w:tcPr>
            <w:tcW w:w="1916" w:type="dxa"/>
          </w:tcPr>
          <w:p w:rsidR="004D2601" w:rsidRDefault="004D2601">
            <w:r>
              <w:t>1mL</w:t>
            </w:r>
          </w:p>
        </w:tc>
      </w:tr>
      <w:tr w:rsidR="004D2601">
        <w:trPr>
          <w:jc w:val="center"/>
        </w:trPr>
        <w:tc>
          <w:tcPr>
            <w:tcW w:w="1915" w:type="dxa"/>
          </w:tcPr>
          <w:p w:rsidR="004D2601" w:rsidRDefault="00DE26A3">
            <w:r>
              <w:t>Additional</w:t>
            </w:r>
            <w:r w:rsidR="004D2601">
              <w:t xml:space="preserve"> Reagents</w:t>
            </w:r>
          </w:p>
        </w:tc>
        <w:tc>
          <w:tcPr>
            <w:tcW w:w="1915" w:type="dxa"/>
          </w:tcPr>
          <w:p w:rsidR="004D2601" w:rsidRDefault="004D2601">
            <w:r>
              <w:t>20µL of</w:t>
            </w:r>
          </w:p>
          <w:p w:rsidR="004D2601" w:rsidRDefault="004D2601">
            <w:pPr>
              <w:rPr>
                <w:u w:val="single"/>
              </w:rPr>
            </w:pPr>
            <w:r>
              <w:t>0.2 CaCl</w:t>
            </w:r>
            <w:r>
              <w:rPr>
                <w:rFonts w:ascii="Calibri" w:hAnsi="Calibri"/>
              </w:rPr>
              <w:t>₂</w:t>
            </w:r>
          </w:p>
        </w:tc>
        <w:tc>
          <w:tcPr>
            <w:tcW w:w="1915" w:type="dxa"/>
          </w:tcPr>
          <w:p w:rsidR="004D2601" w:rsidRDefault="004D2601">
            <w:r>
              <w:t>20µL of</w:t>
            </w:r>
          </w:p>
          <w:p w:rsidR="004D2601" w:rsidRDefault="004D2601">
            <w:r>
              <w:t>0.2 CaCl</w:t>
            </w:r>
            <w:r>
              <w:rPr>
                <w:rFonts w:ascii="Calibri" w:hAnsi="Calibri"/>
              </w:rPr>
              <w:t>₂</w:t>
            </w:r>
          </w:p>
        </w:tc>
        <w:tc>
          <w:tcPr>
            <w:tcW w:w="1915" w:type="dxa"/>
          </w:tcPr>
          <w:p w:rsidR="004D2601" w:rsidRDefault="004D2601">
            <w:r>
              <w:t>__</w:t>
            </w:r>
          </w:p>
        </w:tc>
        <w:tc>
          <w:tcPr>
            <w:tcW w:w="1916" w:type="dxa"/>
          </w:tcPr>
          <w:p w:rsidR="004D2601" w:rsidRDefault="004D2601">
            <w:r>
              <w:t>__</w:t>
            </w:r>
          </w:p>
        </w:tc>
      </w:tr>
      <w:tr w:rsidR="004D2601">
        <w:trPr>
          <w:jc w:val="center"/>
        </w:trPr>
        <w:tc>
          <w:tcPr>
            <w:tcW w:w="1915" w:type="dxa"/>
          </w:tcPr>
          <w:p w:rsidR="004D2601" w:rsidRDefault="004D2601">
            <w:r>
              <w:t>Blood</w:t>
            </w:r>
          </w:p>
        </w:tc>
        <w:tc>
          <w:tcPr>
            <w:tcW w:w="1915" w:type="dxa"/>
          </w:tcPr>
          <w:p w:rsidR="004D2601" w:rsidRDefault="004D2601">
            <w:r>
              <w:t>340µL</w:t>
            </w:r>
          </w:p>
          <w:p w:rsidR="004D2601" w:rsidRDefault="004D2601">
            <w:r>
              <w:t>from kaolin vial</w:t>
            </w:r>
          </w:p>
        </w:tc>
        <w:tc>
          <w:tcPr>
            <w:tcW w:w="1915" w:type="dxa"/>
          </w:tcPr>
          <w:p w:rsidR="004D2601" w:rsidRDefault="004D2601">
            <w:r>
              <w:t>340µL</w:t>
            </w:r>
          </w:p>
          <w:p w:rsidR="004D2601" w:rsidRDefault="004D2601">
            <w:r>
              <w:t>from kaolin vial</w:t>
            </w:r>
          </w:p>
        </w:tc>
        <w:tc>
          <w:tcPr>
            <w:tcW w:w="1915" w:type="dxa"/>
          </w:tcPr>
          <w:p w:rsidR="004D2601" w:rsidRDefault="004D2601">
            <w:r>
              <w:t>360µL</w:t>
            </w:r>
          </w:p>
          <w:p w:rsidR="004D2601" w:rsidRDefault="004D2601">
            <w:r>
              <w:t>from kaolin vial</w:t>
            </w:r>
          </w:p>
        </w:tc>
        <w:tc>
          <w:tcPr>
            <w:tcW w:w="1916" w:type="dxa"/>
          </w:tcPr>
          <w:p w:rsidR="004D2601" w:rsidRDefault="004D2601">
            <w:r>
              <w:t>360µL</w:t>
            </w:r>
          </w:p>
          <w:p w:rsidR="004D2601" w:rsidRDefault="004D2601">
            <w:r>
              <w:t>from kaolin vial</w:t>
            </w:r>
          </w:p>
        </w:tc>
      </w:tr>
    </w:tbl>
    <w:p w:rsidR="004D2601" w:rsidRDefault="004D2601">
      <w:pPr>
        <w:rPr>
          <w:i/>
          <w:iCs/>
          <w:sz w:val="24"/>
        </w:rPr>
      </w:pPr>
    </w:p>
    <w:p w:rsidR="004D2601" w:rsidRDefault="004D2601">
      <w:pPr>
        <w:rPr>
          <w:b/>
          <w:bCs/>
          <w:i/>
          <w:iCs/>
          <w:sz w:val="28"/>
        </w:rPr>
      </w:pPr>
      <w:r>
        <w:rPr>
          <w:b/>
          <w:bCs/>
          <w:i/>
          <w:iCs/>
          <w:sz w:val="28"/>
        </w:rPr>
        <w:t>Syringe Samples</w:t>
      </w:r>
    </w:p>
    <w:p w:rsidR="004D2601" w:rsidRDefault="004D2601">
      <w:pPr>
        <w:pStyle w:val="BodyText2"/>
      </w:pPr>
      <w:r>
        <w:t>Draw blood by venipuncture with using a two-syringe technique.  Discard the first 2-3 mL to prevent contamination with tissue.  Attach a clean plastic syringe and draw an additional 3-5mL.  Start a stopwatch when blood first enters the second syringe.</w:t>
      </w:r>
    </w:p>
    <w:p w:rsidR="004D2601" w:rsidRDefault="004D2601">
      <w:pPr>
        <w:rPr>
          <w:i/>
          <w:iCs/>
          <w:sz w:val="24"/>
        </w:rPr>
      </w:pPr>
      <w:r>
        <w:rPr>
          <w:sz w:val="24"/>
        </w:rPr>
        <w:t>For drawing blood during surgery, use the side port of the central venous catheter to approximate results obtained with peripheral blood.</w:t>
      </w:r>
    </w:p>
    <w:p w:rsidR="004D2601" w:rsidRDefault="004D2601">
      <w:pPr>
        <w:rPr>
          <w:i/>
          <w:iCs/>
          <w:sz w:val="24"/>
        </w:rPr>
      </w:pPr>
    </w:p>
    <w:p w:rsidR="004D2601" w:rsidRDefault="004D2601">
      <w:pPr>
        <w:pStyle w:val="Heading7"/>
      </w:pPr>
      <w:r>
        <w:t>Specimen Processing</w:t>
      </w:r>
    </w:p>
    <w:p w:rsidR="004D2601" w:rsidRDefault="004D2601">
      <w:pPr>
        <w:autoSpaceDE w:val="0"/>
        <w:autoSpaceDN w:val="0"/>
        <w:adjustRightInd w:val="0"/>
        <w:rPr>
          <w:sz w:val="24"/>
        </w:rPr>
      </w:pPr>
      <w:r>
        <w:rPr>
          <w:sz w:val="24"/>
        </w:rPr>
        <w:t>Carefully transfer blood from the syringe to the small non-</w:t>
      </w:r>
      <w:proofErr w:type="spellStart"/>
      <w:r>
        <w:rPr>
          <w:sz w:val="24"/>
        </w:rPr>
        <w:t>wettable</w:t>
      </w:r>
      <w:proofErr w:type="spellEnd"/>
      <w:r>
        <w:rPr>
          <w:sz w:val="24"/>
        </w:rPr>
        <w:t xml:space="preserve"> surface (</w:t>
      </w:r>
      <w:r w:rsidR="00DE26A3">
        <w:rPr>
          <w:sz w:val="24"/>
        </w:rPr>
        <w:t>e.g.</w:t>
      </w:r>
      <w:r>
        <w:rPr>
          <w:sz w:val="24"/>
        </w:rPr>
        <w:t>, polypropylene test tube).  Avoid air bubbles and frothing.  Do not shake.  Within 4 minutes, pipette 360 µ</w:t>
      </w:r>
      <w:r w:rsidR="00DE26A3">
        <w:rPr>
          <w:sz w:val="24"/>
        </w:rPr>
        <w:t>L into</w:t>
      </w:r>
      <w:r>
        <w:rPr>
          <w:sz w:val="24"/>
        </w:rPr>
        <w:t xml:space="preserve"> a disposable TEG® cup. You can also use a pretreated TEG® cup containing specific</w:t>
      </w:r>
      <w:r>
        <w:rPr>
          <w:rFonts w:ascii="Arial" w:hAnsi="Arial" w:cs="Arial"/>
        </w:rPr>
        <w:t xml:space="preserve"> </w:t>
      </w:r>
      <w:r>
        <w:rPr>
          <w:sz w:val="24"/>
        </w:rPr>
        <w:t>reagents (e.g., heparin neutralizers, activators, platelet blockers, etc).</w:t>
      </w:r>
    </w:p>
    <w:p w:rsidR="004D2601" w:rsidRDefault="004D2601">
      <w:pPr>
        <w:pStyle w:val="BodyText2"/>
      </w:pPr>
      <w:r>
        <w:t xml:space="preserve">For accurate results, samples must be tested at </w:t>
      </w:r>
      <w:r w:rsidR="00DE26A3">
        <w:t>37 º C</w:t>
      </w:r>
      <w:r>
        <w:t xml:space="preserve"> and within 4 minutes from blood draw unless treated with heparin or sodium citrate.</w:t>
      </w:r>
    </w:p>
    <w:p w:rsidR="004D2601" w:rsidRDefault="004D2601">
      <w:pPr>
        <w:rPr>
          <w:i/>
          <w:iCs/>
          <w:sz w:val="24"/>
        </w:rPr>
      </w:pPr>
    </w:p>
    <w:p w:rsidR="004D2601" w:rsidRDefault="004D2601">
      <w:pPr>
        <w:rPr>
          <w:b/>
          <w:bCs/>
          <w:i/>
          <w:iCs/>
          <w:sz w:val="28"/>
        </w:rPr>
      </w:pPr>
      <w:r>
        <w:rPr>
          <w:b/>
          <w:bCs/>
          <w:i/>
          <w:iCs/>
          <w:sz w:val="28"/>
        </w:rPr>
        <w:t>Citrated Samples</w:t>
      </w:r>
    </w:p>
    <w:p w:rsidR="004D2601" w:rsidRDefault="004D2601">
      <w:pPr>
        <w:pStyle w:val="Heading3"/>
        <w:rPr>
          <w:b w:val="0"/>
          <w:bCs/>
        </w:rPr>
      </w:pPr>
      <w:r>
        <w:rPr>
          <w:b w:val="0"/>
          <w:bCs/>
        </w:rPr>
        <w:t xml:space="preserve">Draw </w:t>
      </w:r>
      <w:r w:rsidR="00DE26A3">
        <w:rPr>
          <w:b w:val="0"/>
          <w:bCs/>
        </w:rPr>
        <w:t>one sodium</w:t>
      </w:r>
      <w:r>
        <w:rPr>
          <w:b w:val="0"/>
          <w:bCs/>
        </w:rPr>
        <w:t xml:space="preserve"> citrate solution, buffered 3.2% (blue top) tube. Tube must incubate for 15 </w:t>
      </w:r>
      <w:r w:rsidR="00DE26A3">
        <w:rPr>
          <w:b w:val="0"/>
          <w:bCs/>
        </w:rPr>
        <w:t>minutes from</w:t>
      </w:r>
      <w:r>
        <w:rPr>
          <w:b w:val="0"/>
          <w:bCs/>
        </w:rPr>
        <w:t xml:space="preserve"> collection at room temperature.</w:t>
      </w:r>
    </w:p>
    <w:p w:rsidR="004D2601" w:rsidRDefault="004D2601">
      <w:pPr>
        <w:pStyle w:val="Heading3"/>
        <w:rPr>
          <w:i/>
          <w:iCs/>
        </w:rPr>
      </w:pPr>
      <w:r>
        <w:t>Citrated Sample usable for two hours only.</w:t>
      </w:r>
    </w:p>
    <w:p w:rsidR="004D2601" w:rsidRDefault="004D2601">
      <w:pPr>
        <w:rPr>
          <w:i/>
          <w:iCs/>
          <w:sz w:val="24"/>
        </w:rPr>
      </w:pPr>
    </w:p>
    <w:p w:rsidR="004D2601" w:rsidRDefault="004D2601">
      <w:pPr>
        <w:pStyle w:val="Heading2"/>
        <w:rPr>
          <w:rFonts w:ascii="Times New Roman" w:hAnsi="Times New Roman"/>
          <w:i w:val="0"/>
          <w:iCs/>
        </w:rPr>
      </w:pPr>
      <w:r>
        <w:rPr>
          <w:rFonts w:ascii="Times New Roman" w:hAnsi="Times New Roman"/>
          <w:i w:val="0"/>
          <w:iCs/>
        </w:rPr>
        <w:t>QUALITY CONTROL:</w:t>
      </w:r>
    </w:p>
    <w:p w:rsidR="004D2601" w:rsidRDefault="004D2601">
      <w:pPr>
        <w:rPr>
          <w:sz w:val="24"/>
        </w:rPr>
      </w:pPr>
    </w:p>
    <w:p w:rsidR="004D2601" w:rsidRDefault="004D2601">
      <w:pPr>
        <w:pStyle w:val="BodyText"/>
        <w:rPr>
          <w:sz w:val="24"/>
        </w:rPr>
      </w:pPr>
      <w:r>
        <w:rPr>
          <w:sz w:val="24"/>
        </w:rPr>
        <w:t xml:space="preserve">Negative and positive controls should be </w:t>
      </w:r>
      <w:r w:rsidR="00DE26A3">
        <w:rPr>
          <w:sz w:val="24"/>
        </w:rPr>
        <w:t>run to</w:t>
      </w:r>
      <w:r>
        <w:rPr>
          <w:sz w:val="24"/>
        </w:rPr>
        <w:t xml:space="preserve"> check on the performance of all testing and on the instrument operation. Controls are run every </w:t>
      </w:r>
      <w:r w:rsidR="00DE26A3">
        <w:rPr>
          <w:sz w:val="24"/>
        </w:rPr>
        <w:t>eight (</w:t>
      </w:r>
      <w:r>
        <w:rPr>
          <w:sz w:val="24"/>
        </w:rPr>
        <w:t>8) hours when testing is performed and/or per manufacturer’s recommendation in the same manner and by the same personnel as the patient testing.</w:t>
      </w:r>
    </w:p>
    <w:p w:rsidR="004D2601" w:rsidRDefault="004D2601">
      <w:pPr>
        <w:pStyle w:val="BodyText"/>
        <w:rPr>
          <w:b/>
          <w:bCs/>
          <w:sz w:val="24"/>
        </w:rPr>
      </w:pPr>
      <w:r>
        <w:rPr>
          <w:sz w:val="24"/>
        </w:rPr>
        <w:t xml:space="preserve">Testing controls provides confidence that all reagents are reacting and being read properly.  Errors resulting from user techniques can also be detected. </w:t>
      </w:r>
    </w:p>
    <w:p w:rsidR="004D2601" w:rsidRDefault="004D2601">
      <w:pPr>
        <w:rPr>
          <w:i/>
          <w:iCs/>
          <w:sz w:val="24"/>
        </w:rPr>
      </w:pPr>
    </w:p>
    <w:p w:rsidR="004D2601" w:rsidRDefault="004D2601">
      <w:pPr>
        <w:rPr>
          <w:i/>
          <w:iCs/>
          <w:sz w:val="24"/>
        </w:rPr>
      </w:pPr>
    </w:p>
    <w:p w:rsidR="004D2601" w:rsidRDefault="004D2601">
      <w:pPr>
        <w:rPr>
          <w:i/>
          <w:iCs/>
          <w:sz w:val="24"/>
        </w:rPr>
      </w:pPr>
    </w:p>
    <w:p w:rsidR="004D2601" w:rsidRDefault="004D2601">
      <w:pPr>
        <w:pStyle w:val="Heading3"/>
        <w:spacing w:before="0" w:after="0"/>
      </w:pPr>
      <w:r>
        <w:t>STEPWISE PROCEDURE</w:t>
      </w:r>
    </w:p>
    <w:p w:rsidR="004D2601" w:rsidRDefault="004D2601"/>
    <w:p w:rsidR="004D2601" w:rsidRDefault="004D2601" w:rsidP="004D2601">
      <w:pPr>
        <w:pStyle w:val="Heading6"/>
      </w:pPr>
      <w:r>
        <w:t>Patient and sample information should be entered before a sample is run.  If this information is not available, you can enter it after you start the sample.</w:t>
      </w:r>
    </w:p>
    <w:p w:rsidR="004D2601" w:rsidRDefault="004D2601"/>
    <w:p w:rsidR="004D2601" w:rsidRDefault="004D2601">
      <w:pPr>
        <w:pStyle w:val="Heading7"/>
        <w:rPr>
          <w:i w:val="0"/>
          <w:iCs w:val="0"/>
        </w:rPr>
      </w:pPr>
      <w:r>
        <w:t>Enter Patient Information</w:t>
      </w:r>
    </w:p>
    <w:p w:rsidR="004D2601" w:rsidRDefault="004D2601">
      <w:pPr>
        <w:pStyle w:val="BodyText2"/>
      </w:pPr>
      <w:r>
        <w:t>To enter a new patient, select a channel, and click on the Case icon (1) in the Main toolbar.</w:t>
      </w:r>
    </w:p>
    <w:p w:rsidR="004D2601" w:rsidRDefault="004F4921">
      <w:pPr>
        <w:pStyle w:val="BodyText2"/>
      </w:pPr>
      <w:r>
        <w:rPr>
          <w:noProof/>
        </w:rPr>
        <w:drawing>
          <wp:inline distT="0" distB="0" distL="0" distR="0">
            <wp:extent cx="4619625" cy="54292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4619625" cy="542925"/>
                    </a:xfrm>
                    <a:prstGeom prst="rect">
                      <a:avLst/>
                    </a:prstGeom>
                    <a:noFill/>
                    <a:ln w="9525">
                      <a:noFill/>
                      <a:miter lim="800000"/>
                      <a:headEnd/>
                      <a:tailEnd/>
                    </a:ln>
                  </pic:spPr>
                </pic:pic>
              </a:graphicData>
            </a:graphic>
          </wp:inline>
        </w:drawing>
      </w:r>
    </w:p>
    <w:p w:rsidR="004D2601" w:rsidRDefault="004D2601">
      <w:pPr>
        <w:pStyle w:val="BodyText2"/>
      </w:pPr>
      <w:r>
        <w:t xml:space="preserve">This brings up the Select case mode </w:t>
      </w:r>
      <w:r w:rsidR="00DE26A3">
        <w:t>dialog box.</w:t>
      </w:r>
      <w:r>
        <w:t xml:space="preserve">  Since the option is pre-set to Add case, click Done (1)</w:t>
      </w:r>
    </w:p>
    <w:p w:rsidR="004D2601" w:rsidRDefault="004F4921">
      <w:pPr>
        <w:pStyle w:val="BodyText2"/>
      </w:pPr>
      <w:r>
        <w:rPr>
          <w:noProof/>
        </w:rPr>
        <w:drawing>
          <wp:inline distT="0" distB="0" distL="0" distR="0">
            <wp:extent cx="5295900" cy="98107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5295900" cy="981075"/>
                    </a:xfrm>
                    <a:prstGeom prst="rect">
                      <a:avLst/>
                    </a:prstGeom>
                    <a:noFill/>
                    <a:ln w="9525">
                      <a:noFill/>
                      <a:miter lim="800000"/>
                      <a:headEnd/>
                      <a:tailEnd/>
                    </a:ln>
                  </pic:spPr>
                </pic:pic>
              </a:graphicData>
            </a:graphic>
          </wp:inline>
        </w:drawing>
      </w:r>
    </w:p>
    <w:p w:rsidR="004D2601" w:rsidRDefault="004D2601">
      <w:pPr>
        <w:pStyle w:val="BodyText2"/>
      </w:pPr>
    </w:p>
    <w:p w:rsidR="004D2601" w:rsidRDefault="004D2601">
      <w:pPr>
        <w:pStyle w:val="BodyText2"/>
      </w:pPr>
      <w:r>
        <w:t>The patient detail screen (Figure 9) is displayed.</w:t>
      </w:r>
    </w:p>
    <w:p w:rsidR="004D2601" w:rsidRDefault="004D2601">
      <w:pPr>
        <w:pStyle w:val="BodyText2"/>
      </w:pPr>
      <w:r>
        <w:t xml:space="preserve">Enter the Patient </w:t>
      </w:r>
      <w:r w:rsidR="00DE26A3">
        <w:t>ID (medical</w:t>
      </w:r>
      <w:r>
        <w:t xml:space="preserve"> record) (1), last name (2), and first name (3) Gender, Age.  Click on Done (4) when finished.</w:t>
      </w:r>
    </w:p>
    <w:p w:rsidR="004D2601" w:rsidRDefault="004F4921">
      <w:pPr>
        <w:pStyle w:val="BodyText2"/>
      </w:pPr>
      <w:r>
        <w:rPr>
          <w:noProof/>
        </w:rPr>
        <w:drawing>
          <wp:inline distT="0" distB="0" distL="0" distR="0">
            <wp:extent cx="5524500" cy="15430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5524500" cy="1543050"/>
                    </a:xfrm>
                    <a:prstGeom prst="rect">
                      <a:avLst/>
                    </a:prstGeom>
                    <a:noFill/>
                    <a:ln w="9525">
                      <a:noFill/>
                      <a:miter lim="800000"/>
                      <a:headEnd/>
                      <a:tailEnd/>
                    </a:ln>
                  </pic:spPr>
                </pic:pic>
              </a:graphicData>
            </a:graphic>
          </wp:inline>
        </w:drawing>
      </w:r>
    </w:p>
    <w:p w:rsidR="004D2601" w:rsidRDefault="004D2601">
      <w:pPr>
        <w:pStyle w:val="BodyText2"/>
      </w:pPr>
    </w:p>
    <w:p w:rsidR="004D2601" w:rsidRDefault="004D2601">
      <w:pPr>
        <w:pStyle w:val="BodyText2"/>
      </w:pPr>
      <w:r>
        <w:t xml:space="preserve">Alternatively, to select a patient entered earlier, in the TEG </w:t>
      </w:r>
      <w:r w:rsidR="00DE26A3">
        <w:t>screen,</w:t>
      </w:r>
      <w:r>
        <w:t xml:space="preserve"> select a channel and click on the </w:t>
      </w:r>
      <w:r w:rsidR="00DE26A3">
        <w:t>pull down</w:t>
      </w:r>
      <w:r>
        <w:t xml:space="preserve"> arrow (1) for the patient name field.</w:t>
      </w:r>
    </w:p>
    <w:p w:rsidR="004D2601" w:rsidRDefault="004D2601">
      <w:pPr>
        <w:pStyle w:val="BodyText2"/>
      </w:pPr>
    </w:p>
    <w:p w:rsidR="004D2601" w:rsidRDefault="004F4921">
      <w:pPr>
        <w:pStyle w:val="BodyText2"/>
      </w:pPr>
      <w:r>
        <w:rPr>
          <w:noProof/>
        </w:rPr>
        <w:drawing>
          <wp:inline distT="0" distB="0" distL="0" distR="0">
            <wp:extent cx="2466975" cy="1133475"/>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2466975" cy="1133475"/>
                    </a:xfrm>
                    <a:prstGeom prst="rect">
                      <a:avLst/>
                    </a:prstGeom>
                    <a:noFill/>
                    <a:ln w="9525">
                      <a:noFill/>
                      <a:miter lim="800000"/>
                      <a:headEnd/>
                      <a:tailEnd/>
                    </a:ln>
                  </pic:spPr>
                </pic:pic>
              </a:graphicData>
            </a:graphic>
          </wp:inline>
        </w:drawing>
      </w:r>
    </w:p>
    <w:p w:rsidR="004D2601" w:rsidRDefault="004D2601">
      <w:pPr>
        <w:pStyle w:val="BodyText2"/>
      </w:pPr>
    </w:p>
    <w:p w:rsidR="004D2601" w:rsidRDefault="004D2601">
      <w:pPr>
        <w:pStyle w:val="BodyText2"/>
      </w:pPr>
      <w:r>
        <w:t>Select a name from the list.  To quickly find a name, type the first letter of the last name and scroll from there to find the name.  Click to automatically fill in the name field.</w:t>
      </w:r>
    </w:p>
    <w:p w:rsidR="004D2601" w:rsidRDefault="004D2601">
      <w:pPr>
        <w:pStyle w:val="BodyText2"/>
        <w:rPr>
          <w:i/>
          <w:iCs/>
        </w:rPr>
      </w:pPr>
    </w:p>
    <w:p w:rsidR="004D2601" w:rsidRDefault="004D2601">
      <w:pPr>
        <w:pStyle w:val="BodyText2"/>
        <w:rPr>
          <w:i/>
          <w:iCs/>
        </w:rPr>
      </w:pPr>
      <w:r>
        <w:rPr>
          <w:i/>
          <w:iCs/>
        </w:rPr>
        <w:t>Enter sample information</w:t>
      </w:r>
    </w:p>
    <w:p w:rsidR="004D2601" w:rsidRDefault="004D2601">
      <w:pPr>
        <w:pStyle w:val="BodyText2"/>
        <w:rPr>
          <w:b/>
          <w:bCs/>
        </w:rPr>
      </w:pPr>
      <w:r>
        <w:rPr>
          <w:b/>
          <w:bCs/>
          <w:sz w:val="28"/>
        </w:rPr>
        <w:t>Sample type</w:t>
      </w:r>
    </w:p>
    <w:p w:rsidR="004D2601" w:rsidRDefault="004D2601">
      <w:pPr>
        <w:pStyle w:val="BodyText2"/>
      </w:pPr>
      <w:r>
        <w:t xml:space="preserve">Click the </w:t>
      </w:r>
      <w:r w:rsidR="00DE26A3">
        <w:t>pull down</w:t>
      </w:r>
      <w:r>
        <w:t xml:space="preserve"> arrow in the TEG screen to show the list of sample types.  Click on the appropriate choice.</w:t>
      </w:r>
    </w:p>
    <w:p w:rsidR="004D2601" w:rsidRDefault="004D2601">
      <w:pPr>
        <w:pStyle w:val="BodyText2"/>
      </w:pPr>
    </w:p>
    <w:p w:rsidR="00F32A38" w:rsidRDefault="00F32A38">
      <w:pPr>
        <w:pStyle w:val="BodyText2"/>
      </w:pPr>
    </w:p>
    <w:p w:rsidR="00F32A38" w:rsidRDefault="00F32A38">
      <w:pPr>
        <w:pStyle w:val="BodyText2"/>
      </w:pPr>
    </w:p>
    <w:p w:rsidR="00F32A38" w:rsidRDefault="00F32A38">
      <w:pPr>
        <w:pStyle w:val="BodyText2"/>
      </w:pPr>
    </w:p>
    <w:p w:rsidR="00F32A38" w:rsidRDefault="00F32A38">
      <w:pPr>
        <w:pStyle w:val="BodyText2"/>
      </w:pPr>
    </w:p>
    <w:p w:rsidR="00F32A38" w:rsidRDefault="00F32A38">
      <w:pPr>
        <w:pStyle w:val="BodyText2"/>
      </w:pPr>
    </w:p>
    <w:p w:rsidR="00F32A38" w:rsidRDefault="00F32A38">
      <w:pPr>
        <w:pStyle w:val="BodyText2"/>
      </w:pPr>
    </w:p>
    <w:p w:rsidR="004D2601" w:rsidRDefault="004D2601">
      <w:pPr>
        <w:pStyle w:val="BodyText2"/>
      </w:pPr>
      <w:r>
        <w:t xml:space="preserve">Click on the </w:t>
      </w:r>
      <w:r w:rsidR="00DE26A3">
        <w:t>pull down</w:t>
      </w:r>
      <w:r>
        <w:t xml:space="preserve"> arrow in the TEG screen to show the list of sample descriptions.  You can type in your own description if none of the choices is appropriate.</w:t>
      </w:r>
    </w:p>
    <w:p w:rsidR="004D2601" w:rsidRDefault="004D2601">
      <w:pPr>
        <w:pStyle w:val="BodyText2"/>
        <w:rPr>
          <w:i/>
          <w:iCs/>
        </w:rPr>
      </w:pPr>
      <w:r>
        <w:rPr>
          <w:i/>
          <w:iCs/>
        </w:rPr>
        <w:t>Start Sample</w:t>
      </w:r>
    </w:p>
    <w:p w:rsidR="004D2601" w:rsidRDefault="004D2601">
      <w:pPr>
        <w:pStyle w:val="BodyText2"/>
      </w:pPr>
      <w:r>
        <w:t>To start a sample, either before or after you have entered the patient information, in the TEG screen, click on the Sta</w:t>
      </w:r>
      <w:r w:rsidR="00392A88">
        <w:t>rt icon (1) in the Main toolbar</w:t>
      </w:r>
      <w:r>
        <w:t xml:space="preserve"> (Figure 11) or press F10 on the keyboard.</w:t>
      </w:r>
    </w:p>
    <w:p w:rsidR="004D2601" w:rsidRDefault="004D2601">
      <w:pPr>
        <w:pStyle w:val="BodyText2"/>
      </w:pPr>
    </w:p>
    <w:p w:rsidR="004D2601" w:rsidRDefault="004F4921">
      <w:pPr>
        <w:pStyle w:val="BodyText2"/>
      </w:pPr>
      <w:r>
        <w:rPr>
          <w:noProof/>
        </w:rPr>
        <w:drawing>
          <wp:inline distT="0" distB="0" distL="0" distR="0">
            <wp:extent cx="5886450" cy="66675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5886450" cy="666750"/>
                    </a:xfrm>
                    <a:prstGeom prst="rect">
                      <a:avLst/>
                    </a:prstGeom>
                    <a:noFill/>
                    <a:ln w="9525">
                      <a:noFill/>
                      <a:miter lim="800000"/>
                      <a:headEnd/>
                      <a:tailEnd/>
                    </a:ln>
                  </pic:spPr>
                </pic:pic>
              </a:graphicData>
            </a:graphic>
          </wp:inline>
        </w:drawing>
      </w:r>
    </w:p>
    <w:p w:rsidR="004D2601" w:rsidRDefault="004D2601">
      <w:pPr>
        <w:pStyle w:val="BodyText2"/>
      </w:pPr>
      <w:r>
        <w:t>You will know that the sample has started when the background for the channel number changes to green, and the cursor moves to the next channel.</w:t>
      </w:r>
    </w:p>
    <w:p w:rsidR="004D2601" w:rsidRDefault="004D2601">
      <w:pPr>
        <w:pStyle w:val="BodyText2"/>
      </w:pPr>
    </w:p>
    <w:p w:rsidR="004D2601" w:rsidRDefault="004D2601">
      <w:pPr>
        <w:pStyle w:val="BodyText2"/>
      </w:pPr>
    </w:p>
    <w:p w:rsidR="004D2601" w:rsidRDefault="004D2601">
      <w:pPr>
        <w:pStyle w:val="BodyText2"/>
        <w:rPr>
          <w:b/>
          <w:bCs/>
          <w:sz w:val="28"/>
        </w:rPr>
      </w:pPr>
      <w:r>
        <w:rPr>
          <w:b/>
          <w:bCs/>
          <w:sz w:val="28"/>
        </w:rPr>
        <w:t>Channel colors</w:t>
      </w:r>
    </w:p>
    <w:p w:rsidR="004D2601" w:rsidRDefault="004D2601">
      <w:pPr>
        <w:pStyle w:val="BodyText2"/>
      </w:pPr>
      <w:r>
        <w:t>The background color of the channel on the TEG screen indicated the channel’s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8"/>
        <w:gridCol w:w="5760"/>
      </w:tblGrid>
      <w:tr w:rsidR="004D2601">
        <w:tc>
          <w:tcPr>
            <w:tcW w:w="1098" w:type="dxa"/>
          </w:tcPr>
          <w:p w:rsidR="004D2601" w:rsidRDefault="004D2601">
            <w:pPr>
              <w:pStyle w:val="BodyText2"/>
              <w:rPr>
                <w:b/>
                <w:bCs/>
                <w:sz w:val="20"/>
              </w:rPr>
            </w:pPr>
            <w:r>
              <w:rPr>
                <w:b/>
                <w:bCs/>
                <w:sz w:val="20"/>
              </w:rPr>
              <w:t>Color</w:t>
            </w:r>
          </w:p>
        </w:tc>
        <w:tc>
          <w:tcPr>
            <w:tcW w:w="5760" w:type="dxa"/>
          </w:tcPr>
          <w:p w:rsidR="004D2601" w:rsidRDefault="004D2601">
            <w:pPr>
              <w:pStyle w:val="BodyText2"/>
              <w:rPr>
                <w:b/>
                <w:bCs/>
                <w:sz w:val="20"/>
              </w:rPr>
            </w:pPr>
            <w:r>
              <w:rPr>
                <w:b/>
                <w:bCs/>
                <w:sz w:val="20"/>
              </w:rPr>
              <w:t>Indicates that the channel is…..</w:t>
            </w:r>
          </w:p>
        </w:tc>
      </w:tr>
      <w:tr w:rsidR="004D2601">
        <w:tc>
          <w:tcPr>
            <w:tcW w:w="1098" w:type="dxa"/>
          </w:tcPr>
          <w:p w:rsidR="004D2601" w:rsidRDefault="004D2601">
            <w:pPr>
              <w:pStyle w:val="BodyText2"/>
              <w:rPr>
                <w:sz w:val="20"/>
              </w:rPr>
            </w:pPr>
            <w:r>
              <w:rPr>
                <w:sz w:val="20"/>
              </w:rPr>
              <w:t>Yellow</w:t>
            </w:r>
          </w:p>
          <w:p w:rsidR="004D2601" w:rsidRDefault="004D2601">
            <w:pPr>
              <w:pStyle w:val="BodyText2"/>
              <w:rPr>
                <w:sz w:val="20"/>
              </w:rPr>
            </w:pPr>
            <w:r>
              <w:rPr>
                <w:sz w:val="20"/>
              </w:rPr>
              <w:t>(Pending)</w:t>
            </w:r>
          </w:p>
        </w:tc>
        <w:tc>
          <w:tcPr>
            <w:tcW w:w="5760" w:type="dxa"/>
          </w:tcPr>
          <w:p w:rsidR="004D2601" w:rsidRDefault="004D2601">
            <w:pPr>
              <w:pStyle w:val="BodyText2"/>
              <w:rPr>
                <w:sz w:val="20"/>
              </w:rPr>
            </w:pPr>
            <w:r>
              <w:rPr>
                <w:sz w:val="20"/>
              </w:rPr>
              <w:t>Available for activation</w:t>
            </w:r>
          </w:p>
        </w:tc>
      </w:tr>
      <w:tr w:rsidR="004D2601">
        <w:tc>
          <w:tcPr>
            <w:tcW w:w="1098" w:type="dxa"/>
          </w:tcPr>
          <w:p w:rsidR="004D2601" w:rsidRDefault="004D2601">
            <w:pPr>
              <w:pStyle w:val="BodyText2"/>
              <w:rPr>
                <w:sz w:val="20"/>
              </w:rPr>
            </w:pPr>
            <w:r>
              <w:rPr>
                <w:sz w:val="20"/>
              </w:rPr>
              <w:t>Blue</w:t>
            </w:r>
          </w:p>
          <w:p w:rsidR="004D2601" w:rsidRDefault="004D2601">
            <w:pPr>
              <w:pStyle w:val="BodyText2"/>
              <w:rPr>
                <w:sz w:val="20"/>
              </w:rPr>
            </w:pPr>
            <w:r>
              <w:rPr>
                <w:sz w:val="20"/>
              </w:rPr>
              <w:t>(Selected)</w:t>
            </w:r>
          </w:p>
        </w:tc>
        <w:tc>
          <w:tcPr>
            <w:tcW w:w="5760" w:type="dxa"/>
          </w:tcPr>
          <w:p w:rsidR="004D2601" w:rsidRDefault="004D2601">
            <w:pPr>
              <w:pStyle w:val="BodyText2"/>
              <w:rPr>
                <w:sz w:val="20"/>
              </w:rPr>
            </w:pPr>
            <w:r>
              <w:rPr>
                <w:sz w:val="20"/>
              </w:rPr>
              <w:t>Selected for activation, data entry, or data acquisition</w:t>
            </w:r>
          </w:p>
        </w:tc>
      </w:tr>
      <w:tr w:rsidR="004D2601">
        <w:tc>
          <w:tcPr>
            <w:tcW w:w="1098" w:type="dxa"/>
          </w:tcPr>
          <w:p w:rsidR="004D2601" w:rsidRDefault="004D2601">
            <w:pPr>
              <w:pStyle w:val="BodyText2"/>
              <w:rPr>
                <w:sz w:val="20"/>
              </w:rPr>
            </w:pPr>
            <w:r>
              <w:rPr>
                <w:sz w:val="20"/>
              </w:rPr>
              <w:t>Green</w:t>
            </w:r>
          </w:p>
          <w:p w:rsidR="004D2601" w:rsidRDefault="004D2601">
            <w:pPr>
              <w:pStyle w:val="BodyText2"/>
              <w:rPr>
                <w:sz w:val="20"/>
              </w:rPr>
            </w:pPr>
            <w:r>
              <w:rPr>
                <w:sz w:val="20"/>
              </w:rPr>
              <w:t>(Active)</w:t>
            </w:r>
          </w:p>
        </w:tc>
        <w:tc>
          <w:tcPr>
            <w:tcW w:w="5760" w:type="dxa"/>
          </w:tcPr>
          <w:p w:rsidR="004D2601" w:rsidRDefault="004D2601">
            <w:pPr>
              <w:pStyle w:val="BodyText2"/>
              <w:rPr>
                <w:sz w:val="20"/>
              </w:rPr>
            </w:pPr>
            <w:r>
              <w:rPr>
                <w:sz w:val="20"/>
              </w:rPr>
              <w:t>Is running an active sample and data is being collected for the sample</w:t>
            </w:r>
          </w:p>
        </w:tc>
      </w:tr>
    </w:tbl>
    <w:p w:rsidR="004D2601" w:rsidRDefault="004D2601">
      <w:pPr>
        <w:pStyle w:val="BodyText2"/>
      </w:pPr>
    </w:p>
    <w:p w:rsidR="004D2601" w:rsidRDefault="004D2601">
      <w:pPr>
        <w:pStyle w:val="BodyText2"/>
        <w:rPr>
          <w:b/>
          <w:bCs/>
          <w:sz w:val="28"/>
        </w:rPr>
      </w:pPr>
      <w:r>
        <w:rPr>
          <w:b/>
          <w:bCs/>
          <w:sz w:val="28"/>
        </w:rPr>
        <w:t>Selecting an active channel</w:t>
      </w:r>
    </w:p>
    <w:p w:rsidR="004D2601" w:rsidRDefault="004D2601">
      <w:pPr>
        <w:pStyle w:val="BodyText2"/>
      </w:pPr>
      <w:r>
        <w:t>If you select a channel that is running, the background for the channel number field remains green and the background for the accompanying fields changes to blue.</w:t>
      </w:r>
    </w:p>
    <w:p w:rsidR="004D2601" w:rsidRDefault="004D2601">
      <w:pPr>
        <w:pStyle w:val="BodyText2"/>
      </w:pPr>
      <w:r>
        <w:t>Click Done to return to the Main screen.</w:t>
      </w:r>
    </w:p>
    <w:p w:rsidR="004D2601" w:rsidRDefault="004D2601">
      <w:pPr>
        <w:pStyle w:val="BodyText2"/>
      </w:pPr>
    </w:p>
    <w:p w:rsidR="004D2601" w:rsidRDefault="004D2601">
      <w:pPr>
        <w:pStyle w:val="BodyText2"/>
        <w:rPr>
          <w:i/>
          <w:iCs/>
        </w:rPr>
      </w:pPr>
      <w:r>
        <w:rPr>
          <w:i/>
          <w:iCs/>
        </w:rPr>
        <w:t>Loading Cups and Pins</w:t>
      </w:r>
    </w:p>
    <w:p w:rsidR="004D2601" w:rsidRDefault="004D2601">
      <w:pPr>
        <w:pStyle w:val="BodyText2"/>
        <w:rPr>
          <w:i/>
          <w:iCs/>
        </w:rPr>
      </w:pPr>
    </w:p>
    <w:p w:rsidR="004D2601" w:rsidRDefault="004D2601">
      <w:pPr>
        <w:pStyle w:val="BodyText2"/>
      </w:pPr>
      <w:r>
        <w:t>Disposable cups and pins have crush lines built into them so that they fit snugly into the cup wells and onto the spindle tip.  The disposable cups and pins are for single use only because the crush lines are spent after the first use.</w:t>
      </w:r>
    </w:p>
    <w:p w:rsidR="004D2601" w:rsidRDefault="004D2601">
      <w:pPr>
        <w:pStyle w:val="BodyText2"/>
      </w:pPr>
    </w:p>
    <w:p w:rsidR="004D2601" w:rsidRDefault="004D2601">
      <w:pPr>
        <w:pStyle w:val="BodyText2"/>
      </w:pPr>
      <w:r>
        <w:t>For each channel:</w:t>
      </w:r>
    </w:p>
    <w:p w:rsidR="004D2601" w:rsidRDefault="004D2601">
      <w:pPr>
        <w:pStyle w:val="BodyText2"/>
      </w:pPr>
    </w:p>
    <w:p w:rsidR="004D2601" w:rsidRDefault="004D2601">
      <w:pPr>
        <w:pStyle w:val="BodyText2"/>
      </w:pPr>
    </w:p>
    <w:p w:rsidR="004D2601" w:rsidRDefault="004D2601">
      <w:pPr>
        <w:pStyle w:val="BodyText2"/>
      </w:pPr>
    </w:p>
    <w:p w:rsidR="004D2601" w:rsidRDefault="004D2601" w:rsidP="00BD6B8F">
      <w:pPr>
        <w:pStyle w:val="BodyText2"/>
        <w:numPr>
          <w:ilvl w:val="0"/>
          <w:numId w:val="1"/>
        </w:numPr>
      </w:pPr>
      <w:r>
        <w:t xml:space="preserve">With lever in Load position, slide the carrier </w:t>
      </w:r>
    </w:p>
    <w:p w:rsidR="004D2601" w:rsidRDefault="004D2601">
      <w:pPr>
        <w:pStyle w:val="BodyText2"/>
        <w:ind w:left="4680"/>
      </w:pPr>
      <w:r>
        <w:t>Down to the platform</w:t>
      </w:r>
    </w:p>
    <w:p w:rsidR="004D2601" w:rsidRDefault="00392A88" w:rsidP="00BD6B8F">
      <w:pPr>
        <w:pStyle w:val="BodyText2"/>
        <w:numPr>
          <w:ilvl w:val="0"/>
          <w:numId w:val="1"/>
        </w:numPr>
      </w:pPr>
      <w:r>
        <w:t>Pick up a disposable cup</w:t>
      </w:r>
      <w:r w:rsidR="004D2601">
        <w:t xml:space="preserve"> and pin from the </w:t>
      </w:r>
    </w:p>
    <w:p w:rsidR="004D2601" w:rsidRDefault="004D2601">
      <w:pPr>
        <w:pStyle w:val="BodyText2"/>
        <w:ind w:left="4680"/>
      </w:pPr>
      <w:r>
        <w:t>tray and place the cup with the pin still inside in the cup well (a).</w:t>
      </w:r>
    </w:p>
    <w:p w:rsidR="004D2601" w:rsidRDefault="004D2601" w:rsidP="00BD6B8F">
      <w:pPr>
        <w:pStyle w:val="BodyText2"/>
        <w:numPr>
          <w:ilvl w:val="0"/>
          <w:numId w:val="1"/>
        </w:numPr>
      </w:pPr>
      <w:r>
        <w:t>Carefully slide the carrier all the way up (B),</w:t>
      </w:r>
    </w:p>
    <w:p w:rsidR="004D2601" w:rsidRDefault="004D2601">
      <w:pPr>
        <w:pStyle w:val="BodyText2"/>
        <w:ind w:left="4680"/>
      </w:pPr>
      <w:r>
        <w:t>Making sure that the disposable pin is standing</w:t>
      </w:r>
    </w:p>
    <w:p w:rsidR="004D2601" w:rsidRDefault="004D2601">
      <w:pPr>
        <w:pStyle w:val="BodyText2"/>
        <w:ind w:left="4680"/>
      </w:pPr>
      <w:r>
        <w:t>Straight up in the cup so that the spindle tip (C)</w:t>
      </w:r>
    </w:p>
    <w:p w:rsidR="004D2601" w:rsidRDefault="004D2601">
      <w:pPr>
        <w:pStyle w:val="BodyText2"/>
        <w:ind w:left="4680"/>
      </w:pPr>
      <w:r>
        <w:t>can enter smoothly.</w:t>
      </w:r>
    </w:p>
    <w:p w:rsidR="004D2601" w:rsidRDefault="004D2601" w:rsidP="00BD6B8F">
      <w:pPr>
        <w:pStyle w:val="BodyText2"/>
        <w:numPr>
          <w:ilvl w:val="0"/>
          <w:numId w:val="1"/>
        </w:numPr>
      </w:pPr>
      <w:r>
        <w:t xml:space="preserve">When the top of the carrier is flush with the </w:t>
      </w:r>
    </w:p>
    <w:p w:rsidR="004D2601" w:rsidRDefault="004D2601">
      <w:pPr>
        <w:pStyle w:val="BodyText2"/>
        <w:ind w:left="4680"/>
      </w:pPr>
      <w:r>
        <w:t xml:space="preserve">bottom </w:t>
      </w:r>
      <w:r w:rsidR="00DE26A3">
        <w:t>of the</w:t>
      </w:r>
      <w:r>
        <w:t xml:space="preserve"> </w:t>
      </w:r>
      <w:r w:rsidR="00DE26A3">
        <w:t>column;</w:t>
      </w:r>
      <w:r>
        <w:t xml:space="preserve"> counterbalance the analyzer by holding your hand on top, and push the pin firmly into place using the plastic pusher (D) located at the bottom of the carrier.  Make sure the pin is correctly loaded by checking that the bottom of the spindle is touching the inside of the disposable pin.</w:t>
      </w:r>
    </w:p>
    <w:p w:rsidR="004D2601" w:rsidRDefault="004D2601" w:rsidP="00BD6B8F">
      <w:pPr>
        <w:pStyle w:val="BodyText2"/>
        <w:numPr>
          <w:ilvl w:val="0"/>
          <w:numId w:val="1"/>
        </w:numPr>
      </w:pPr>
      <w:r>
        <w:t>Slide the carrier back down to the platform and push the cup firmly into the cup well (E).  The cup should rest flush with the carrier and should not pop up.</w:t>
      </w:r>
    </w:p>
    <w:p w:rsidR="004D2601" w:rsidRDefault="004D2601" w:rsidP="00BD6B8F">
      <w:pPr>
        <w:pStyle w:val="BodyText2"/>
        <w:numPr>
          <w:ilvl w:val="0"/>
          <w:numId w:val="1"/>
        </w:numPr>
      </w:pPr>
      <w:r>
        <w:t>Pipette the native or modified blood sample into the cup.  Use proper precautions (e.g., gloves) when handling blood.</w:t>
      </w:r>
    </w:p>
    <w:p w:rsidR="004D2601" w:rsidRDefault="004D2601" w:rsidP="00BD6B8F">
      <w:pPr>
        <w:pStyle w:val="BodyText2"/>
        <w:numPr>
          <w:ilvl w:val="0"/>
          <w:numId w:val="1"/>
        </w:numPr>
      </w:pPr>
      <w:r>
        <w:t>Lift the carrier carefully to the pin with the lever still in Load position.</w:t>
      </w:r>
    </w:p>
    <w:p w:rsidR="004D2601" w:rsidRDefault="004D2601" w:rsidP="00BD6B8F">
      <w:pPr>
        <w:pStyle w:val="BodyText2"/>
        <w:numPr>
          <w:ilvl w:val="0"/>
          <w:numId w:val="1"/>
        </w:numPr>
      </w:pPr>
      <w:r>
        <w:t>Firmly push the carrier up against the column.</w:t>
      </w:r>
    </w:p>
    <w:p w:rsidR="004D2601" w:rsidRDefault="004D2601" w:rsidP="00BD6B8F">
      <w:pPr>
        <w:pStyle w:val="BodyText2"/>
        <w:numPr>
          <w:ilvl w:val="0"/>
          <w:numId w:val="1"/>
        </w:numPr>
      </w:pPr>
      <w:r>
        <w:t>Move the lever into Test position, resting your hand on top of the analyzer to prevent tipping.</w:t>
      </w:r>
    </w:p>
    <w:p w:rsidR="004D2601" w:rsidRDefault="004D2601" w:rsidP="00BD6B8F">
      <w:pPr>
        <w:pStyle w:val="BodyText2"/>
        <w:numPr>
          <w:ilvl w:val="0"/>
          <w:numId w:val="1"/>
        </w:numPr>
      </w:pPr>
      <w:r>
        <w:t>Click the start icon or press F10 on the computer keyboard to start data collection.</w:t>
      </w:r>
    </w:p>
    <w:p w:rsidR="004D2601" w:rsidRDefault="004D2601">
      <w:pPr>
        <w:pStyle w:val="BodyText2"/>
      </w:pPr>
    </w:p>
    <w:p w:rsidR="004D2601" w:rsidRDefault="004D2601">
      <w:pPr>
        <w:pStyle w:val="BodyText2"/>
      </w:pPr>
    </w:p>
    <w:p w:rsidR="004D2601" w:rsidRDefault="004D2601">
      <w:pPr>
        <w:pStyle w:val="BodyText2"/>
      </w:pPr>
    </w:p>
    <w:p w:rsidR="004D2601" w:rsidRDefault="004D2601">
      <w:pPr>
        <w:pStyle w:val="BodyText2"/>
      </w:pPr>
    </w:p>
    <w:p w:rsidR="004D2601" w:rsidRDefault="004D2601">
      <w:pPr>
        <w:pStyle w:val="BodyText2"/>
        <w:rPr>
          <w:i/>
          <w:iCs/>
        </w:rPr>
      </w:pPr>
      <w:r>
        <w:rPr>
          <w:i/>
          <w:iCs/>
        </w:rPr>
        <w:t>Ending the Run</w:t>
      </w:r>
    </w:p>
    <w:p w:rsidR="004D2601" w:rsidRDefault="004D2601">
      <w:pPr>
        <w:pStyle w:val="BodyText2"/>
        <w:rPr>
          <w:i/>
          <w:iCs/>
        </w:rPr>
      </w:pPr>
    </w:p>
    <w:p w:rsidR="004D2601" w:rsidRDefault="004D2601">
      <w:pPr>
        <w:pStyle w:val="BodyText2"/>
      </w:pPr>
      <w:r>
        <w:t xml:space="preserve">A sample will terminate </w:t>
      </w:r>
      <w:r w:rsidR="00DE26A3">
        <w:t>automatically</w:t>
      </w:r>
      <w:r>
        <w:t xml:space="preserve"> when the end-of-run conditions specified for the program have been met (see your Si</w:t>
      </w:r>
      <w:r w:rsidR="00392A88">
        <w:t>t</w:t>
      </w:r>
      <w:r>
        <w:t>e Administrator for more information).  If you need to end a sample earlier, select a channel from the Main toolbar (Figure 11) in either the Main screen or TEG screen, and click the Stop icon (1) or press F11 on the keyboard.</w:t>
      </w:r>
    </w:p>
    <w:p w:rsidR="004D2601" w:rsidRDefault="004D2601">
      <w:pPr>
        <w:pStyle w:val="BodyText2"/>
      </w:pPr>
    </w:p>
    <w:p w:rsidR="004D2601" w:rsidRDefault="004F4921">
      <w:pPr>
        <w:pStyle w:val="BodyText2"/>
      </w:pPr>
      <w:r>
        <w:rPr>
          <w:noProof/>
        </w:rPr>
        <w:drawing>
          <wp:inline distT="0" distB="0" distL="0" distR="0">
            <wp:extent cx="5753100" cy="85725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srcRect/>
                    <a:stretch>
                      <a:fillRect/>
                    </a:stretch>
                  </pic:blipFill>
                  <pic:spPr bwMode="auto">
                    <a:xfrm>
                      <a:off x="0" y="0"/>
                      <a:ext cx="5753100" cy="857250"/>
                    </a:xfrm>
                    <a:prstGeom prst="rect">
                      <a:avLst/>
                    </a:prstGeom>
                    <a:noFill/>
                    <a:ln w="9525">
                      <a:noFill/>
                      <a:miter lim="800000"/>
                      <a:headEnd/>
                      <a:tailEnd/>
                    </a:ln>
                  </pic:spPr>
                </pic:pic>
              </a:graphicData>
            </a:graphic>
          </wp:inline>
        </w:drawing>
      </w:r>
    </w:p>
    <w:p w:rsidR="004D2601" w:rsidRDefault="004D2601">
      <w:pPr>
        <w:pStyle w:val="BodyText2"/>
      </w:pPr>
    </w:p>
    <w:p w:rsidR="004D2601" w:rsidRDefault="004D2601">
      <w:pPr>
        <w:pStyle w:val="BodyText2"/>
      </w:pPr>
    </w:p>
    <w:p w:rsidR="004D2601" w:rsidRDefault="004D2601">
      <w:pPr>
        <w:pStyle w:val="BodyText2"/>
      </w:pPr>
      <w:r>
        <w:t>You are prompted to end or continue running the sample.  If you have not entered the patient and sample information, you are prompted now to do so.</w:t>
      </w:r>
    </w:p>
    <w:p w:rsidR="004D2601" w:rsidRDefault="004D2601">
      <w:pPr>
        <w:pStyle w:val="BodyText2"/>
      </w:pPr>
    </w:p>
    <w:p w:rsidR="004D2601" w:rsidRDefault="004D2601">
      <w:pPr>
        <w:pStyle w:val="BodyText2"/>
      </w:pPr>
    </w:p>
    <w:p w:rsidR="004D2601" w:rsidRDefault="004D2601">
      <w:pPr>
        <w:pStyle w:val="BodyText2"/>
      </w:pPr>
    </w:p>
    <w:p w:rsidR="004D2601" w:rsidRDefault="004D2601">
      <w:pPr>
        <w:pStyle w:val="BodyText2"/>
      </w:pPr>
      <w:r>
        <w:t>Do not remove the sample before the sample is terminated on the computer, either manually or according to the options settings.  Since the software is still calcul</w:t>
      </w:r>
      <w:r w:rsidR="00392A88">
        <w:t>ating values, removal of sample</w:t>
      </w:r>
      <w:r>
        <w:t xml:space="preserve"> may cause spurious values to be written to the database </w:t>
      </w:r>
    </w:p>
    <w:p w:rsidR="004D2601" w:rsidRDefault="004D2601">
      <w:pPr>
        <w:pStyle w:val="BodyText2"/>
      </w:pPr>
    </w:p>
    <w:p w:rsidR="004D2601" w:rsidRDefault="004D2601">
      <w:pPr>
        <w:pStyle w:val="BodyText2"/>
      </w:pPr>
    </w:p>
    <w:p w:rsidR="004D2601" w:rsidRDefault="004D2601">
      <w:pPr>
        <w:pStyle w:val="BodyText2"/>
      </w:pPr>
    </w:p>
    <w:p w:rsidR="004D2601" w:rsidRDefault="004D2601">
      <w:pPr>
        <w:pStyle w:val="BodyText2"/>
      </w:pPr>
    </w:p>
    <w:p w:rsidR="004D2601" w:rsidRDefault="004D2601" w:rsidP="00BD6B8F">
      <w:pPr>
        <w:pStyle w:val="BodyText2"/>
        <w:numPr>
          <w:ilvl w:val="0"/>
          <w:numId w:val="2"/>
        </w:numPr>
      </w:pPr>
      <w:r>
        <w:t>If the test has not already been terminated by the</w:t>
      </w:r>
    </w:p>
    <w:p w:rsidR="004D2601" w:rsidRDefault="004D2601">
      <w:pPr>
        <w:pStyle w:val="BodyText2"/>
        <w:ind w:left="4680"/>
      </w:pPr>
      <w:r>
        <w:t>Software, end the test on the computer as described above</w:t>
      </w:r>
    </w:p>
    <w:p w:rsidR="004D2601" w:rsidRDefault="004D2601" w:rsidP="00BD6B8F">
      <w:pPr>
        <w:pStyle w:val="BodyText2"/>
        <w:numPr>
          <w:ilvl w:val="0"/>
          <w:numId w:val="2"/>
        </w:numPr>
      </w:pPr>
      <w:r>
        <w:t>Return the lever to Load position and press down to the Eject position.</w:t>
      </w:r>
    </w:p>
    <w:p w:rsidR="004D2601" w:rsidRDefault="004D2601" w:rsidP="00BD6B8F">
      <w:pPr>
        <w:pStyle w:val="BodyText2"/>
        <w:numPr>
          <w:ilvl w:val="0"/>
          <w:numId w:val="2"/>
        </w:numPr>
      </w:pPr>
      <w:r>
        <w:t>Slide the carrier down to the platform.  Be sure the pin has dropped into the cup</w:t>
      </w:r>
    </w:p>
    <w:p w:rsidR="004D2601" w:rsidRDefault="004D2601" w:rsidP="00BD6B8F">
      <w:pPr>
        <w:pStyle w:val="BodyText2"/>
        <w:numPr>
          <w:ilvl w:val="0"/>
          <w:numId w:val="2"/>
        </w:numPr>
      </w:pPr>
      <w:r>
        <w:t>Press the carrier down firmly against the platform so that the plastic pusher located at the bottom of the carrier pushes the disposable cup out of the cup well. (F)</w:t>
      </w:r>
    </w:p>
    <w:p w:rsidR="004D2601" w:rsidRDefault="004D2601">
      <w:pPr>
        <w:pStyle w:val="BodyText2"/>
      </w:pPr>
    </w:p>
    <w:p w:rsidR="004D2601" w:rsidRDefault="004D2601" w:rsidP="00BD6B8F">
      <w:pPr>
        <w:pStyle w:val="BodyText2"/>
        <w:numPr>
          <w:ilvl w:val="0"/>
          <w:numId w:val="2"/>
        </w:numPr>
      </w:pPr>
      <w:r>
        <w:t>When the cup pops up, lift it out of the cup well</w:t>
      </w:r>
    </w:p>
    <w:p w:rsidR="004D2601" w:rsidRDefault="004D2601">
      <w:pPr>
        <w:pStyle w:val="BodyText2"/>
        <w:ind w:left="4320"/>
      </w:pPr>
      <w:r>
        <w:t xml:space="preserve">       and dispose of it properly</w:t>
      </w:r>
    </w:p>
    <w:p w:rsidR="004D2601" w:rsidRDefault="004D2601">
      <w:pPr>
        <w:pStyle w:val="BodyText2"/>
      </w:pPr>
    </w:p>
    <w:p w:rsidR="004D2601" w:rsidRDefault="004D2601">
      <w:pPr>
        <w:pStyle w:val="BodyText2"/>
      </w:pPr>
    </w:p>
    <w:p w:rsidR="004D2601" w:rsidRDefault="004D2601">
      <w:pPr>
        <w:pStyle w:val="BodyText2"/>
      </w:pPr>
    </w:p>
    <w:p w:rsidR="004D2601" w:rsidRDefault="004D2601">
      <w:pPr>
        <w:pStyle w:val="BodyText2"/>
      </w:pPr>
    </w:p>
    <w:p w:rsidR="004D2601" w:rsidRDefault="004D2601">
      <w:pPr>
        <w:pStyle w:val="BodyText2"/>
      </w:pPr>
    </w:p>
    <w:p w:rsidR="004D2601" w:rsidRDefault="004D2601">
      <w:pPr>
        <w:pStyle w:val="BodyText2"/>
      </w:pPr>
    </w:p>
    <w:p w:rsidR="00203290" w:rsidRDefault="00203290">
      <w:pPr>
        <w:pStyle w:val="BodyText2"/>
      </w:pPr>
    </w:p>
    <w:p w:rsidR="00203290" w:rsidRDefault="00203290">
      <w:pPr>
        <w:pStyle w:val="BodyText2"/>
      </w:pPr>
    </w:p>
    <w:p w:rsidR="00203290" w:rsidRDefault="00203290">
      <w:pPr>
        <w:pStyle w:val="BodyText2"/>
      </w:pPr>
    </w:p>
    <w:p w:rsidR="00203290" w:rsidRDefault="00203290">
      <w:pPr>
        <w:pStyle w:val="BodyText2"/>
      </w:pPr>
    </w:p>
    <w:p w:rsidR="00203290" w:rsidRDefault="00203290">
      <w:pPr>
        <w:pStyle w:val="BodyText2"/>
      </w:pPr>
    </w:p>
    <w:p w:rsidR="00203290" w:rsidRDefault="00203290">
      <w:pPr>
        <w:pStyle w:val="BodyText2"/>
      </w:pPr>
    </w:p>
    <w:p w:rsidR="004D2601" w:rsidRDefault="004D2601">
      <w:pPr>
        <w:pStyle w:val="BodyText2"/>
        <w:rPr>
          <w:b/>
          <w:bCs/>
        </w:rPr>
      </w:pPr>
      <w:r>
        <w:rPr>
          <w:b/>
          <w:bCs/>
        </w:rPr>
        <w:lastRenderedPageBreak/>
        <w:t>Print Report</w:t>
      </w:r>
    </w:p>
    <w:p w:rsidR="004D2601" w:rsidRDefault="004D2601">
      <w:pPr>
        <w:pStyle w:val="BodyText2"/>
        <w:rPr>
          <w:b/>
          <w:bCs/>
        </w:rPr>
      </w:pPr>
    </w:p>
    <w:p w:rsidR="004D2601" w:rsidRDefault="004D2601">
      <w:pPr>
        <w:pStyle w:val="BodyText2"/>
      </w:pPr>
      <w:r>
        <w:t xml:space="preserve">You can print two types of report from the </w:t>
      </w:r>
      <w:r w:rsidR="00DE26A3">
        <w:t>TEG software</w:t>
      </w:r>
      <w:r>
        <w:t>.  One type of report is the “quick report” that prints the selected tracing(s) and corresponding test values, and the other is the “full report” that prints all sample information, including interpretation and notes, and is appropriate for patient files.</w:t>
      </w:r>
    </w:p>
    <w:p w:rsidR="004D2601" w:rsidRDefault="004D2601">
      <w:pPr>
        <w:pStyle w:val="BodyText2"/>
      </w:pPr>
    </w:p>
    <w:p w:rsidR="004D2601" w:rsidRDefault="004D2601">
      <w:pPr>
        <w:pStyle w:val="BodyText2"/>
      </w:pPr>
    </w:p>
    <w:p w:rsidR="004D2601" w:rsidRDefault="004D2601">
      <w:pPr>
        <w:pStyle w:val="BodyText2"/>
      </w:pPr>
    </w:p>
    <w:p w:rsidR="004D2601" w:rsidRDefault="004D2601">
      <w:pPr>
        <w:pStyle w:val="BodyText2"/>
        <w:rPr>
          <w:i/>
          <w:iCs/>
        </w:rPr>
      </w:pPr>
      <w:r>
        <w:rPr>
          <w:i/>
          <w:iCs/>
        </w:rPr>
        <w:t>Quick Report</w:t>
      </w:r>
    </w:p>
    <w:p w:rsidR="004D2601" w:rsidRDefault="004F4921">
      <w:pPr>
        <w:pStyle w:val="BodyText2"/>
        <w:rPr>
          <w:i/>
          <w:iCs/>
        </w:rPr>
      </w:pPr>
      <w:r>
        <w:rPr>
          <w:i/>
          <w:iCs/>
          <w:noProof/>
        </w:rPr>
        <w:drawing>
          <wp:inline distT="0" distB="0" distL="0" distR="0">
            <wp:extent cx="5524500" cy="104775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srcRect/>
                    <a:stretch>
                      <a:fillRect/>
                    </a:stretch>
                  </pic:blipFill>
                  <pic:spPr bwMode="auto">
                    <a:xfrm>
                      <a:off x="0" y="0"/>
                      <a:ext cx="5524500" cy="1047750"/>
                    </a:xfrm>
                    <a:prstGeom prst="rect">
                      <a:avLst/>
                    </a:prstGeom>
                    <a:noFill/>
                    <a:ln w="9525">
                      <a:noFill/>
                      <a:miter lim="800000"/>
                      <a:headEnd/>
                      <a:tailEnd/>
                    </a:ln>
                  </pic:spPr>
                </pic:pic>
              </a:graphicData>
            </a:graphic>
          </wp:inline>
        </w:drawing>
      </w:r>
    </w:p>
    <w:p w:rsidR="004D2601" w:rsidRDefault="004D2601">
      <w:pPr>
        <w:pStyle w:val="BodyText2"/>
        <w:rPr>
          <w:i/>
          <w:iCs/>
        </w:rPr>
      </w:pPr>
    </w:p>
    <w:p w:rsidR="004D2601" w:rsidRDefault="004D2601">
      <w:pPr>
        <w:pStyle w:val="BodyText2"/>
        <w:rPr>
          <w:i/>
          <w:iCs/>
        </w:rPr>
      </w:pPr>
    </w:p>
    <w:p w:rsidR="004D2601" w:rsidRDefault="004D2601">
      <w:pPr>
        <w:pStyle w:val="BodyText2"/>
        <w:rPr>
          <w:i/>
          <w:iCs/>
        </w:rPr>
      </w:pPr>
    </w:p>
    <w:p w:rsidR="004D2601" w:rsidRDefault="004D2601">
      <w:pPr>
        <w:pStyle w:val="BodyText2"/>
      </w:pPr>
      <w:r>
        <w:t>To generate the “quick report” either click on the Print icon (1) in the Main toolbar (Figure 13) or press F6 on the keyboard.</w:t>
      </w:r>
    </w:p>
    <w:p w:rsidR="004D2601" w:rsidRDefault="004D2601">
      <w:pPr>
        <w:pStyle w:val="BodyText2"/>
      </w:pPr>
    </w:p>
    <w:p w:rsidR="004D2601" w:rsidRDefault="004D2601">
      <w:pPr>
        <w:pStyle w:val="BodyText2"/>
      </w:pPr>
      <w:r>
        <w:t xml:space="preserve">Pressing F6 bypasses print preview and printer selection screens.  </w:t>
      </w:r>
    </w:p>
    <w:p w:rsidR="004D2601" w:rsidRDefault="004D2601">
      <w:pPr>
        <w:pStyle w:val="BodyText2"/>
      </w:pPr>
    </w:p>
    <w:p w:rsidR="004D2601" w:rsidRDefault="004D2601">
      <w:pPr>
        <w:pStyle w:val="BodyText2"/>
      </w:pPr>
    </w:p>
    <w:p w:rsidR="004D2601" w:rsidRDefault="004D2601">
      <w:pPr>
        <w:pStyle w:val="BodyText2"/>
      </w:pPr>
    </w:p>
    <w:p w:rsidR="004D2601" w:rsidRDefault="004D2601">
      <w:pPr>
        <w:pStyle w:val="BodyText2"/>
        <w:rPr>
          <w:i/>
          <w:iCs/>
        </w:rPr>
      </w:pPr>
      <w:r>
        <w:rPr>
          <w:i/>
          <w:iCs/>
        </w:rPr>
        <w:t>Full Report</w:t>
      </w:r>
    </w:p>
    <w:p w:rsidR="004D2601" w:rsidRDefault="004D2601">
      <w:pPr>
        <w:pStyle w:val="BodyText2"/>
      </w:pPr>
      <w:r>
        <w:t>To generate “full report,” click on the Report icon (1) in the Main toolbar (Figure 14)</w:t>
      </w:r>
    </w:p>
    <w:p w:rsidR="004D2601" w:rsidRDefault="004F4921">
      <w:pPr>
        <w:pStyle w:val="BodyText2"/>
      </w:pPr>
      <w:r>
        <w:rPr>
          <w:noProof/>
        </w:rPr>
        <w:drawing>
          <wp:inline distT="0" distB="0" distL="0" distR="0">
            <wp:extent cx="5572125" cy="981075"/>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srcRect/>
                    <a:stretch>
                      <a:fillRect/>
                    </a:stretch>
                  </pic:blipFill>
                  <pic:spPr bwMode="auto">
                    <a:xfrm>
                      <a:off x="0" y="0"/>
                      <a:ext cx="5572125" cy="981075"/>
                    </a:xfrm>
                    <a:prstGeom prst="rect">
                      <a:avLst/>
                    </a:prstGeom>
                    <a:noFill/>
                    <a:ln w="9525">
                      <a:noFill/>
                      <a:miter lim="800000"/>
                      <a:headEnd/>
                      <a:tailEnd/>
                    </a:ln>
                  </pic:spPr>
                </pic:pic>
              </a:graphicData>
            </a:graphic>
          </wp:inline>
        </w:drawing>
      </w:r>
    </w:p>
    <w:p w:rsidR="00203290" w:rsidRDefault="00203290">
      <w:pPr>
        <w:pStyle w:val="Heading3"/>
        <w:rPr>
          <w:sz w:val="28"/>
        </w:rPr>
      </w:pPr>
    </w:p>
    <w:p w:rsidR="004D2601" w:rsidRDefault="004D2601">
      <w:pPr>
        <w:pStyle w:val="Heading3"/>
        <w:rPr>
          <w:sz w:val="28"/>
        </w:rPr>
      </w:pPr>
      <w:r>
        <w:rPr>
          <w:sz w:val="28"/>
        </w:rPr>
        <w:t>Calculations:</w:t>
      </w:r>
    </w:p>
    <w:p w:rsidR="004D2601" w:rsidRDefault="004D2601">
      <w:pPr>
        <w:pStyle w:val="Heading3"/>
        <w:rPr>
          <w:b w:val="0"/>
          <w:bCs/>
        </w:rPr>
      </w:pPr>
      <w:r>
        <w:t xml:space="preserve">           </w:t>
      </w:r>
      <w:r>
        <w:rPr>
          <w:b w:val="0"/>
          <w:bCs/>
        </w:rPr>
        <w:t xml:space="preserve">E-testing is done each day the Teg instrument is used.     </w:t>
      </w:r>
    </w:p>
    <w:p w:rsidR="004D2601" w:rsidRDefault="004D2601">
      <w:pPr>
        <w:pStyle w:val="Heading3"/>
        <w:rPr>
          <w:b w:val="0"/>
          <w:bCs/>
        </w:rPr>
      </w:pPr>
      <w:r>
        <w:rPr>
          <w:b w:val="0"/>
          <w:bCs/>
        </w:rPr>
        <w:t xml:space="preserve">   See procedure no 4840-TEG-100, Preventive </w:t>
      </w:r>
      <w:r w:rsidR="00392A88">
        <w:rPr>
          <w:b w:val="0"/>
          <w:bCs/>
        </w:rPr>
        <w:t>Maintenance</w:t>
      </w:r>
      <w:r>
        <w:rPr>
          <w:b w:val="0"/>
          <w:bCs/>
        </w:rPr>
        <w:t xml:space="preserve"> for the TEG, for more information</w:t>
      </w:r>
    </w:p>
    <w:p w:rsidR="004D2601" w:rsidRDefault="004D2601">
      <w:pPr>
        <w:pStyle w:val="Heading3"/>
      </w:pPr>
    </w:p>
    <w:p w:rsidR="004D2601" w:rsidRDefault="004D2601">
      <w:pPr>
        <w:pStyle w:val="BodyText2"/>
      </w:pPr>
    </w:p>
    <w:p w:rsidR="004D2601" w:rsidRDefault="004D2601">
      <w:pPr>
        <w:pStyle w:val="BodyText2"/>
      </w:pPr>
    </w:p>
    <w:p w:rsidR="004D2601" w:rsidRDefault="004D2601">
      <w:pPr>
        <w:pStyle w:val="BodyText2"/>
      </w:pPr>
    </w:p>
    <w:p w:rsidR="004D2601" w:rsidRDefault="004D2601">
      <w:pPr>
        <w:pStyle w:val="BodyText2"/>
        <w:rPr>
          <w:b/>
          <w:bCs/>
        </w:rPr>
      </w:pPr>
      <w:r>
        <w:rPr>
          <w:b/>
          <w:bCs/>
        </w:rPr>
        <w:t>INTERPRETATION:</w:t>
      </w:r>
    </w:p>
    <w:p w:rsidR="004D2601" w:rsidRDefault="004D2601">
      <w:pPr>
        <w:pStyle w:val="BodyText2"/>
        <w:rPr>
          <w:b/>
          <w:bCs/>
        </w:rPr>
      </w:pPr>
    </w:p>
    <w:p w:rsidR="004D2601" w:rsidRDefault="004D2601">
      <w:pPr>
        <w:pStyle w:val="BodyText2"/>
      </w:pPr>
      <w:r>
        <w:t>Reference Normal Ranges</w:t>
      </w:r>
    </w:p>
    <w:p w:rsidR="004D2601" w:rsidRDefault="004D2601">
      <w:pPr>
        <w:pStyle w:val="BodyText2"/>
      </w:pPr>
    </w:p>
    <w:p w:rsidR="004D2601" w:rsidRDefault="004D2601">
      <w:pPr>
        <w:pStyle w:val="BodyText2"/>
      </w:pPr>
      <w:r>
        <w:t>Reference normal ranges for different sample types are provided in the Teg® software.  They are reproduced in the following table.</w:t>
      </w:r>
    </w:p>
    <w:p w:rsidR="004D2601" w:rsidRDefault="004D2601">
      <w:pPr>
        <w:pStyle w:val="BodyText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96"/>
        <w:gridCol w:w="1596"/>
        <w:gridCol w:w="1596"/>
        <w:gridCol w:w="1596"/>
        <w:gridCol w:w="1596"/>
        <w:gridCol w:w="1596"/>
      </w:tblGrid>
      <w:tr w:rsidR="004D2601">
        <w:tc>
          <w:tcPr>
            <w:tcW w:w="1596" w:type="dxa"/>
          </w:tcPr>
          <w:p w:rsidR="004D2601" w:rsidRDefault="004D2601">
            <w:pPr>
              <w:pStyle w:val="BodyText2"/>
              <w:jc w:val="center"/>
              <w:rPr>
                <w:sz w:val="20"/>
              </w:rPr>
            </w:pPr>
            <w:r>
              <w:rPr>
                <w:sz w:val="20"/>
              </w:rPr>
              <w:t>Sample</w:t>
            </w:r>
          </w:p>
          <w:p w:rsidR="004D2601" w:rsidRDefault="004D2601">
            <w:pPr>
              <w:pStyle w:val="BodyText2"/>
              <w:jc w:val="center"/>
              <w:rPr>
                <w:sz w:val="20"/>
              </w:rPr>
            </w:pPr>
            <w:r>
              <w:rPr>
                <w:sz w:val="20"/>
              </w:rPr>
              <w:t>Type</w:t>
            </w:r>
          </w:p>
        </w:tc>
        <w:tc>
          <w:tcPr>
            <w:tcW w:w="1596" w:type="dxa"/>
          </w:tcPr>
          <w:p w:rsidR="004D2601" w:rsidRDefault="004D2601">
            <w:pPr>
              <w:pStyle w:val="BodyText2"/>
              <w:jc w:val="center"/>
              <w:rPr>
                <w:sz w:val="20"/>
              </w:rPr>
            </w:pPr>
            <w:r>
              <w:rPr>
                <w:sz w:val="20"/>
              </w:rPr>
              <w:t>R (min)</w:t>
            </w:r>
          </w:p>
        </w:tc>
        <w:tc>
          <w:tcPr>
            <w:tcW w:w="1596" w:type="dxa"/>
          </w:tcPr>
          <w:p w:rsidR="004D2601" w:rsidRDefault="004D2601">
            <w:pPr>
              <w:pStyle w:val="BodyText2"/>
              <w:jc w:val="center"/>
              <w:rPr>
                <w:sz w:val="20"/>
              </w:rPr>
            </w:pPr>
            <w:r>
              <w:rPr>
                <w:sz w:val="20"/>
              </w:rPr>
              <w:t>K (min)</w:t>
            </w:r>
          </w:p>
        </w:tc>
        <w:tc>
          <w:tcPr>
            <w:tcW w:w="1596" w:type="dxa"/>
          </w:tcPr>
          <w:p w:rsidR="004D2601" w:rsidRDefault="004D2601">
            <w:pPr>
              <w:pStyle w:val="BodyText2"/>
              <w:jc w:val="center"/>
              <w:rPr>
                <w:sz w:val="20"/>
              </w:rPr>
            </w:pPr>
            <w:r>
              <w:rPr>
                <w:sz w:val="20"/>
              </w:rPr>
              <w:t>Angle (º)</w:t>
            </w:r>
          </w:p>
        </w:tc>
        <w:tc>
          <w:tcPr>
            <w:tcW w:w="1596" w:type="dxa"/>
          </w:tcPr>
          <w:p w:rsidR="004D2601" w:rsidRDefault="004D2601">
            <w:pPr>
              <w:pStyle w:val="BodyText2"/>
              <w:jc w:val="center"/>
              <w:rPr>
                <w:sz w:val="20"/>
              </w:rPr>
            </w:pPr>
            <w:r>
              <w:rPr>
                <w:sz w:val="20"/>
              </w:rPr>
              <w:t>MA (mm)</w:t>
            </w:r>
          </w:p>
        </w:tc>
        <w:tc>
          <w:tcPr>
            <w:tcW w:w="1596" w:type="dxa"/>
          </w:tcPr>
          <w:p w:rsidR="004D2601" w:rsidRDefault="004D2601">
            <w:pPr>
              <w:pStyle w:val="BodyText2"/>
              <w:jc w:val="center"/>
              <w:rPr>
                <w:sz w:val="20"/>
              </w:rPr>
            </w:pPr>
            <w:r>
              <w:rPr>
                <w:sz w:val="20"/>
              </w:rPr>
              <w:t>Sample</w:t>
            </w:r>
          </w:p>
          <w:p w:rsidR="004D2601" w:rsidRDefault="004D2601">
            <w:pPr>
              <w:pStyle w:val="BodyText2"/>
              <w:jc w:val="center"/>
              <w:rPr>
                <w:sz w:val="20"/>
              </w:rPr>
            </w:pPr>
            <w:r>
              <w:rPr>
                <w:sz w:val="20"/>
              </w:rPr>
              <w:t>Size*</w:t>
            </w:r>
          </w:p>
        </w:tc>
      </w:tr>
      <w:tr w:rsidR="004D2601">
        <w:tc>
          <w:tcPr>
            <w:tcW w:w="1596" w:type="dxa"/>
          </w:tcPr>
          <w:p w:rsidR="004D2601" w:rsidRDefault="004D2601">
            <w:pPr>
              <w:pStyle w:val="BodyText2"/>
              <w:jc w:val="center"/>
              <w:rPr>
                <w:sz w:val="20"/>
              </w:rPr>
            </w:pPr>
            <w:r>
              <w:rPr>
                <w:sz w:val="20"/>
              </w:rPr>
              <w:t>Kaolin</w:t>
            </w:r>
          </w:p>
        </w:tc>
        <w:tc>
          <w:tcPr>
            <w:tcW w:w="1596" w:type="dxa"/>
          </w:tcPr>
          <w:p w:rsidR="004D2601" w:rsidRDefault="004D2601">
            <w:pPr>
              <w:pStyle w:val="BodyText2"/>
              <w:jc w:val="center"/>
              <w:rPr>
                <w:sz w:val="20"/>
              </w:rPr>
            </w:pPr>
            <w:r>
              <w:rPr>
                <w:sz w:val="20"/>
              </w:rPr>
              <w:t>3.7-8.3</w:t>
            </w:r>
          </w:p>
        </w:tc>
        <w:tc>
          <w:tcPr>
            <w:tcW w:w="1596" w:type="dxa"/>
          </w:tcPr>
          <w:p w:rsidR="004D2601" w:rsidRDefault="004D2601">
            <w:pPr>
              <w:pStyle w:val="BodyText2"/>
              <w:jc w:val="center"/>
              <w:rPr>
                <w:sz w:val="20"/>
              </w:rPr>
            </w:pPr>
            <w:r>
              <w:rPr>
                <w:sz w:val="20"/>
              </w:rPr>
              <w:t>.5-3.7</w:t>
            </w:r>
          </w:p>
        </w:tc>
        <w:tc>
          <w:tcPr>
            <w:tcW w:w="1596" w:type="dxa"/>
          </w:tcPr>
          <w:p w:rsidR="004D2601" w:rsidRDefault="004D2601">
            <w:pPr>
              <w:pStyle w:val="BodyText2"/>
              <w:jc w:val="center"/>
              <w:rPr>
                <w:sz w:val="20"/>
              </w:rPr>
            </w:pPr>
            <w:r>
              <w:rPr>
                <w:sz w:val="20"/>
              </w:rPr>
              <w:t>46.8-73.6</w:t>
            </w:r>
          </w:p>
        </w:tc>
        <w:tc>
          <w:tcPr>
            <w:tcW w:w="1596" w:type="dxa"/>
          </w:tcPr>
          <w:p w:rsidR="004D2601" w:rsidRDefault="004D2601">
            <w:pPr>
              <w:pStyle w:val="BodyText2"/>
              <w:jc w:val="center"/>
              <w:rPr>
                <w:sz w:val="20"/>
              </w:rPr>
            </w:pPr>
            <w:r>
              <w:rPr>
                <w:sz w:val="20"/>
              </w:rPr>
              <w:t>54.5-72.5</w:t>
            </w:r>
          </w:p>
        </w:tc>
        <w:tc>
          <w:tcPr>
            <w:tcW w:w="1596" w:type="dxa"/>
          </w:tcPr>
          <w:p w:rsidR="004D2601" w:rsidRDefault="004D2601">
            <w:pPr>
              <w:pStyle w:val="BodyText2"/>
              <w:jc w:val="center"/>
              <w:rPr>
                <w:sz w:val="20"/>
              </w:rPr>
            </w:pPr>
            <w:r>
              <w:rPr>
                <w:sz w:val="20"/>
              </w:rPr>
              <w:t>132</w:t>
            </w:r>
          </w:p>
        </w:tc>
      </w:tr>
      <w:tr w:rsidR="004D2601">
        <w:tc>
          <w:tcPr>
            <w:tcW w:w="1596" w:type="dxa"/>
          </w:tcPr>
          <w:p w:rsidR="004D2601" w:rsidRDefault="004D2601">
            <w:pPr>
              <w:pStyle w:val="BodyText2"/>
              <w:jc w:val="center"/>
              <w:rPr>
                <w:sz w:val="20"/>
              </w:rPr>
            </w:pPr>
            <w:r>
              <w:rPr>
                <w:sz w:val="20"/>
              </w:rPr>
              <w:t>Sodium Citrate</w:t>
            </w:r>
          </w:p>
          <w:p w:rsidR="004D2601" w:rsidRDefault="004D2601">
            <w:pPr>
              <w:pStyle w:val="BodyText2"/>
              <w:jc w:val="center"/>
              <w:rPr>
                <w:sz w:val="20"/>
              </w:rPr>
            </w:pPr>
            <w:r>
              <w:rPr>
                <w:sz w:val="20"/>
              </w:rPr>
              <w:t>Kaolin</w:t>
            </w:r>
          </w:p>
        </w:tc>
        <w:tc>
          <w:tcPr>
            <w:tcW w:w="1596" w:type="dxa"/>
          </w:tcPr>
          <w:p w:rsidR="004D2601" w:rsidRDefault="004D2601">
            <w:pPr>
              <w:pStyle w:val="BodyText2"/>
              <w:jc w:val="center"/>
              <w:rPr>
                <w:sz w:val="20"/>
              </w:rPr>
            </w:pPr>
            <w:r>
              <w:rPr>
                <w:sz w:val="20"/>
              </w:rPr>
              <w:t>2.5-7.5</w:t>
            </w:r>
          </w:p>
        </w:tc>
        <w:tc>
          <w:tcPr>
            <w:tcW w:w="1596" w:type="dxa"/>
          </w:tcPr>
          <w:p w:rsidR="004D2601" w:rsidRDefault="004D2601">
            <w:pPr>
              <w:pStyle w:val="BodyText2"/>
              <w:jc w:val="center"/>
              <w:rPr>
                <w:sz w:val="20"/>
              </w:rPr>
            </w:pPr>
            <w:r>
              <w:rPr>
                <w:sz w:val="20"/>
              </w:rPr>
              <w:t>.8-2.8</w:t>
            </w:r>
          </w:p>
        </w:tc>
        <w:tc>
          <w:tcPr>
            <w:tcW w:w="1596" w:type="dxa"/>
          </w:tcPr>
          <w:p w:rsidR="004D2601" w:rsidRDefault="004D2601">
            <w:pPr>
              <w:pStyle w:val="BodyText2"/>
              <w:jc w:val="center"/>
              <w:rPr>
                <w:sz w:val="20"/>
              </w:rPr>
            </w:pPr>
            <w:r>
              <w:rPr>
                <w:sz w:val="20"/>
              </w:rPr>
              <w:t>55.2-78.4</w:t>
            </w:r>
          </w:p>
        </w:tc>
        <w:tc>
          <w:tcPr>
            <w:tcW w:w="1596" w:type="dxa"/>
          </w:tcPr>
          <w:p w:rsidR="004D2601" w:rsidRDefault="004D2601">
            <w:pPr>
              <w:pStyle w:val="BodyText2"/>
              <w:jc w:val="center"/>
              <w:rPr>
                <w:sz w:val="20"/>
              </w:rPr>
            </w:pPr>
            <w:r>
              <w:rPr>
                <w:sz w:val="20"/>
              </w:rPr>
              <w:t>50.6-69.4</w:t>
            </w:r>
          </w:p>
        </w:tc>
        <w:tc>
          <w:tcPr>
            <w:tcW w:w="1596" w:type="dxa"/>
          </w:tcPr>
          <w:p w:rsidR="004D2601" w:rsidRDefault="004D2601">
            <w:pPr>
              <w:pStyle w:val="BodyText2"/>
              <w:jc w:val="center"/>
              <w:rPr>
                <w:sz w:val="20"/>
              </w:rPr>
            </w:pPr>
            <w:r>
              <w:rPr>
                <w:sz w:val="20"/>
              </w:rPr>
              <w:t>98</w:t>
            </w:r>
          </w:p>
        </w:tc>
      </w:tr>
      <w:tr w:rsidR="004D2601">
        <w:tc>
          <w:tcPr>
            <w:tcW w:w="1596" w:type="dxa"/>
          </w:tcPr>
          <w:p w:rsidR="004D2601" w:rsidRDefault="004D2601">
            <w:pPr>
              <w:pStyle w:val="BodyText2"/>
              <w:jc w:val="center"/>
              <w:rPr>
                <w:sz w:val="20"/>
              </w:rPr>
            </w:pPr>
            <w:r>
              <w:rPr>
                <w:sz w:val="20"/>
              </w:rPr>
              <w:t>Native</w:t>
            </w:r>
          </w:p>
        </w:tc>
        <w:tc>
          <w:tcPr>
            <w:tcW w:w="1596" w:type="dxa"/>
          </w:tcPr>
          <w:p w:rsidR="004D2601" w:rsidRDefault="004D2601">
            <w:pPr>
              <w:pStyle w:val="BodyText2"/>
              <w:jc w:val="center"/>
              <w:rPr>
                <w:sz w:val="20"/>
              </w:rPr>
            </w:pPr>
            <w:r>
              <w:rPr>
                <w:sz w:val="20"/>
              </w:rPr>
              <w:t>12.1-26.5</w:t>
            </w:r>
          </w:p>
        </w:tc>
        <w:tc>
          <w:tcPr>
            <w:tcW w:w="1596" w:type="dxa"/>
          </w:tcPr>
          <w:p w:rsidR="004D2601" w:rsidRDefault="004D2601">
            <w:pPr>
              <w:pStyle w:val="BodyText2"/>
              <w:jc w:val="center"/>
              <w:rPr>
                <w:sz w:val="20"/>
              </w:rPr>
            </w:pPr>
            <w:r>
              <w:rPr>
                <w:sz w:val="20"/>
              </w:rPr>
              <w:t>3.2-12.8</w:t>
            </w:r>
          </w:p>
        </w:tc>
        <w:tc>
          <w:tcPr>
            <w:tcW w:w="1596" w:type="dxa"/>
          </w:tcPr>
          <w:p w:rsidR="004D2601" w:rsidRDefault="004D2601">
            <w:pPr>
              <w:pStyle w:val="BodyText2"/>
              <w:jc w:val="center"/>
              <w:rPr>
                <w:sz w:val="20"/>
              </w:rPr>
            </w:pPr>
            <w:r>
              <w:rPr>
                <w:sz w:val="20"/>
              </w:rPr>
              <w:t>13.6-46.4</w:t>
            </w:r>
          </w:p>
        </w:tc>
        <w:tc>
          <w:tcPr>
            <w:tcW w:w="1596" w:type="dxa"/>
          </w:tcPr>
          <w:p w:rsidR="004D2601" w:rsidRDefault="004D2601">
            <w:pPr>
              <w:pStyle w:val="BodyText2"/>
              <w:jc w:val="center"/>
              <w:rPr>
                <w:sz w:val="20"/>
              </w:rPr>
            </w:pPr>
            <w:r>
              <w:rPr>
                <w:sz w:val="20"/>
              </w:rPr>
              <w:t>41.8-63.0</w:t>
            </w:r>
          </w:p>
        </w:tc>
        <w:tc>
          <w:tcPr>
            <w:tcW w:w="1596" w:type="dxa"/>
          </w:tcPr>
          <w:p w:rsidR="004D2601" w:rsidRDefault="004D2601">
            <w:pPr>
              <w:pStyle w:val="BodyText2"/>
              <w:jc w:val="center"/>
              <w:rPr>
                <w:sz w:val="20"/>
              </w:rPr>
            </w:pPr>
            <w:r>
              <w:rPr>
                <w:sz w:val="20"/>
              </w:rPr>
              <w:t>132</w:t>
            </w:r>
          </w:p>
        </w:tc>
      </w:tr>
      <w:tr w:rsidR="004D2601">
        <w:tc>
          <w:tcPr>
            <w:tcW w:w="1596" w:type="dxa"/>
          </w:tcPr>
          <w:p w:rsidR="004D2601" w:rsidRDefault="004D2601">
            <w:pPr>
              <w:pStyle w:val="BodyText2"/>
              <w:jc w:val="center"/>
              <w:rPr>
                <w:sz w:val="20"/>
              </w:rPr>
            </w:pPr>
            <w:r>
              <w:rPr>
                <w:sz w:val="20"/>
              </w:rPr>
              <w:t>Sodium Citrate Native</w:t>
            </w:r>
          </w:p>
        </w:tc>
        <w:tc>
          <w:tcPr>
            <w:tcW w:w="1596" w:type="dxa"/>
          </w:tcPr>
          <w:p w:rsidR="004D2601" w:rsidRDefault="004D2601">
            <w:pPr>
              <w:pStyle w:val="BodyText2"/>
              <w:jc w:val="center"/>
              <w:rPr>
                <w:sz w:val="20"/>
              </w:rPr>
            </w:pPr>
            <w:r>
              <w:rPr>
                <w:sz w:val="20"/>
              </w:rPr>
              <w:t>9.4-27.4</w:t>
            </w:r>
          </w:p>
        </w:tc>
        <w:tc>
          <w:tcPr>
            <w:tcW w:w="1596" w:type="dxa"/>
          </w:tcPr>
          <w:p w:rsidR="004D2601" w:rsidRDefault="004D2601">
            <w:pPr>
              <w:pStyle w:val="BodyText2"/>
              <w:jc w:val="center"/>
              <w:rPr>
                <w:sz w:val="20"/>
              </w:rPr>
            </w:pPr>
            <w:r>
              <w:rPr>
                <w:sz w:val="20"/>
              </w:rPr>
              <w:t>1.9-8.9</w:t>
            </w:r>
          </w:p>
        </w:tc>
        <w:tc>
          <w:tcPr>
            <w:tcW w:w="1596" w:type="dxa"/>
          </w:tcPr>
          <w:p w:rsidR="004D2601" w:rsidRDefault="004D2601">
            <w:pPr>
              <w:pStyle w:val="BodyText2"/>
              <w:jc w:val="center"/>
              <w:rPr>
                <w:sz w:val="20"/>
              </w:rPr>
            </w:pPr>
            <w:r>
              <w:rPr>
                <w:sz w:val="20"/>
              </w:rPr>
              <w:t>22.0-58.0</w:t>
            </w:r>
          </w:p>
        </w:tc>
        <w:tc>
          <w:tcPr>
            <w:tcW w:w="1596" w:type="dxa"/>
          </w:tcPr>
          <w:p w:rsidR="004D2601" w:rsidRDefault="004D2601">
            <w:pPr>
              <w:pStyle w:val="BodyText2"/>
              <w:jc w:val="center"/>
              <w:rPr>
                <w:sz w:val="20"/>
              </w:rPr>
            </w:pPr>
            <w:r>
              <w:rPr>
                <w:sz w:val="20"/>
              </w:rPr>
              <w:t>44.4-63.6</w:t>
            </w:r>
          </w:p>
        </w:tc>
        <w:tc>
          <w:tcPr>
            <w:tcW w:w="1596" w:type="dxa"/>
          </w:tcPr>
          <w:p w:rsidR="004D2601" w:rsidRDefault="004D2601">
            <w:pPr>
              <w:pStyle w:val="BodyText2"/>
              <w:jc w:val="center"/>
              <w:rPr>
                <w:sz w:val="20"/>
              </w:rPr>
            </w:pPr>
            <w:r>
              <w:rPr>
                <w:sz w:val="20"/>
              </w:rPr>
              <w:t>132</w:t>
            </w:r>
          </w:p>
        </w:tc>
      </w:tr>
      <w:tr w:rsidR="004D2601">
        <w:tc>
          <w:tcPr>
            <w:tcW w:w="1596" w:type="dxa"/>
          </w:tcPr>
          <w:p w:rsidR="004D2601" w:rsidRDefault="004D2601">
            <w:pPr>
              <w:pStyle w:val="BodyText2"/>
              <w:jc w:val="center"/>
              <w:rPr>
                <w:sz w:val="20"/>
              </w:rPr>
            </w:pPr>
            <w:r>
              <w:rPr>
                <w:sz w:val="20"/>
              </w:rPr>
              <w:t>Tissue Factor (TF)</w:t>
            </w:r>
          </w:p>
        </w:tc>
        <w:tc>
          <w:tcPr>
            <w:tcW w:w="1596" w:type="dxa"/>
          </w:tcPr>
          <w:p w:rsidR="004D2601" w:rsidRDefault="004D2601">
            <w:pPr>
              <w:pStyle w:val="BodyText2"/>
              <w:jc w:val="center"/>
              <w:rPr>
                <w:sz w:val="20"/>
              </w:rPr>
            </w:pPr>
            <w:r>
              <w:rPr>
                <w:sz w:val="20"/>
              </w:rPr>
              <w:t>1.3-3.3</w:t>
            </w:r>
          </w:p>
        </w:tc>
        <w:tc>
          <w:tcPr>
            <w:tcW w:w="1596" w:type="dxa"/>
          </w:tcPr>
          <w:p w:rsidR="004D2601" w:rsidRDefault="004D2601">
            <w:pPr>
              <w:pStyle w:val="BodyText2"/>
              <w:jc w:val="center"/>
              <w:rPr>
                <w:sz w:val="20"/>
              </w:rPr>
            </w:pPr>
            <w:r>
              <w:rPr>
                <w:sz w:val="20"/>
              </w:rPr>
              <w:t>.8-2.8</w:t>
            </w:r>
          </w:p>
        </w:tc>
        <w:tc>
          <w:tcPr>
            <w:tcW w:w="1596" w:type="dxa"/>
          </w:tcPr>
          <w:p w:rsidR="004D2601" w:rsidRDefault="004D2601">
            <w:pPr>
              <w:pStyle w:val="BodyText2"/>
              <w:jc w:val="center"/>
              <w:rPr>
                <w:sz w:val="20"/>
              </w:rPr>
            </w:pPr>
            <w:r>
              <w:rPr>
                <w:sz w:val="20"/>
              </w:rPr>
              <w:t>57.0-77.8</w:t>
            </w:r>
          </w:p>
        </w:tc>
        <w:tc>
          <w:tcPr>
            <w:tcW w:w="1596" w:type="dxa"/>
          </w:tcPr>
          <w:p w:rsidR="004D2601" w:rsidRDefault="004D2601">
            <w:pPr>
              <w:pStyle w:val="BodyText2"/>
              <w:jc w:val="center"/>
              <w:rPr>
                <w:sz w:val="20"/>
              </w:rPr>
            </w:pPr>
            <w:r>
              <w:rPr>
                <w:sz w:val="20"/>
              </w:rPr>
              <w:t>54.6-75.4</w:t>
            </w:r>
          </w:p>
        </w:tc>
        <w:tc>
          <w:tcPr>
            <w:tcW w:w="1596" w:type="dxa"/>
          </w:tcPr>
          <w:p w:rsidR="004D2601" w:rsidRDefault="004D2601">
            <w:pPr>
              <w:pStyle w:val="BodyText2"/>
              <w:jc w:val="center"/>
              <w:rPr>
                <w:sz w:val="20"/>
              </w:rPr>
            </w:pPr>
            <w:r>
              <w:rPr>
                <w:sz w:val="20"/>
              </w:rPr>
              <w:t>178</w:t>
            </w:r>
          </w:p>
        </w:tc>
      </w:tr>
    </w:tbl>
    <w:p w:rsidR="004D2601" w:rsidRDefault="004D2601">
      <w:pPr>
        <w:pStyle w:val="BodyText2"/>
        <w:jc w:val="both"/>
      </w:pPr>
    </w:p>
    <w:p w:rsidR="004D2601" w:rsidRDefault="004D2601">
      <w:pPr>
        <w:pStyle w:val="BodyText2"/>
        <w:jc w:val="both"/>
      </w:pPr>
    </w:p>
    <w:p w:rsidR="004D2601" w:rsidRDefault="004D2601">
      <w:pPr>
        <w:pStyle w:val="BodyText2"/>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9"/>
        <w:gridCol w:w="7289"/>
      </w:tblGrid>
      <w:tr w:rsidR="004D2601">
        <w:tc>
          <w:tcPr>
            <w:tcW w:w="1189" w:type="dxa"/>
          </w:tcPr>
          <w:p w:rsidR="004D2601" w:rsidRDefault="004D2601">
            <w:pPr>
              <w:pStyle w:val="BodyText2"/>
              <w:jc w:val="both"/>
              <w:rPr>
                <w:sz w:val="20"/>
              </w:rPr>
            </w:pPr>
            <w:r>
              <w:rPr>
                <w:sz w:val="20"/>
              </w:rPr>
              <w:t>Parameter</w:t>
            </w:r>
          </w:p>
        </w:tc>
        <w:tc>
          <w:tcPr>
            <w:tcW w:w="7289" w:type="dxa"/>
          </w:tcPr>
          <w:p w:rsidR="004D2601" w:rsidRDefault="004D2601">
            <w:pPr>
              <w:pStyle w:val="BodyText2"/>
              <w:jc w:val="both"/>
              <w:rPr>
                <w:sz w:val="20"/>
              </w:rPr>
            </w:pPr>
            <w:r>
              <w:rPr>
                <w:sz w:val="20"/>
              </w:rPr>
              <w:t>Description</w:t>
            </w:r>
          </w:p>
        </w:tc>
      </w:tr>
      <w:tr w:rsidR="004D2601">
        <w:tc>
          <w:tcPr>
            <w:tcW w:w="1189" w:type="dxa"/>
          </w:tcPr>
          <w:p w:rsidR="004D2601" w:rsidRDefault="004D2601">
            <w:pPr>
              <w:pStyle w:val="BodyText2"/>
              <w:jc w:val="center"/>
              <w:rPr>
                <w:sz w:val="20"/>
              </w:rPr>
            </w:pPr>
            <w:r>
              <w:rPr>
                <w:sz w:val="20"/>
              </w:rPr>
              <w:t>R</w:t>
            </w:r>
          </w:p>
        </w:tc>
        <w:tc>
          <w:tcPr>
            <w:tcW w:w="7289" w:type="dxa"/>
          </w:tcPr>
          <w:p w:rsidR="004D2601" w:rsidRDefault="004D2601">
            <w:pPr>
              <w:pStyle w:val="BodyText2"/>
              <w:rPr>
                <w:sz w:val="20"/>
              </w:rPr>
            </w:pPr>
            <w:r>
              <w:rPr>
                <w:sz w:val="20"/>
              </w:rPr>
              <w:t>Reaction or clotting time representing the length of time for the initial clot to form</w:t>
            </w:r>
          </w:p>
        </w:tc>
      </w:tr>
      <w:tr w:rsidR="004D2601">
        <w:tc>
          <w:tcPr>
            <w:tcW w:w="1189" w:type="dxa"/>
          </w:tcPr>
          <w:p w:rsidR="004D2601" w:rsidRDefault="004D2601">
            <w:pPr>
              <w:pStyle w:val="BodyText2"/>
              <w:jc w:val="center"/>
              <w:rPr>
                <w:sz w:val="20"/>
              </w:rPr>
            </w:pPr>
            <w:r>
              <w:rPr>
                <w:sz w:val="20"/>
              </w:rPr>
              <w:t>K</w:t>
            </w:r>
          </w:p>
        </w:tc>
        <w:tc>
          <w:tcPr>
            <w:tcW w:w="7289" w:type="dxa"/>
          </w:tcPr>
          <w:p w:rsidR="004D2601" w:rsidRDefault="004D2601">
            <w:pPr>
              <w:pStyle w:val="BodyText2"/>
              <w:rPr>
                <w:sz w:val="20"/>
              </w:rPr>
            </w:pPr>
            <w:r>
              <w:rPr>
                <w:sz w:val="20"/>
              </w:rPr>
              <w:t>Time that it takes for the tracing to reach 20mm.  This is considered clot formation time</w:t>
            </w:r>
          </w:p>
        </w:tc>
      </w:tr>
      <w:tr w:rsidR="004D2601">
        <w:tc>
          <w:tcPr>
            <w:tcW w:w="1189" w:type="dxa"/>
          </w:tcPr>
          <w:p w:rsidR="004D2601" w:rsidRDefault="004D2601">
            <w:pPr>
              <w:pStyle w:val="BodyText2"/>
              <w:jc w:val="center"/>
              <w:rPr>
                <w:sz w:val="20"/>
              </w:rPr>
            </w:pPr>
            <w:r>
              <w:rPr>
                <w:sz w:val="20"/>
              </w:rPr>
              <w:t>Angle</w:t>
            </w:r>
          </w:p>
        </w:tc>
        <w:tc>
          <w:tcPr>
            <w:tcW w:w="7289" w:type="dxa"/>
          </w:tcPr>
          <w:p w:rsidR="004D2601" w:rsidRDefault="004D2601">
            <w:pPr>
              <w:pStyle w:val="BodyText2"/>
              <w:rPr>
                <w:sz w:val="20"/>
              </w:rPr>
            </w:pPr>
            <w:r>
              <w:rPr>
                <w:sz w:val="20"/>
              </w:rPr>
              <w:t>Rate of clot growth</w:t>
            </w:r>
          </w:p>
        </w:tc>
      </w:tr>
      <w:tr w:rsidR="004D2601">
        <w:tc>
          <w:tcPr>
            <w:tcW w:w="1189" w:type="dxa"/>
          </w:tcPr>
          <w:p w:rsidR="004D2601" w:rsidRDefault="004D2601">
            <w:pPr>
              <w:pStyle w:val="BodyText2"/>
              <w:jc w:val="center"/>
              <w:rPr>
                <w:sz w:val="20"/>
              </w:rPr>
            </w:pPr>
            <w:r>
              <w:rPr>
                <w:sz w:val="20"/>
              </w:rPr>
              <w:t>MA</w:t>
            </w:r>
          </w:p>
        </w:tc>
        <w:tc>
          <w:tcPr>
            <w:tcW w:w="7289" w:type="dxa"/>
          </w:tcPr>
          <w:p w:rsidR="004D2601" w:rsidRDefault="004D2601">
            <w:pPr>
              <w:pStyle w:val="BodyText2"/>
              <w:rPr>
                <w:sz w:val="20"/>
              </w:rPr>
            </w:pPr>
            <w:r>
              <w:rPr>
                <w:sz w:val="20"/>
              </w:rPr>
              <w:t>Maximum amplitude representing the clot’s full strength</w:t>
            </w:r>
          </w:p>
        </w:tc>
      </w:tr>
      <w:tr w:rsidR="004D2601">
        <w:tc>
          <w:tcPr>
            <w:tcW w:w="1189" w:type="dxa"/>
          </w:tcPr>
          <w:p w:rsidR="004D2601" w:rsidRDefault="004D2601">
            <w:pPr>
              <w:pStyle w:val="BodyText2"/>
              <w:jc w:val="center"/>
              <w:rPr>
                <w:sz w:val="20"/>
              </w:rPr>
            </w:pPr>
            <w:r>
              <w:rPr>
                <w:sz w:val="20"/>
              </w:rPr>
              <w:t>LY30</w:t>
            </w:r>
          </w:p>
        </w:tc>
        <w:tc>
          <w:tcPr>
            <w:tcW w:w="7289" w:type="dxa"/>
          </w:tcPr>
          <w:p w:rsidR="004D2601" w:rsidRDefault="004D2601">
            <w:pPr>
              <w:pStyle w:val="BodyText2"/>
              <w:rPr>
                <w:sz w:val="20"/>
              </w:rPr>
            </w:pPr>
            <w:r>
              <w:rPr>
                <w:sz w:val="20"/>
              </w:rPr>
              <w:t>Clot breakdown 30 minutes after the MA is reached</w:t>
            </w:r>
          </w:p>
        </w:tc>
      </w:tr>
    </w:tbl>
    <w:p w:rsidR="004D2601" w:rsidRDefault="004D2601">
      <w:pPr>
        <w:pStyle w:val="BodyText2"/>
        <w:jc w:val="both"/>
        <w:rPr>
          <w:sz w:val="20"/>
        </w:rPr>
      </w:pPr>
    </w:p>
    <w:p w:rsidR="004D2601" w:rsidRDefault="004D2601">
      <w:pPr>
        <w:pStyle w:val="BodyText2"/>
        <w:jc w:val="both"/>
        <w:rPr>
          <w:b/>
          <w:bCs/>
        </w:rPr>
      </w:pPr>
      <w:r>
        <w:rPr>
          <w:sz w:val="20"/>
        </w:rPr>
        <w:t>You can specify which tests you want and customize the order in which they appear.</w:t>
      </w:r>
    </w:p>
    <w:p w:rsidR="004D2601" w:rsidRDefault="004D2601">
      <w:pPr>
        <w:pStyle w:val="BodyText2"/>
        <w:rPr>
          <w:b/>
          <w:bCs/>
        </w:rPr>
      </w:pPr>
    </w:p>
    <w:p w:rsidR="004D2601" w:rsidRDefault="004D2601">
      <w:pPr>
        <w:rPr>
          <w:b/>
          <w:bCs/>
          <w:sz w:val="24"/>
        </w:rPr>
      </w:pPr>
      <w:r>
        <w:rPr>
          <w:b/>
          <w:bCs/>
          <w:sz w:val="24"/>
        </w:rPr>
        <w:t>REPORTING RESULTS:</w:t>
      </w:r>
    </w:p>
    <w:p w:rsidR="004D2601" w:rsidRDefault="004D2601">
      <w:pPr>
        <w:rPr>
          <w:sz w:val="24"/>
        </w:rPr>
      </w:pPr>
      <w:r>
        <w:rPr>
          <w:sz w:val="24"/>
        </w:rPr>
        <w:t>After the case is completed, report results in the follow manner:</w:t>
      </w:r>
    </w:p>
    <w:p w:rsidR="004D2601" w:rsidRDefault="004D2601" w:rsidP="00BD6B8F">
      <w:pPr>
        <w:numPr>
          <w:ilvl w:val="0"/>
          <w:numId w:val="5"/>
        </w:numPr>
        <w:rPr>
          <w:sz w:val="24"/>
        </w:rPr>
      </w:pPr>
      <w:r>
        <w:rPr>
          <w:sz w:val="24"/>
        </w:rPr>
        <w:t xml:space="preserve">Click on the patient’s tracing </w:t>
      </w:r>
    </w:p>
    <w:p w:rsidR="004D2601" w:rsidRDefault="004D2601" w:rsidP="00BD6B8F">
      <w:pPr>
        <w:numPr>
          <w:ilvl w:val="0"/>
          <w:numId w:val="5"/>
        </w:numPr>
        <w:rPr>
          <w:sz w:val="24"/>
        </w:rPr>
      </w:pPr>
      <w:r>
        <w:rPr>
          <w:sz w:val="24"/>
        </w:rPr>
        <w:t>Go to the case icon</w:t>
      </w:r>
    </w:p>
    <w:p w:rsidR="004D2601" w:rsidRDefault="004D2601">
      <w:pPr>
        <w:ind w:left="1440"/>
        <w:rPr>
          <w:sz w:val="24"/>
        </w:rPr>
      </w:pPr>
      <w:r>
        <w:rPr>
          <w:sz w:val="24"/>
        </w:rPr>
        <w:t>Chose patient by name</w:t>
      </w:r>
    </w:p>
    <w:p w:rsidR="004D2601" w:rsidRDefault="004D2601">
      <w:pPr>
        <w:ind w:left="1440"/>
        <w:rPr>
          <w:sz w:val="24"/>
        </w:rPr>
      </w:pPr>
      <w:r>
        <w:rPr>
          <w:sz w:val="24"/>
        </w:rPr>
        <w:t>Click on the edit case button</w:t>
      </w:r>
    </w:p>
    <w:p w:rsidR="004D2601" w:rsidRDefault="004D2601">
      <w:pPr>
        <w:ind w:left="1440"/>
        <w:rPr>
          <w:sz w:val="24"/>
        </w:rPr>
      </w:pPr>
      <w:r>
        <w:rPr>
          <w:sz w:val="24"/>
        </w:rPr>
        <w:t>Click done</w:t>
      </w:r>
    </w:p>
    <w:p w:rsidR="004D2601" w:rsidRDefault="004D2601">
      <w:pPr>
        <w:ind w:left="1440"/>
        <w:rPr>
          <w:sz w:val="24"/>
        </w:rPr>
      </w:pPr>
      <w:r>
        <w:rPr>
          <w:sz w:val="24"/>
        </w:rPr>
        <w:t>Enter:</w:t>
      </w:r>
    </w:p>
    <w:p w:rsidR="004D2601" w:rsidRDefault="004D2601">
      <w:pPr>
        <w:ind w:left="1440"/>
        <w:rPr>
          <w:sz w:val="24"/>
        </w:rPr>
      </w:pPr>
      <w:r>
        <w:rPr>
          <w:sz w:val="24"/>
        </w:rPr>
        <w:t xml:space="preserve"> Patient ID (medical records number)</w:t>
      </w:r>
    </w:p>
    <w:p w:rsidR="004D2601" w:rsidRDefault="004D2601">
      <w:pPr>
        <w:ind w:left="1440"/>
        <w:rPr>
          <w:sz w:val="24"/>
        </w:rPr>
      </w:pPr>
      <w:r>
        <w:rPr>
          <w:sz w:val="24"/>
        </w:rPr>
        <w:t xml:space="preserve"> Patient Name</w:t>
      </w:r>
    </w:p>
    <w:p w:rsidR="004D2601" w:rsidRDefault="004D2601">
      <w:pPr>
        <w:ind w:left="1440"/>
        <w:rPr>
          <w:sz w:val="24"/>
        </w:rPr>
      </w:pPr>
      <w:r>
        <w:rPr>
          <w:sz w:val="24"/>
        </w:rPr>
        <w:t xml:space="preserve"> Gender</w:t>
      </w:r>
    </w:p>
    <w:p w:rsidR="004D2601" w:rsidRDefault="004D2601">
      <w:pPr>
        <w:ind w:left="1440"/>
        <w:rPr>
          <w:sz w:val="24"/>
        </w:rPr>
      </w:pPr>
      <w:r>
        <w:rPr>
          <w:sz w:val="24"/>
        </w:rPr>
        <w:t xml:space="preserve"> Age</w:t>
      </w:r>
    </w:p>
    <w:p w:rsidR="004D2601" w:rsidRDefault="004D2601">
      <w:pPr>
        <w:ind w:left="1440"/>
        <w:rPr>
          <w:sz w:val="24"/>
        </w:rPr>
      </w:pPr>
      <w:r>
        <w:rPr>
          <w:sz w:val="24"/>
        </w:rPr>
        <w:t>(if not already entered)</w:t>
      </w:r>
    </w:p>
    <w:p w:rsidR="004D2601" w:rsidRDefault="004D2601" w:rsidP="00BD6B8F">
      <w:pPr>
        <w:numPr>
          <w:ilvl w:val="0"/>
          <w:numId w:val="5"/>
        </w:numPr>
        <w:rPr>
          <w:sz w:val="24"/>
        </w:rPr>
      </w:pPr>
      <w:r>
        <w:rPr>
          <w:sz w:val="24"/>
        </w:rPr>
        <w:t>Under the “ other” tab, enter date of birth</w:t>
      </w:r>
    </w:p>
    <w:p w:rsidR="004D2601" w:rsidRDefault="004D2601" w:rsidP="00BD6B8F">
      <w:pPr>
        <w:numPr>
          <w:ilvl w:val="0"/>
          <w:numId w:val="5"/>
        </w:numPr>
        <w:rPr>
          <w:sz w:val="24"/>
        </w:rPr>
      </w:pPr>
      <w:r>
        <w:rPr>
          <w:sz w:val="24"/>
        </w:rPr>
        <w:t>Under “</w:t>
      </w:r>
      <w:r w:rsidR="00DE26A3">
        <w:rPr>
          <w:sz w:val="24"/>
        </w:rPr>
        <w:t>clinicians</w:t>
      </w:r>
      <w:r>
        <w:rPr>
          <w:sz w:val="24"/>
        </w:rPr>
        <w:t>” tab, enter</w:t>
      </w:r>
      <w:r w:rsidR="00DE26A3">
        <w:rPr>
          <w:sz w:val="24"/>
        </w:rPr>
        <w:t xml:space="preserve"> surgeon, pathologist and perfu</w:t>
      </w:r>
      <w:r>
        <w:rPr>
          <w:sz w:val="24"/>
        </w:rPr>
        <w:t>sionist, if known</w:t>
      </w:r>
    </w:p>
    <w:p w:rsidR="004D2601" w:rsidRDefault="004D2601" w:rsidP="00BD6B8F">
      <w:pPr>
        <w:numPr>
          <w:ilvl w:val="0"/>
          <w:numId w:val="5"/>
        </w:numPr>
        <w:rPr>
          <w:sz w:val="24"/>
        </w:rPr>
      </w:pPr>
      <w:r>
        <w:rPr>
          <w:sz w:val="24"/>
        </w:rPr>
        <w:t>Click done</w:t>
      </w:r>
    </w:p>
    <w:p w:rsidR="004D2601" w:rsidRDefault="004D2601" w:rsidP="00BD6B8F">
      <w:pPr>
        <w:numPr>
          <w:ilvl w:val="0"/>
          <w:numId w:val="5"/>
        </w:numPr>
        <w:rPr>
          <w:sz w:val="24"/>
        </w:rPr>
      </w:pPr>
      <w:r>
        <w:rPr>
          <w:sz w:val="24"/>
        </w:rPr>
        <w:t>Go to detail icon, sample tab:</w:t>
      </w:r>
    </w:p>
    <w:p w:rsidR="004D2601" w:rsidRDefault="004D2601" w:rsidP="00BD6B8F">
      <w:pPr>
        <w:numPr>
          <w:ilvl w:val="0"/>
          <w:numId w:val="5"/>
        </w:numPr>
        <w:rPr>
          <w:sz w:val="24"/>
        </w:rPr>
      </w:pPr>
      <w:r>
        <w:rPr>
          <w:sz w:val="24"/>
        </w:rPr>
        <w:t>Enter:</w:t>
      </w:r>
    </w:p>
    <w:p w:rsidR="004D2601" w:rsidRDefault="004D2601">
      <w:pPr>
        <w:ind w:left="1440"/>
        <w:rPr>
          <w:sz w:val="24"/>
        </w:rPr>
      </w:pPr>
      <w:r>
        <w:rPr>
          <w:sz w:val="24"/>
        </w:rPr>
        <w:lastRenderedPageBreak/>
        <w:t>Description (if not already entered)</w:t>
      </w:r>
    </w:p>
    <w:p w:rsidR="004D2601" w:rsidRDefault="00DE26A3">
      <w:pPr>
        <w:ind w:left="1440"/>
        <w:rPr>
          <w:sz w:val="24"/>
        </w:rPr>
      </w:pPr>
      <w:r>
        <w:rPr>
          <w:sz w:val="24"/>
        </w:rPr>
        <w:t>Accession Number- Enter Teg order</w:t>
      </w:r>
      <w:r w:rsidR="004D2601">
        <w:rPr>
          <w:sz w:val="24"/>
        </w:rPr>
        <w:t xml:space="preserve"> number</w:t>
      </w:r>
    </w:p>
    <w:p w:rsidR="004D2601" w:rsidRDefault="004D2601">
      <w:pPr>
        <w:ind w:left="1440"/>
        <w:rPr>
          <w:sz w:val="24"/>
        </w:rPr>
      </w:pPr>
      <w:r>
        <w:rPr>
          <w:sz w:val="24"/>
        </w:rPr>
        <w:t>Ordered By-Enter ordering physician’s name</w:t>
      </w:r>
    </w:p>
    <w:p w:rsidR="004D2601" w:rsidRDefault="004D2601">
      <w:pPr>
        <w:ind w:left="1440"/>
        <w:rPr>
          <w:sz w:val="24"/>
        </w:rPr>
      </w:pPr>
      <w:r>
        <w:rPr>
          <w:sz w:val="24"/>
        </w:rPr>
        <w:t>Leave Bleeding State and patient temperature blank</w:t>
      </w:r>
    </w:p>
    <w:p w:rsidR="004D2601" w:rsidRDefault="004D2601">
      <w:pPr>
        <w:ind w:left="1440"/>
        <w:rPr>
          <w:sz w:val="24"/>
        </w:rPr>
      </w:pPr>
      <w:r>
        <w:rPr>
          <w:sz w:val="24"/>
        </w:rPr>
        <w:t>Reported: Leave blank</w:t>
      </w:r>
    </w:p>
    <w:p w:rsidR="004D2601" w:rsidRDefault="00DE26A3">
      <w:pPr>
        <w:ind w:left="1440"/>
        <w:rPr>
          <w:sz w:val="24"/>
        </w:rPr>
      </w:pPr>
      <w:r>
        <w:rPr>
          <w:sz w:val="24"/>
        </w:rPr>
        <w:t>Reported By: Your Initials</w:t>
      </w:r>
    </w:p>
    <w:p w:rsidR="004D2601" w:rsidRDefault="004D2601">
      <w:pPr>
        <w:ind w:left="1440"/>
        <w:rPr>
          <w:sz w:val="24"/>
        </w:rPr>
      </w:pPr>
      <w:r>
        <w:rPr>
          <w:sz w:val="24"/>
        </w:rPr>
        <w:t>Report Date: Today’s Date</w:t>
      </w:r>
    </w:p>
    <w:p w:rsidR="004D2601" w:rsidRDefault="004D2601" w:rsidP="00BD6B8F">
      <w:pPr>
        <w:numPr>
          <w:ilvl w:val="0"/>
          <w:numId w:val="5"/>
        </w:numPr>
        <w:rPr>
          <w:sz w:val="24"/>
        </w:rPr>
      </w:pPr>
      <w:r>
        <w:rPr>
          <w:sz w:val="24"/>
        </w:rPr>
        <w:t>Print  Report</w:t>
      </w:r>
    </w:p>
    <w:p w:rsidR="004D2601" w:rsidRDefault="00DE26A3">
      <w:pPr>
        <w:ind w:left="1440"/>
        <w:rPr>
          <w:sz w:val="24"/>
        </w:rPr>
      </w:pPr>
      <w:r>
        <w:rPr>
          <w:sz w:val="24"/>
        </w:rPr>
        <w:t xml:space="preserve">Go to </w:t>
      </w:r>
      <w:r w:rsidR="004D2601">
        <w:rPr>
          <w:sz w:val="24"/>
        </w:rPr>
        <w:t>Print Icon</w:t>
      </w:r>
    </w:p>
    <w:p w:rsidR="004D2601" w:rsidRDefault="004D2601">
      <w:pPr>
        <w:ind w:left="1440"/>
        <w:rPr>
          <w:sz w:val="24"/>
        </w:rPr>
      </w:pPr>
      <w:r>
        <w:rPr>
          <w:sz w:val="24"/>
        </w:rPr>
        <w:t>Click continue</w:t>
      </w:r>
    </w:p>
    <w:p w:rsidR="00DE26A3" w:rsidRDefault="00DE26A3">
      <w:pPr>
        <w:ind w:left="1440"/>
        <w:rPr>
          <w:sz w:val="24"/>
        </w:rPr>
      </w:pPr>
      <w:r>
        <w:rPr>
          <w:sz w:val="24"/>
        </w:rPr>
        <w:t>Select all of the graphs</w:t>
      </w:r>
    </w:p>
    <w:p w:rsidR="004D2601" w:rsidRDefault="004D2601">
      <w:pPr>
        <w:ind w:left="1440"/>
        <w:rPr>
          <w:sz w:val="24"/>
        </w:rPr>
      </w:pPr>
      <w:r>
        <w:rPr>
          <w:sz w:val="24"/>
        </w:rPr>
        <w:t>Print</w:t>
      </w:r>
    </w:p>
    <w:p w:rsidR="004D2601" w:rsidRDefault="00DE26A3">
      <w:pPr>
        <w:ind w:left="1440"/>
        <w:rPr>
          <w:sz w:val="24"/>
        </w:rPr>
      </w:pPr>
      <w:r>
        <w:rPr>
          <w:sz w:val="24"/>
        </w:rPr>
        <w:t>Print on Lab Color Pr</w:t>
      </w:r>
      <w:r w:rsidR="004D2601">
        <w:rPr>
          <w:sz w:val="24"/>
        </w:rPr>
        <w:t>inter</w:t>
      </w:r>
    </w:p>
    <w:p w:rsidR="004D2601" w:rsidRDefault="004D2601" w:rsidP="00BD6B8F">
      <w:pPr>
        <w:numPr>
          <w:ilvl w:val="0"/>
          <w:numId w:val="5"/>
        </w:numPr>
        <w:rPr>
          <w:sz w:val="24"/>
        </w:rPr>
      </w:pPr>
      <w:r>
        <w:rPr>
          <w:sz w:val="24"/>
        </w:rPr>
        <w:t>Enter “See TEG Results” and verify the  LIS order</w:t>
      </w:r>
    </w:p>
    <w:p w:rsidR="004D2601" w:rsidRDefault="004F4921" w:rsidP="00BD6B8F">
      <w:pPr>
        <w:numPr>
          <w:ilvl w:val="0"/>
          <w:numId w:val="5"/>
        </w:numPr>
        <w:rPr>
          <w:sz w:val="24"/>
        </w:rPr>
      </w:pPr>
      <w:r>
        <w:rPr>
          <w:sz w:val="24"/>
        </w:rPr>
        <w:t>Scan Graph into So</w:t>
      </w:r>
      <w:r w:rsidR="0093034B">
        <w:rPr>
          <w:sz w:val="24"/>
        </w:rPr>
        <w:t>ftMedia</w:t>
      </w:r>
      <w:r w:rsidR="00DE26A3">
        <w:rPr>
          <w:sz w:val="24"/>
        </w:rPr>
        <w:t xml:space="preserve"> via Order Entry</w:t>
      </w:r>
      <w:r w:rsidR="0093034B">
        <w:rPr>
          <w:sz w:val="24"/>
        </w:rPr>
        <w:t>. See Soft Procedure Book</w:t>
      </w:r>
      <w:r>
        <w:rPr>
          <w:sz w:val="24"/>
        </w:rPr>
        <w:t xml:space="preserve"> for more information.</w:t>
      </w:r>
    </w:p>
    <w:p w:rsidR="004D2601" w:rsidRDefault="004D2601">
      <w:pPr>
        <w:rPr>
          <w:b/>
          <w:bCs/>
          <w:sz w:val="24"/>
        </w:rPr>
      </w:pPr>
    </w:p>
    <w:p w:rsidR="004D2601" w:rsidRDefault="004D2601">
      <w:pPr>
        <w:rPr>
          <w:b/>
          <w:bCs/>
          <w:sz w:val="24"/>
        </w:rPr>
      </w:pPr>
    </w:p>
    <w:p w:rsidR="004D2601" w:rsidRDefault="004D2601">
      <w:pPr>
        <w:rPr>
          <w:b/>
          <w:bCs/>
          <w:sz w:val="24"/>
        </w:rPr>
      </w:pPr>
      <w:r>
        <w:rPr>
          <w:b/>
          <w:bCs/>
          <w:sz w:val="24"/>
        </w:rPr>
        <w:t xml:space="preserve">NOTES:  </w:t>
      </w:r>
    </w:p>
    <w:p w:rsidR="004D2601" w:rsidRDefault="004D2601">
      <w:pPr>
        <w:rPr>
          <w:b/>
          <w:bCs/>
          <w:sz w:val="24"/>
        </w:rPr>
      </w:pPr>
    </w:p>
    <w:p w:rsidR="004D2601" w:rsidRDefault="004D2601">
      <w:pPr>
        <w:pStyle w:val="Heading3"/>
        <w:spacing w:before="0" w:after="0"/>
        <w:rPr>
          <w:bCs/>
        </w:rPr>
      </w:pPr>
      <w:r>
        <w:rPr>
          <w:bCs/>
        </w:rPr>
        <w:t>Operator Time out and Logout</w:t>
      </w:r>
    </w:p>
    <w:p w:rsidR="004D2601" w:rsidRDefault="004D2601">
      <w:pPr>
        <w:rPr>
          <w:b/>
          <w:bCs/>
          <w:sz w:val="24"/>
        </w:rPr>
      </w:pPr>
    </w:p>
    <w:p w:rsidR="004D2601" w:rsidRDefault="00DE26A3">
      <w:pPr>
        <w:pStyle w:val="BodyText2"/>
      </w:pPr>
      <w:r>
        <w:t xml:space="preserve">If no keyboard or mouse </w:t>
      </w:r>
      <w:r w:rsidR="004D2601">
        <w:t>a</w:t>
      </w:r>
      <w:r>
        <w:t>ctivity occurs for the first tim</w:t>
      </w:r>
      <w:r w:rsidR="004D2601">
        <w:t>e period set by your Site Administrator, the screen blacks out and displays the Operator Login screen.  This prevents unauthorized access to patient information.  During this time any samples that are running continue to run without interruption, but any other activity requires logging back in as describes under Operator Login.</w:t>
      </w:r>
    </w:p>
    <w:p w:rsidR="004D2601" w:rsidRDefault="004D2601">
      <w:pPr>
        <w:rPr>
          <w:sz w:val="24"/>
        </w:rPr>
      </w:pPr>
    </w:p>
    <w:p w:rsidR="004D2601" w:rsidRDefault="004D2601">
      <w:pPr>
        <w:rPr>
          <w:sz w:val="24"/>
        </w:rPr>
      </w:pPr>
    </w:p>
    <w:p w:rsidR="004D2601" w:rsidRDefault="004D2601">
      <w:pPr>
        <w:rPr>
          <w:sz w:val="24"/>
        </w:rPr>
      </w:pPr>
    </w:p>
    <w:p w:rsidR="004D2601" w:rsidRDefault="004D2601">
      <w:pPr>
        <w:rPr>
          <w:sz w:val="24"/>
        </w:rPr>
      </w:pPr>
    </w:p>
    <w:p w:rsidR="004D2601" w:rsidRDefault="004D2601">
      <w:pPr>
        <w:rPr>
          <w:sz w:val="24"/>
        </w:rPr>
      </w:pPr>
    </w:p>
    <w:p w:rsidR="004D2601" w:rsidRDefault="004D2601">
      <w:pPr>
        <w:pStyle w:val="Heading3"/>
        <w:spacing w:before="0" w:after="0"/>
        <w:rPr>
          <w:bCs/>
        </w:rPr>
      </w:pPr>
      <w:r>
        <w:rPr>
          <w:bCs/>
        </w:rPr>
        <w:t>TIPS</w:t>
      </w:r>
    </w:p>
    <w:p w:rsidR="004D2601" w:rsidRDefault="004D2601">
      <w:pPr>
        <w:pStyle w:val="BodyText2"/>
      </w:pPr>
      <w:r>
        <w:t>For TEG operators, the following icons may also prove useful:</w:t>
      </w:r>
    </w:p>
    <w:p w:rsidR="004D2601" w:rsidRDefault="004D2601">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6"/>
        <w:gridCol w:w="8460"/>
      </w:tblGrid>
      <w:tr w:rsidR="004D2601">
        <w:tc>
          <w:tcPr>
            <w:tcW w:w="1098" w:type="dxa"/>
          </w:tcPr>
          <w:p w:rsidR="004D2601" w:rsidRDefault="004D2601">
            <w:pPr>
              <w:rPr>
                <w:sz w:val="24"/>
              </w:rPr>
            </w:pPr>
            <w:r>
              <w:rPr>
                <w:sz w:val="24"/>
              </w:rPr>
              <w:t>Icon</w:t>
            </w:r>
          </w:p>
        </w:tc>
        <w:tc>
          <w:tcPr>
            <w:tcW w:w="8478" w:type="dxa"/>
          </w:tcPr>
          <w:p w:rsidR="004D2601" w:rsidRDefault="004D2601">
            <w:pPr>
              <w:rPr>
                <w:sz w:val="24"/>
              </w:rPr>
            </w:pPr>
            <w:r>
              <w:rPr>
                <w:sz w:val="24"/>
              </w:rPr>
              <w:t>Use</w:t>
            </w:r>
          </w:p>
        </w:tc>
      </w:tr>
      <w:tr w:rsidR="004D2601">
        <w:tc>
          <w:tcPr>
            <w:tcW w:w="1098" w:type="dxa"/>
          </w:tcPr>
          <w:p w:rsidR="004D2601" w:rsidRDefault="004F4921">
            <w:pPr>
              <w:rPr>
                <w:sz w:val="24"/>
              </w:rPr>
            </w:pPr>
            <w:r>
              <w:rPr>
                <w:noProof/>
                <w:sz w:val="24"/>
              </w:rPr>
              <w:drawing>
                <wp:inline distT="0" distB="0" distL="0" distR="0">
                  <wp:extent cx="485775" cy="3524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485775" cy="352425"/>
                          </a:xfrm>
                          <a:prstGeom prst="rect">
                            <a:avLst/>
                          </a:prstGeom>
                          <a:noFill/>
                          <a:ln w="9525">
                            <a:noFill/>
                            <a:miter lim="800000"/>
                            <a:headEnd/>
                            <a:tailEnd/>
                          </a:ln>
                        </pic:spPr>
                      </pic:pic>
                    </a:graphicData>
                  </a:graphic>
                </wp:inline>
              </w:drawing>
            </w:r>
          </w:p>
        </w:tc>
        <w:tc>
          <w:tcPr>
            <w:tcW w:w="8478" w:type="dxa"/>
          </w:tcPr>
          <w:p w:rsidR="004D2601" w:rsidRDefault="004D2601">
            <w:pPr>
              <w:rPr>
                <w:sz w:val="24"/>
              </w:rPr>
            </w:pPr>
            <w:r>
              <w:rPr>
                <w:sz w:val="24"/>
              </w:rPr>
              <w:t>Allows selection of a specific patient and suppresses other patient data.</w:t>
            </w:r>
          </w:p>
        </w:tc>
      </w:tr>
      <w:tr w:rsidR="004D2601">
        <w:tc>
          <w:tcPr>
            <w:tcW w:w="1098" w:type="dxa"/>
          </w:tcPr>
          <w:p w:rsidR="004D2601" w:rsidRDefault="004F4921">
            <w:pPr>
              <w:rPr>
                <w:sz w:val="24"/>
              </w:rPr>
            </w:pPr>
            <w:r>
              <w:rPr>
                <w:noProof/>
                <w:sz w:val="24"/>
              </w:rPr>
              <w:drawing>
                <wp:inline distT="0" distB="0" distL="0" distR="0">
                  <wp:extent cx="533400" cy="4381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533400" cy="438150"/>
                          </a:xfrm>
                          <a:prstGeom prst="rect">
                            <a:avLst/>
                          </a:prstGeom>
                          <a:noFill/>
                          <a:ln w="9525">
                            <a:noFill/>
                            <a:miter lim="800000"/>
                            <a:headEnd/>
                            <a:tailEnd/>
                          </a:ln>
                        </pic:spPr>
                      </pic:pic>
                    </a:graphicData>
                  </a:graphic>
                </wp:inline>
              </w:drawing>
            </w:r>
          </w:p>
        </w:tc>
        <w:tc>
          <w:tcPr>
            <w:tcW w:w="8478" w:type="dxa"/>
          </w:tcPr>
          <w:p w:rsidR="004D2601" w:rsidRDefault="004D2601">
            <w:pPr>
              <w:rPr>
                <w:sz w:val="24"/>
              </w:rPr>
            </w:pPr>
            <w:r>
              <w:rPr>
                <w:sz w:val="24"/>
              </w:rPr>
              <w:t>Allows selection of multiple trackings to be viewed simultaneously.  Click, select tracings, then click Done.</w:t>
            </w:r>
          </w:p>
        </w:tc>
      </w:tr>
      <w:tr w:rsidR="004D2601">
        <w:tc>
          <w:tcPr>
            <w:tcW w:w="1098" w:type="dxa"/>
          </w:tcPr>
          <w:p w:rsidR="004D2601" w:rsidRDefault="004F4921">
            <w:pPr>
              <w:rPr>
                <w:sz w:val="24"/>
              </w:rPr>
            </w:pPr>
            <w:r>
              <w:rPr>
                <w:noProof/>
                <w:sz w:val="24"/>
              </w:rPr>
              <w:drawing>
                <wp:inline distT="0" distB="0" distL="0" distR="0">
                  <wp:extent cx="485775" cy="4191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485775" cy="419100"/>
                          </a:xfrm>
                          <a:prstGeom prst="rect">
                            <a:avLst/>
                          </a:prstGeom>
                          <a:noFill/>
                          <a:ln w="9525">
                            <a:noFill/>
                            <a:miter lim="800000"/>
                            <a:headEnd/>
                            <a:tailEnd/>
                          </a:ln>
                        </pic:spPr>
                      </pic:pic>
                    </a:graphicData>
                  </a:graphic>
                </wp:inline>
              </w:drawing>
            </w:r>
          </w:p>
        </w:tc>
        <w:tc>
          <w:tcPr>
            <w:tcW w:w="8478" w:type="dxa"/>
          </w:tcPr>
          <w:p w:rsidR="004D2601" w:rsidRDefault="004D2601">
            <w:pPr>
              <w:rPr>
                <w:sz w:val="24"/>
              </w:rPr>
            </w:pPr>
            <w:r>
              <w:rPr>
                <w:sz w:val="24"/>
              </w:rPr>
              <w:t>Zooms in on the selected tracing.  You can also zoom in by double-clicking a tracking.  Double-click again or click on Main icon to return to the Main screen.</w:t>
            </w:r>
          </w:p>
        </w:tc>
      </w:tr>
      <w:tr w:rsidR="004D2601">
        <w:tc>
          <w:tcPr>
            <w:tcW w:w="1098" w:type="dxa"/>
          </w:tcPr>
          <w:p w:rsidR="004D2601" w:rsidRDefault="004F4921">
            <w:pPr>
              <w:rPr>
                <w:sz w:val="24"/>
              </w:rPr>
            </w:pPr>
            <w:r>
              <w:rPr>
                <w:noProof/>
                <w:sz w:val="24"/>
              </w:rPr>
              <w:drawing>
                <wp:inline distT="0" distB="0" distL="0" distR="0">
                  <wp:extent cx="552450" cy="4000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552450" cy="400050"/>
                          </a:xfrm>
                          <a:prstGeom prst="rect">
                            <a:avLst/>
                          </a:prstGeom>
                          <a:noFill/>
                          <a:ln w="9525">
                            <a:noFill/>
                            <a:miter lim="800000"/>
                            <a:headEnd/>
                            <a:tailEnd/>
                          </a:ln>
                        </pic:spPr>
                      </pic:pic>
                    </a:graphicData>
                  </a:graphic>
                </wp:inline>
              </w:drawing>
            </w:r>
          </w:p>
        </w:tc>
        <w:tc>
          <w:tcPr>
            <w:tcW w:w="8478" w:type="dxa"/>
          </w:tcPr>
          <w:p w:rsidR="004D2601" w:rsidRDefault="004D2601">
            <w:pPr>
              <w:rPr>
                <w:sz w:val="24"/>
              </w:rPr>
            </w:pPr>
            <w:r>
              <w:rPr>
                <w:sz w:val="24"/>
              </w:rPr>
              <w:t>Accesses all information for a sample, including notes and interpretation entries, if any.</w:t>
            </w:r>
          </w:p>
        </w:tc>
      </w:tr>
    </w:tbl>
    <w:p w:rsidR="00203290" w:rsidRDefault="00203290">
      <w:pPr>
        <w:pStyle w:val="Heading3"/>
        <w:spacing w:before="0" w:after="0"/>
        <w:rPr>
          <w:bCs/>
        </w:rPr>
      </w:pPr>
    </w:p>
    <w:p w:rsidR="00203290" w:rsidRDefault="00203290">
      <w:pPr>
        <w:pStyle w:val="Heading3"/>
        <w:spacing w:before="0" w:after="0"/>
        <w:rPr>
          <w:bCs/>
        </w:rPr>
      </w:pPr>
    </w:p>
    <w:p w:rsidR="004D2601" w:rsidRDefault="004D2601">
      <w:pPr>
        <w:pStyle w:val="Heading3"/>
        <w:spacing w:before="0" w:after="0"/>
        <w:rPr>
          <w:bCs/>
        </w:rPr>
      </w:pPr>
      <w:r>
        <w:rPr>
          <w:bCs/>
        </w:rPr>
        <w:t>Measurement capability and performance</w:t>
      </w:r>
    </w:p>
    <w:p w:rsidR="004D2601" w:rsidRDefault="004D2601"/>
    <w:p w:rsidR="004D2601" w:rsidRDefault="004D2601">
      <w:pPr>
        <w:pStyle w:val="BodyText2"/>
      </w:pPr>
      <w:r>
        <w:t>The testing accuracy of the TEG ® analyzer is affected by operatin</w:t>
      </w:r>
      <w:r w:rsidR="00DE26A3">
        <w:t>g</w:t>
      </w:r>
      <w:r>
        <w:t xml:space="preserve"> and storage conditions.</w:t>
      </w:r>
    </w:p>
    <w:p w:rsidR="004D2601" w:rsidRDefault="004D2601">
      <w:pPr>
        <w:pStyle w:val="BodyText2"/>
      </w:pPr>
    </w:p>
    <w:p w:rsidR="004D2601" w:rsidRDefault="004D2601">
      <w:pPr>
        <w:pStyle w:val="BodyText2"/>
        <w:rPr>
          <w:i/>
          <w:iCs/>
        </w:rPr>
      </w:pPr>
      <w:r>
        <w:rPr>
          <w:i/>
          <w:iCs/>
        </w:rPr>
        <w:t>Operating conditions</w:t>
      </w:r>
    </w:p>
    <w:p w:rsidR="004D2601" w:rsidRDefault="004D2601">
      <w:pPr>
        <w:pStyle w:val="BodyText2"/>
        <w:rPr>
          <w:i/>
          <w:iCs/>
        </w:rPr>
      </w:pPr>
    </w:p>
    <w:p w:rsidR="004D2601" w:rsidRDefault="004D2601">
      <w:pPr>
        <w:pStyle w:val="BodyText2"/>
      </w:pPr>
      <w:r>
        <w:t>Place the analyzer on a level dust-free surface (pollution degree 2) where it is not exposed to sources of heat, air or vibration.</w:t>
      </w:r>
    </w:p>
    <w:p w:rsidR="004D2601" w:rsidRDefault="004D2601">
      <w:pPr>
        <w:pStyle w:val="BodyText2"/>
      </w:pPr>
    </w:p>
    <w:p w:rsidR="004D2601" w:rsidRDefault="004D2601">
      <w:pPr>
        <w:pStyle w:val="BodyText2"/>
      </w:pPr>
      <w:r>
        <w:t>Maintain room temperature at 10-35º and relative humidity at 20-80% (noncondensing).  Use a surge protector to keep power supply fluctuations with a ± 10% of nominal voltage.</w:t>
      </w:r>
    </w:p>
    <w:p w:rsidR="004D2601" w:rsidRDefault="004D2601">
      <w:pPr>
        <w:pStyle w:val="BodyText2"/>
      </w:pPr>
    </w:p>
    <w:p w:rsidR="004D2601" w:rsidRDefault="004D2601">
      <w:pPr>
        <w:pStyle w:val="BodyText2"/>
      </w:pPr>
      <w:r>
        <w:t>Sensitivity is reduced at altitudes above 3000 meters.</w:t>
      </w:r>
    </w:p>
    <w:p w:rsidR="004D2601" w:rsidRDefault="004D2601">
      <w:pPr>
        <w:pStyle w:val="BodyText2"/>
      </w:pPr>
    </w:p>
    <w:p w:rsidR="004D2601" w:rsidRDefault="004D2601">
      <w:pPr>
        <w:pStyle w:val="BodyText2"/>
        <w:rPr>
          <w:i/>
          <w:iCs/>
        </w:rPr>
      </w:pPr>
      <w:r>
        <w:rPr>
          <w:i/>
          <w:iCs/>
        </w:rPr>
        <w:t>Storage conditions</w:t>
      </w:r>
    </w:p>
    <w:p w:rsidR="004D2601" w:rsidRDefault="004D2601">
      <w:pPr>
        <w:pStyle w:val="BodyText2"/>
        <w:rPr>
          <w:i/>
          <w:iCs/>
        </w:rPr>
      </w:pPr>
    </w:p>
    <w:p w:rsidR="004D2601" w:rsidRDefault="004D2601">
      <w:pPr>
        <w:pStyle w:val="BodyText2"/>
      </w:pPr>
      <w:r>
        <w:t>When not in use, store the analyzer where it is protected from dust, at temperatures of 30-50ºC, and relative humidity of 5-95% (non-condensing)</w:t>
      </w:r>
    </w:p>
    <w:p w:rsidR="004D2601" w:rsidRDefault="004D2601">
      <w:pPr>
        <w:pStyle w:val="BodyText2"/>
      </w:pPr>
    </w:p>
    <w:p w:rsidR="004D2601" w:rsidRDefault="004D2601">
      <w:pPr>
        <w:pStyle w:val="BodyText2"/>
        <w:rPr>
          <w:i/>
          <w:iCs/>
        </w:rPr>
      </w:pPr>
      <w:r>
        <w:rPr>
          <w:i/>
          <w:iCs/>
        </w:rPr>
        <w:t>Interference</w:t>
      </w:r>
    </w:p>
    <w:p w:rsidR="004D2601" w:rsidRDefault="004D2601">
      <w:pPr>
        <w:pStyle w:val="BodyText2"/>
        <w:rPr>
          <w:i/>
          <w:iCs/>
        </w:rPr>
      </w:pPr>
    </w:p>
    <w:p w:rsidR="004D2601" w:rsidRDefault="004D2601">
      <w:pPr>
        <w:pStyle w:val="BodyText2"/>
      </w:pPr>
      <w:r>
        <w:t>To ensure accuracy of test results:</w:t>
      </w:r>
    </w:p>
    <w:p w:rsidR="004D2601" w:rsidRDefault="004D2601">
      <w:pPr>
        <w:pStyle w:val="BodyText2"/>
      </w:pPr>
    </w:p>
    <w:p w:rsidR="004D2601" w:rsidRDefault="004D2601" w:rsidP="00BD6B8F">
      <w:pPr>
        <w:pStyle w:val="BodyText2"/>
        <w:numPr>
          <w:ilvl w:val="0"/>
          <w:numId w:val="3"/>
        </w:numPr>
      </w:pPr>
      <w:r>
        <w:t>Use and store the TEG® analyzer only under optimal conditions</w:t>
      </w:r>
    </w:p>
    <w:p w:rsidR="004D2601" w:rsidRDefault="004D2601" w:rsidP="00BD6B8F">
      <w:pPr>
        <w:pStyle w:val="BodyText2"/>
        <w:numPr>
          <w:ilvl w:val="0"/>
          <w:numId w:val="3"/>
        </w:numPr>
      </w:pPr>
      <w:r>
        <w:t>Avoid trauma during blood draw and remember to discard the initial sample</w:t>
      </w:r>
    </w:p>
    <w:p w:rsidR="004D2601" w:rsidRDefault="004D2601" w:rsidP="00BD6B8F">
      <w:pPr>
        <w:pStyle w:val="BodyText2"/>
        <w:numPr>
          <w:ilvl w:val="0"/>
          <w:numId w:val="3"/>
        </w:numPr>
      </w:pPr>
      <w:r>
        <w:t>Run non-anticoagulated whole blood samples within 6 minutes of blood draw</w:t>
      </w:r>
    </w:p>
    <w:p w:rsidR="004D2601" w:rsidRDefault="004D2601" w:rsidP="00BD6B8F">
      <w:pPr>
        <w:pStyle w:val="BodyText2"/>
        <w:numPr>
          <w:ilvl w:val="0"/>
          <w:numId w:val="3"/>
        </w:numPr>
      </w:pPr>
      <w:r>
        <w:t xml:space="preserve">Use </w:t>
      </w:r>
      <w:proofErr w:type="spellStart"/>
      <w:r w:rsidR="00DE26A3">
        <w:t>heparinase</w:t>
      </w:r>
      <w:proofErr w:type="spellEnd"/>
      <w:r>
        <w:t xml:space="preserve"> (</w:t>
      </w:r>
      <w:r w:rsidR="00DE26A3">
        <w:t>lyophilized</w:t>
      </w:r>
      <w:r>
        <w:t xml:space="preserve"> heparinase cups) to avoid contaminating samples with heparin</w:t>
      </w:r>
    </w:p>
    <w:p w:rsidR="004D2601" w:rsidRDefault="004D2601" w:rsidP="00BD6B8F">
      <w:pPr>
        <w:pStyle w:val="BodyText2"/>
        <w:numPr>
          <w:ilvl w:val="0"/>
          <w:numId w:val="3"/>
        </w:numPr>
        <w:rPr>
          <w:bCs/>
        </w:rPr>
      </w:pPr>
      <w:r>
        <w:t>Use the same time interval for loading samples into the analyzer</w:t>
      </w:r>
    </w:p>
    <w:p w:rsidR="004D2601" w:rsidRDefault="004D2601">
      <w:pPr>
        <w:pStyle w:val="Footer"/>
        <w:tabs>
          <w:tab w:val="clear" w:pos="4320"/>
          <w:tab w:val="clear" w:pos="8640"/>
        </w:tabs>
        <w:rPr>
          <w:sz w:val="24"/>
        </w:rPr>
      </w:pPr>
    </w:p>
    <w:p w:rsidR="004D2601" w:rsidRDefault="004D2601">
      <w:pPr>
        <w:rPr>
          <w:sz w:val="24"/>
        </w:rPr>
      </w:pPr>
    </w:p>
    <w:p w:rsidR="004D2601" w:rsidRDefault="004D2601">
      <w:pPr>
        <w:rPr>
          <w:b/>
          <w:bCs/>
          <w:iCs/>
          <w:sz w:val="24"/>
        </w:rPr>
      </w:pPr>
      <w:r>
        <w:rPr>
          <w:b/>
          <w:bCs/>
          <w:iCs/>
          <w:sz w:val="24"/>
        </w:rPr>
        <w:t xml:space="preserve">REFERENCE: </w:t>
      </w:r>
    </w:p>
    <w:p w:rsidR="004D2601" w:rsidRDefault="004D2601">
      <w:pPr>
        <w:rPr>
          <w:b/>
          <w:bCs/>
          <w:iCs/>
          <w:sz w:val="24"/>
        </w:rPr>
      </w:pPr>
    </w:p>
    <w:p w:rsidR="004D2601" w:rsidRDefault="004D2601">
      <w:pPr>
        <w:rPr>
          <w:iCs/>
          <w:sz w:val="24"/>
        </w:rPr>
      </w:pPr>
      <w:r>
        <w:rPr>
          <w:iCs/>
          <w:sz w:val="24"/>
        </w:rPr>
        <w:t>Haemoscope</w:t>
      </w:r>
    </w:p>
    <w:p w:rsidR="004D2601" w:rsidRDefault="004D2601">
      <w:pPr>
        <w:rPr>
          <w:iCs/>
          <w:sz w:val="24"/>
        </w:rPr>
      </w:pPr>
      <w:r>
        <w:rPr>
          <w:iCs/>
          <w:sz w:val="24"/>
        </w:rPr>
        <w:t>6231 W Howard Street</w:t>
      </w:r>
    </w:p>
    <w:p w:rsidR="004D2601" w:rsidRDefault="004D2601">
      <w:pPr>
        <w:rPr>
          <w:iCs/>
          <w:sz w:val="24"/>
        </w:rPr>
      </w:pPr>
      <w:r>
        <w:rPr>
          <w:iCs/>
          <w:sz w:val="24"/>
        </w:rPr>
        <w:t>Niles, IL  60174  USA</w:t>
      </w:r>
    </w:p>
    <w:p w:rsidR="004D2601" w:rsidRDefault="00631ACF">
      <w:pPr>
        <w:rPr>
          <w:iCs/>
          <w:sz w:val="24"/>
        </w:rPr>
      </w:pPr>
      <w:hyperlink r:id="rId20" w:history="1">
        <w:r w:rsidR="004D2601">
          <w:rPr>
            <w:rStyle w:val="Hyperlink"/>
            <w:iCs/>
            <w:sz w:val="24"/>
          </w:rPr>
          <w:t>www.haemonetics.com</w:t>
        </w:r>
      </w:hyperlink>
    </w:p>
    <w:p w:rsidR="000E5084" w:rsidRDefault="000E5084">
      <w:pPr>
        <w:rPr>
          <w:iCs/>
          <w:sz w:val="24"/>
        </w:rPr>
      </w:pPr>
    </w:p>
    <w:p w:rsidR="000E5084" w:rsidRDefault="000E5084">
      <w:pPr>
        <w:rPr>
          <w:iCs/>
          <w:sz w:val="24"/>
        </w:rPr>
      </w:pPr>
    </w:p>
    <w:p w:rsidR="000E5084" w:rsidRDefault="000E5084">
      <w:pPr>
        <w:rPr>
          <w:iCs/>
          <w:sz w:val="24"/>
        </w:rPr>
      </w:pPr>
    </w:p>
    <w:p w:rsidR="000E5084" w:rsidRDefault="000E5084">
      <w:pPr>
        <w:rPr>
          <w:iCs/>
          <w:sz w:val="24"/>
        </w:rPr>
      </w:pPr>
    </w:p>
    <w:p w:rsidR="000E5084" w:rsidRDefault="000E5084">
      <w:pPr>
        <w:rPr>
          <w:iCs/>
          <w:sz w:val="24"/>
        </w:rPr>
      </w:pPr>
    </w:p>
    <w:p w:rsidR="000E5084" w:rsidRDefault="000E5084">
      <w:pPr>
        <w:rPr>
          <w:iCs/>
          <w:sz w:val="24"/>
        </w:rPr>
      </w:pPr>
    </w:p>
    <w:p w:rsidR="004D2601" w:rsidRPr="00DE26A3" w:rsidRDefault="000E5084">
      <w:pPr>
        <w:rPr>
          <w:sz w:val="16"/>
          <w:szCs w:val="16"/>
        </w:rPr>
      </w:pPr>
      <w:r>
        <w:rPr>
          <w:sz w:val="16"/>
          <w:szCs w:val="16"/>
        </w:rPr>
        <w:t>S</w:t>
      </w:r>
      <w:proofErr w:type="gramStart"/>
      <w:r>
        <w:rPr>
          <w:sz w:val="16"/>
          <w:szCs w:val="16"/>
        </w:rPr>
        <w:t>:Laboratory</w:t>
      </w:r>
      <w:proofErr w:type="gramEnd"/>
      <w:r>
        <w:rPr>
          <w:sz w:val="16"/>
          <w:szCs w:val="16"/>
        </w:rPr>
        <w:t xml:space="preserve"> P&amp;P/Blood Bank/TEG/4840TEG-103/ch03/05/12</w:t>
      </w:r>
    </w:p>
    <w:sectPr w:rsidR="004D2601" w:rsidRPr="00DE26A3" w:rsidSect="00843C9A">
      <w:headerReference w:type="default" r:id="rId21"/>
      <w:footerReference w:type="default" r:id="rId22"/>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2EF" w:rsidRDefault="008412EF">
      <w:r>
        <w:separator/>
      </w:r>
    </w:p>
  </w:endnote>
  <w:endnote w:type="continuationSeparator" w:id="0">
    <w:p w:rsidR="008412EF" w:rsidRDefault="008412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Arial"/>
    <w:charset w:val="00"/>
    <w:family w:val="swiss"/>
    <w:pitch w:val="variable"/>
    <w:sig w:usb0="800000AF" w:usb1="1000204A"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Swis721 Cn BT">
    <w:altName w:val="Arial"/>
    <w:charset w:val="00"/>
    <w:family w:val="swiss"/>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2EF" w:rsidRDefault="008412EF">
    <w:pPr>
      <w:ind w:left="-720"/>
      <w:jc w:val="right"/>
      <w:rPr>
        <w:b/>
        <w:sz w:val="24"/>
      </w:rPr>
    </w:pPr>
    <w:r>
      <w:tab/>
    </w:r>
    <w:r>
      <w:tab/>
    </w:r>
    <w:r>
      <w:tab/>
    </w:r>
    <w:r>
      <w:rPr>
        <w:sz w:val="24"/>
      </w:rPr>
      <w:tab/>
      <w:t>Page</w:t>
    </w:r>
    <w:r>
      <w:rPr>
        <w:b/>
        <w:sz w:val="24"/>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b/>
        <w:sz w:val="24"/>
      </w:rPr>
      <w:t xml:space="preserve"> </w:t>
    </w:r>
    <w:r>
      <w:rPr>
        <w:sz w:val="24"/>
      </w:rPr>
      <w:t xml:space="preserve">of </w:t>
    </w:r>
    <w:r>
      <w:rPr>
        <w:rStyle w:val="PageNumber"/>
      </w:rPr>
      <w:fldChar w:fldCharType="begin"/>
    </w:r>
    <w:r>
      <w:rPr>
        <w:rStyle w:val="PageNumber"/>
      </w:rPr>
      <w:instrText xml:space="preserve"> NUMPAGES </w:instrText>
    </w:r>
    <w:r>
      <w:rPr>
        <w:rStyle w:val="PageNumber"/>
      </w:rPr>
      <w:fldChar w:fldCharType="separate"/>
    </w:r>
    <w:r>
      <w:rPr>
        <w:rStyle w:val="PageNumber"/>
        <w:noProof/>
      </w:rPr>
      <w:t>10</w:t>
    </w:r>
    <w:r>
      <w:rPr>
        <w:rStyle w:val="PageNumber"/>
      </w:rPr>
      <w:fldChar w:fldCharType="end"/>
    </w:r>
    <w:r>
      <w:rPr>
        <w:b/>
        <w:sz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2EF" w:rsidRDefault="008412EF">
      <w:r>
        <w:separator/>
      </w:r>
    </w:p>
  </w:footnote>
  <w:footnote w:type="continuationSeparator" w:id="0">
    <w:p w:rsidR="008412EF" w:rsidRDefault="008412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2EF" w:rsidRDefault="008412EF">
    <w:pPr>
      <w:pStyle w:val="Header"/>
      <w:rPr>
        <w:b/>
        <w:i/>
        <w:sz w:val="24"/>
      </w:rPr>
    </w:pPr>
    <w:r>
      <w:t xml:space="preserve">      </w:t>
    </w:r>
    <w:r>
      <w:rPr>
        <w:noProof/>
      </w:rPr>
      <w:drawing>
        <wp:inline distT="0" distB="0" distL="0" distR="0">
          <wp:extent cx="2419350" cy="571500"/>
          <wp:effectExtent l="19050" t="0" r="0" b="0"/>
          <wp:docPr id="1" name="Picture 1" descr="INTER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 LOGO"/>
                  <pic:cNvPicPr>
                    <a:picLocks noChangeAspect="1" noChangeArrowheads="1"/>
                  </pic:cNvPicPr>
                </pic:nvPicPr>
                <pic:blipFill>
                  <a:blip r:embed="rId1"/>
                  <a:srcRect/>
                  <a:stretch>
                    <a:fillRect/>
                  </a:stretch>
                </pic:blipFill>
                <pic:spPr bwMode="auto">
                  <a:xfrm>
                    <a:off x="0" y="0"/>
                    <a:ext cx="2419350" cy="571500"/>
                  </a:xfrm>
                  <a:prstGeom prst="rect">
                    <a:avLst/>
                  </a:prstGeom>
                  <a:noFill/>
                  <a:ln w="9525">
                    <a:noFill/>
                    <a:miter lim="800000"/>
                    <a:headEnd/>
                    <a:tailEnd/>
                  </a:ln>
                </pic:spPr>
              </pic:pic>
            </a:graphicData>
          </a:graphic>
        </wp:inline>
      </w:drawing>
    </w:r>
    <w:r>
      <w:t xml:space="preserve">     </w:t>
    </w:r>
    <w:r>
      <w:tab/>
    </w:r>
    <w:r>
      <w:rPr>
        <w:b/>
        <w:sz w:val="24"/>
      </w:rPr>
      <w:t>Proc. #4840-TEG-103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52547"/>
    <w:multiLevelType w:val="hybridMultilevel"/>
    <w:tmpl w:val="B9EE6A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76071D9"/>
    <w:multiLevelType w:val="hybridMultilevel"/>
    <w:tmpl w:val="3AC8820C"/>
    <w:lvl w:ilvl="0" w:tplc="FBDE18DE">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2">
    <w:nsid w:val="26967551"/>
    <w:multiLevelType w:val="hybridMultilevel"/>
    <w:tmpl w:val="209E9D68"/>
    <w:lvl w:ilvl="0" w:tplc="0409000F">
      <w:start w:val="1"/>
      <w:numFmt w:val="decimal"/>
      <w:lvlText w:val="%1."/>
      <w:lvlJc w:val="left"/>
      <w:pPr>
        <w:tabs>
          <w:tab w:val="num" w:pos="720"/>
        </w:tabs>
        <w:ind w:left="720" w:hanging="360"/>
      </w:pPr>
      <w:rPr>
        <w:rFonts w:hint="default"/>
      </w:rPr>
    </w:lvl>
    <w:lvl w:ilvl="1" w:tplc="20C8F57E">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4211204"/>
    <w:multiLevelType w:val="hybridMultilevel"/>
    <w:tmpl w:val="6F34B5DA"/>
    <w:lvl w:ilvl="0" w:tplc="115679F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4">
    <w:nsid w:val="6F2A5C5C"/>
    <w:multiLevelType w:val="hybridMultilevel"/>
    <w:tmpl w:val="544E8A8A"/>
    <w:lvl w:ilvl="0" w:tplc="BDB43F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3"/>
  </w:num>
  <w:num w:numId="3">
    <w:abstractNumId w:val="0"/>
  </w:num>
  <w:num w:numId="4">
    <w:abstractNumId w:val="2"/>
  </w:num>
  <w:num w:numId="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rsids>
    <w:rsidRoot w:val="004D2601"/>
    <w:rsid w:val="000E5084"/>
    <w:rsid w:val="00203290"/>
    <w:rsid w:val="00392A88"/>
    <w:rsid w:val="003D2CB4"/>
    <w:rsid w:val="004D2601"/>
    <w:rsid w:val="004F4921"/>
    <w:rsid w:val="00631ACF"/>
    <w:rsid w:val="00711840"/>
    <w:rsid w:val="008412EF"/>
    <w:rsid w:val="00843C9A"/>
    <w:rsid w:val="0093034B"/>
    <w:rsid w:val="00AD34C2"/>
    <w:rsid w:val="00BD6B8F"/>
    <w:rsid w:val="00CB4654"/>
    <w:rsid w:val="00DE26A3"/>
    <w:rsid w:val="00F32A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C9A"/>
  </w:style>
  <w:style w:type="paragraph" w:styleId="Heading1">
    <w:name w:val="heading 1"/>
    <w:basedOn w:val="Normal"/>
    <w:next w:val="Normal"/>
    <w:qFormat/>
    <w:rsid w:val="00843C9A"/>
    <w:pPr>
      <w:keepNext/>
      <w:spacing w:before="240" w:after="60"/>
      <w:outlineLvl w:val="0"/>
    </w:pPr>
    <w:rPr>
      <w:rFonts w:ascii="Arial" w:hAnsi="Arial"/>
      <w:b/>
      <w:kern w:val="28"/>
      <w:sz w:val="28"/>
    </w:rPr>
  </w:style>
  <w:style w:type="paragraph" w:styleId="Heading2">
    <w:name w:val="heading 2"/>
    <w:basedOn w:val="Normal"/>
    <w:next w:val="Normal"/>
    <w:qFormat/>
    <w:rsid w:val="00843C9A"/>
    <w:pPr>
      <w:keepNext/>
      <w:spacing w:before="240" w:after="60"/>
      <w:outlineLvl w:val="1"/>
    </w:pPr>
    <w:rPr>
      <w:rFonts w:ascii="Arial" w:hAnsi="Arial"/>
      <w:b/>
      <w:i/>
      <w:sz w:val="24"/>
    </w:rPr>
  </w:style>
  <w:style w:type="paragraph" w:styleId="Heading3">
    <w:name w:val="heading 3"/>
    <w:basedOn w:val="Normal"/>
    <w:next w:val="Normal"/>
    <w:qFormat/>
    <w:rsid w:val="00843C9A"/>
    <w:pPr>
      <w:keepNext/>
      <w:spacing w:before="240" w:after="60"/>
      <w:outlineLvl w:val="2"/>
    </w:pPr>
    <w:rPr>
      <w:b/>
      <w:sz w:val="24"/>
    </w:rPr>
  </w:style>
  <w:style w:type="paragraph" w:styleId="Heading4">
    <w:name w:val="heading 4"/>
    <w:basedOn w:val="Normal"/>
    <w:next w:val="Normal"/>
    <w:qFormat/>
    <w:rsid w:val="00843C9A"/>
    <w:pPr>
      <w:keepNext/>
      <w:spacing w:before="240" w:after="60"/>
      <w:outlineLvl w:val="3"/>
    </w:pPr>
    <w:rPr>
      <w:b/>
      <w:i/>
      <w:sz w:val="24"/>
    </w:rPr>
  </w:style>
  <w:style w:type="paragraph" w:styleId="Heading5">
    <w:name w:val="heading 5"/>
    <w:basedOn w:val="Normal"/>
    <w:next w:val="Normal"/>
    <w:qFormat/>
    <w:rsid w:val="00843C9A"/>
    <w:pPr>
      <w:spacing w:before="240" w:after="60"/>
      <w:outlineLvl w:val="4"/>
    </w:pPr>
    <w:rPr>
      <w:rFonts w:ascii="Arial" w:hAnsi="Arial"/>
      <w:sz w:val="22"/>
    </w:rPr>
  </w:style>
  <w:style w:type="paragraph" w:styleId="Heading6">
    <w:name w:val="heading 6"/>
    <w:basedOn w:val="Normal"/>
    <w:next w:val="Normal"/>
    <w:qFormat/>
    <w:rsid w:val="00843C9A"/>
    <w:pPr>
      <w:keepNext/>
      <w:outlineLvl w:val="5"/>
    </w:pPr>
    <w:rPr>
      <w:sz w:val="24"/>
    </w:rPr>
  </w:style>
  <w:style w:type="paragraph" w:styleId="Heading7">
    <w:name w:val="heading 7"/>
    <w:basedOn w:val="Normal"/>
    <w:next w:val="Normal"/>
    <w:qFormat/>
    <w:rsid w:val="00843C9A"/>
    <w:pPr>
      <w:keepNext/>
      <w:outlineLvl w:val="6"/>
    </w:pPr>
    <w:rPr>
      <w:i/>
      <w:iCs/>
      <w:sz w:val="24"/>
    </w:rPr>
  </w:style>
  <w:style w:type="paragraph" w:styleId="Heading8">
    <w:name w:val="heading 8"/>
    <w:basedOn w:val="Normal"/>
    <w:next w:val="Normal"/>
    <w:qFormat/>
    <w:rsid w:val="00843C9A"/>
    <w:pPr>
      <w:keepNext/>
      <w:outlineLvl w:val="7"/>
    </w:pPr>
    <w:rPr>
      <w:sz w:val="28"/>
    </w:rPr>
  </w:style>
  <w:style w:type="paragraph" w:styleId="Heading9">
    <w:name w:val="heading 9"/>
    <w:basedOn w:val="Normal"/>
    <w:next w:val="Normal"/>
    <w:qFormat/>
    <w:rsid w:val="00843C9A"/>
    <w:pPr>
      <w:keepNext/>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843C9A"/>
  </w:style>
  <w:style w:type="paragraph" w:styleId="Footer">
    <w:name w:val="footer"/>
    <w:basedOn w:val="Normal"/>
    <w:semiHidden/>
    <w:rsid w:val="00843C9A"/>
    <w:pPr>
      <w:tabs>
        <w:tab w:val="center" w:pos="4320"/>
        <w:tab w:val="right" w:pos="8640"/>
      </w:tabs>
    </w:pPr>
  </w:style>
  <w:style w:type="paragraph" w:styleId="Header">
    <w:name w:val="header"/>
    <w:basedOn w:val="Normal"/>
    <w:semiHidden/>
    <w:rsid w:val="00843C9A"/>
    <w:pPr>
      <w:tabs>
        <w:tab w:val="center" w:pos="4320"/>
        <w:tab w:val="right" w:pos="8640"/>
      </w:tabs>
    </w:pPr>
  </w:style>
  <w:style w:type="paragraph" w:styleId="BodyTextIndent">
    <w:name w:val="Body Text Indent"/>
    <w:basedOn w:val="Normal"/>
    <w:semiHidden/>
    <w:rsid w:val="00843C9A"/>
    <w:pPr>
      <w:ind w:left="2160" w:hanging="1440"/>
    </w:pPr>
    <w:rPr>
      <w:sz w:val="24"/>
    </w:rPr>
  </w:style>
  <w:style w:type="paragraph" w:styleId="BodyTextIndent2">
    <w:name w:val="Body Text Indent 2"/>
    <w:basedOn w:val="Normal"/>
    <w:semiHidden/>
    <w:rsid w:val="00843C9A"/>
    <w:pPr>
      <w:tabs>
        <w:tab w:val="left" w:pos="1440"/>
      </w:tabs>
      <w:ind w:left="1440" w:hanging="720"/>
    </w:pPr>
    <w:rPr>
      <w:sz w:val="24"/>
    </w:rPr>
  </w:style>
  <w:style w:type="paragraph" w:styleId="BodyTextIndent3">
    <w:name w:val="Body Text Indent 3"/>
    <w:basedOn w:val="Normal"/>
    <w:semiHidden/>
    <w:rsid w:val="00843C9A"/>
    <w:pPr>
      <w:ind w:left="720" w:hanging="720"/>
    </w:pPr>
    <w:rPr>
      <w:sz w:val="24"/>
    </w:rPr>
  </w:style>
  <w:style w:type="paragraph" w:styleId="BlockText">
    <w:name w:val="Block Text"/>
    <w:basedOn w:val="Normal"/>
    <w:semiHidden/>
    <w:rsid w:val="00843C9A"/>
    <w:pPr>
      <w:ind w:left="720" w:right="-270"/>
    </w:pPr>
    <w:rPr>
      <w:sz w:val="24"/>
    </w:rPr>
  </w:style>
  <w:style w:type="paragraph" w:customStyle="1" w:styleId="Number">
    <w:name w:val="Number"/>
    <w:basedOn w:val="BodyText"/>
    <w:rsid w:val="00843C9A"/>
    <w:pPr>
      <w:spacing w:before="120" w:after="40"/>
    </w:pPr>
    <w:rPr>
      <w:rFonts w:ascii="Swis721 BT" w:hAnsi="Swis721 BT"/>
      <w:sz w:val="18"/>
      <w:szCs w:val="24"/>
    </w:rPr>
  </w:style>
  <w:style w:type="paragraph" w:styleId="BodyText">
    <w:name w:val="Body Text"/>
    <w:basedOn w:val="Normal"/>
    <w:semiHidden/>
    <w:rsid w:val="00843C9A"/>
    <w:pPr>
      <w:spacing w:after="120"/>
    </w:pPr>
  </w:style>
  <w:style w:type="paragraph" w:customStyle="1" w:styleId="number0">
    <w:name w:val="number"/>
    <w:basedOn w:val="Normal"/>
    <w:rsid w:val="00843C9A"/>
    <w:pPr>
      <w:spacing w:before="120" w:after="40"/>
      <w:ind w:left="2880" w:hanging="360"/>
    </w:pPr>
    <w:rPr>
      <w:rFonts w:ascii="Swis721 BT" w:eastAsia="Arial Unicode MS" w:hAnsi="Swis721 BT"/>
      <w:sz w:val="18"/>
      <w:szCs w:val="18"/>
    </w:rPr>
  </w:style>
  <w:style w:type="paragraph" w:customStyle="1" w:styleId="sreennum">
    <w:name w:val="sreennum"/>
    <w:basedOn w:val="Normal"/>
    <w:rsid w:val="00843C9A"/>
    <w:pPr>
      <w:keepNext/>
      <w:spacing w:before="60" w:after="60"/>
      <w:ind w:left="2880"/>
    </w:pPr>
    <w:rPr>
      <w:rFonts w:eastAsia="Arial Unicode MS"/>
      <w:sz w:val="24"/>
      <w:szCs w:val="24"/>
    </w:rPr>
  </w:style>
  <w:style w:type="paragraph" w:customStyle="1" w:styleId="captionnum">
    <w:name w:val="captionnum"/>
    <w:basedOn w:val="Normal"/>
    <w:rsid w:val="00843C9A"/>
    <w:pPr>
      <w:spacing w:after="120"/>
      <w:ind w:left="2880"/>
    </w:pPr>
    <w:rPr>
      <w:rFonts w:ascii="Swis721 BT" w:eastAsia="Arial Unicode MS" w:hAnsi="Swis721 BT"/>
      <w:sz w:val="14"/>
      <w:szCs w:val="14"/>
    </w:rPr>
  </w:style>
  <w:style w:type="paragraph" w:customStyle="1" w:styleId="note">
    <w:name w:val="note"/>
    <w:basedOn w:val="Normal"/>
    <w:rsid w:val="00843C9A"/>
    <w:pPr>
      <w:spacing w:before="60" w:after="60"/>
    </w:pPr>
    <w:rPr>
      <w:rFonts w:ascii="Swis721 BT" w:eastAsia="Arial Unicode MS" w:hAnsi="Swis721 BT"/>
      <w:i/>
      <w:iCs/>
      <w:sz w:val="18"/>
      <w:szCs w:val="18"/>
    </w:rPr>
  </w:style>
  <w:style w:type="paragraph" w:customStyle="1" w:styleId="tablespace">
    <w:name w:val="tablespace"/>
    <w:basedOn w:val="Normal"/>
    <w:rsid w:val="00843C9A"/>
    <w:rPr>
      <w:rFonts w:eastAsia="Arial Unicode MS"/>
      <w:sz w:val="8"/>
      <w:szCs w:val="8"/>
    </w:rPr>
  </w:style>
  <w:style w:type="paragraph" w:customStyle="1" w:styleId="BodyTextHead">
    <w:name w:val="BodyTextHead"/>
    <w:basedOn w:val="BodyText"/>
    <w:rsid w:val="00843C9A"/>
    <w:pPr>
      <w:keepNext/>
      <w:spacing w:before="120" w:after="30"/>
      <w:ind w:left="2160"/>
    </w:pPr>
    <w:rPr>
      <w:rFonts w:ascii="Swis721 Cn BT" w:hAnsi="Swis721 Cn BT"/>
      <w:b/>
      <w:sz w:val="22"/>
      <w:szCs w:val="24"/>
    </w:rPr>
  </w:style>
  <w:style w:type="paragraph" w:styleId="CommentText">
    <w:name w:val="annotation text"/>
    <w:basedOn w:val="Normal"/>
    <w:semiHidden/>
    <w:rsid w:val="00843C9A"/>
    <w:rPr>
      <w:rFonts w:ascii="Swis721 BT" w:hAnsi="Swis721 BT"/>
    </w:rPr>
  </w:style>
  <w:style w:type="paragraph" w:styleId="Caption">
    <w:name w:val="caption"/>
    <w:basedOn w:val="Normal"/>
    <w:qFormat/>
    <w:rsid w:val="00843C9A"/>
    <w:pPr>
      <w:spacing w:after="120"/>
      <w:ind w:left="2160"/>
    </w:pPr>
    <w:rPr>
      <w:rFonts w:ascii="Swis721 BT" w:eastAsia="Arial Unicode MS" w:hAnsi="Swis721 BT" w:cs="Arial Unicode MS"/>
      <w:sz w:val="14"/>
      <w:szCs w:val="14"/>
    </w:rPr>
  </w:style>
  <w:style w:type="paragraph" w:customStyle="1" w:styleId="bullet1">
    <w:name w:val="bullet1"/>
    <w:basedOn w:val="Normal"/>
    <w:rsid w:val="00843C9A"/>
    <w:pPr>
      <w:spacing w:before="120" w:after="40"/>
      <w:ind w:left="2880" w:hanging="360"/>
    </w:pPr>
    <w:rPr>
      <w:rFonts w:ascii="Swis721 BT" w:eastAsia="Arial Unicode MS" w:hAnsi="Swis721 BT" w:cs="Arial Unicode MS"/>
      <w:spacing w:val="2"/>
      <w:sz w:val="18"/>
      <w:szCs w:val="18"/>
    </w:rPr>
  </w:style>
  <w:style w:type="paragraph" w:customStyle="1" w:styleId="bodytexthead0">
    <w:name w:val="bodytexthead"/>
    <w:basedOn w:val="Normal"/>
    <w:rsid w:val="00843C9A"/>
    <w:pPr>
      <w:keepNext/>
      <w:spacing w:before="120" w:after="30"/>
      <w:ind w:left="2160"/>
    </w:pPr>
    <w:rPr>
      <w:rFonts w:ascii="Swis721 Cn BT" w:eastAsia="Arial Unicode MS" w:hAnsi="Swis721 Cn BT" w:cs="Arial Unicode MS"/>
      <w:b/>
      <w:bCs/>
      <w:sz w:val="22"/>
      <w:szCs w:val="22"/>
    </w:rPr>
  </w:style>
  <w:style w:type="paragraph" w:customStyle="1" w:styleId="screen">
    <w:name w:val="screen"/>
    <w:basedOn w:val="Normal"/>
    <w:rsid w:val="00843C9A"/>
    <w:pPr>
      <w:keepNext/>
      <w:spacing w:before="60" w:after="60"/>
      <w:ind w:left="2160"/>
    </w:pPr>
    <w:rPr>
      <w:rFonts w:eastAsia="Arial Unicode MS"/>
      <w:sz w:val="24"/>
      <w:szCs w:val="24"/>
    </w:rPr>
  </w:style>
  <w:style w:type="paragraph" w:customStyle="1" w:styleId="Default">
    <w:name w:val="Default"/>
    <w:rsid w:val="00843C9A"/>
    <w:pPr>
      <w:autoSpaceDE w:val="0"/>
      <w:autoSpaceDN w:val="0"/>
      <w:adjustRightInd w:val="0"/>
    </w:pPr>
    <w:rPr>
      <w:rFonts w:ascii="Arial" w:hAnsi="Arial" w:cs="Arial"/>
      <w:color w:val="000000"/>
      <w:sz w:val="24"/>
      <w:szCs w:val="24"/>
    </w:rPr>
  </w:style>
  <w:style w:type="paragraph" w:styleId="BodyText2">
    <w:name w:val="Body Text 2"/>
    <w:basedOn w:val="Normal"/>
    <w:semiHidden/>
    <w:rsid w:val="00843C9A"/>
    <w:rPr>
      <w:sz w:val="24"/>
    </w:rPr>
  </w:style>
  <w:style w:type="character" w:styleId="Hyperlink">
    <w:name w:val="Hyperlink"/>
    <w:basedOn w:val="DefaultParagraphFont"/>
    <w:semiHidden/>
    <w:rsid w:val="00843C9A"/>
    <w:rPr>
      <w:color w:val="0000FF"/>
      <w:u w:val="single"/>
    </w:rPr>
  </w:style>
  <w:style w:type="character" w:styleId="FollowedHyperlink">
    <w:name w:val="FollowedHyperlink"/>
    <w:basedOn w:val="DefaultParagraphFont"/>
    <w:semiHidden/>
    <w:rsid w:val="00843C9A"/>
    <w:rPr>
      <w:color w:val="800080"/>
      <w:u w:val="single"/>
    </w:rPr>
  </w:style>
  <w:style w:type="paragraph" w:styleId="BalloonText">
    <w:name w:val="Balloon Text"/>
    <w:basedOn w:val="Normal"/>
    <w:link w:val="BalloonTextChar"/>
    <w:uiPriority w:val="99"/>
    <w:semiHidden/>
    <w:unhideWhenUsed/>
    <w:rsid w:val="003D2CB4"/>
    <w:rPr>
      <w:rFonts w:ascii="Tahoma" w:hAnsi="Tahoma" w:cs="Tahoma"/>
      <w:sz w:val="16"/>
      <w:szCs w:val="16"/>
    </w:rPr>
  </w:style>
  <w:style w:type="character" w:customStyle="1" w:styleId="BalloonTextChar">
    <w:name w:val="Balloon Text Char"/>
    <w:basedOn w:val="DefaultParagraphFont"/>
    <w:link w:val="BalloonText"/>
    <w:uiPriority w:val="99"/>
    <w:semiHidden/>
    <w:rsid w:val="003D2C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414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hyperlink" Target="http://www.haemonetic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licja's\ACL%20Policy%20For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8A93E6-1511-4C8C-A951-7699F1299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ACL Policy Form.doc</Template>
  <TotalTime>37</TotalTime>
  <Pages>10</Pages>
  <Words>2262</Words>
  <Characters>11591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Procedure: CMV Antigenemia by Immunofluorescence			</vt:lpstr>
    </vt:vector>
  </TitlesOfParts>
  <Company>ADVOCATE HEALTH CARE</Company>
  <LinksUpToDate>false</LinksUpToDate>
  <CharactersWithSpaces>13826</CharactersWithSpaces>
  <SharedDoc>false</SharedDoc>
  <HLinks>
    <vt:vector size="6" baseType="variant">
      <vt:variant>
        <vt:i4>3670116</vt:i4>
      </vt:variant>
      <vt:variant>
        <vt:i4>0</vt:i4>
      </vt:variant>
      <vt:variant>
        <vt:i4>0</vt:i4>
      </vt:variant>
      <vt:variant>
        <vt:i4>5</vt:i4>
      </vt:variant>
      <vt:variant>
        <vt:lpwstr>http://www.haemonetics.com/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CMV Antigenemia by Immunofluorescence			</dc:title>
  <dc:subject/>
  <dc:creator>David Ledersnaider</dc:creator>
  <cp:keywords/>
  <cp:lastModifiedBy>sybranda</cp:lastModifiedBy>
  <cp:revision>4</cp:revision>
  <cp:lastPrinted>2017-01-11T18:21:00Z</cp:lastPrinted>
  <dcterms:created xsi:type="dcterms:W3CDTF">2015-06-09T18:09:00Z</dcterms:created>
  <dcterms:modified xsi:type="dcterms:W3CDTF">2017-01-11T18:31:00Z</dcterms:modified>
</cp:coreProperties>
</file>