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8C" w:rsidRDefault="003E638C">
      <w:pPr>
        <w:pStyle w:val="Heading1"/>
      </w:pPr>
    </w:p>
    <w:p w:rsidR="003E638C" w:rsidRDefault="002A65A0">
      <w:pPr>
        <w:rPr>
          <w:b/>
          <w:bCs/>
          <w:sz w:val="28"/>
        </w:rPr>
      </w:pPr>
      <w:r>
        <w:rPr>
          <w:b/>
          <w:bCs/>
          <w:sz w:val="28"/>
        </w:rPr>
        <w:t xml:space="preserve">TITLE:   </w:t>
      </w:r>
      <w:r w:rsidR="000C1097">
        <w:rPr>
          <w:b/>
          <w:bCs/>
          <w:sz w:val="28"/>
        </w:rPr>
        <w:t>Instrument Correlation Protocol for Tegs</w:t>
      </w:r>
    </w:p>
    <w:p w:rsidR="000C1097" w:rsidRDefault="000C1097">
      <w:pPr>
        <w:rPr>
          <w:b/>
          <w:bCs/>
          <w:sz w:val="28"/>
        </w:rPr>
      </w:pPr>
    </w:p>
    <w:p w:rsidR="000C1097" w:rsidRPr="000C1097" w:rsidRDefault="002A65A0" w:rsidP="000C1097">
      <w:pPr>
        <w:pStyle w:val="BodyText"/>
        <w:rPr>
          <w:b/>
          <w:sz w:val="28"/>
          <w:szCs w:val="28"/>
        </w:rPr>
      </w:pPr>
      <w:r w:rsidRPr="000C1097">
        <w:rPr>
          <w:b/>
          <w:sz w:val="28"/>
          <w:szCs w:val="28"/>
        </w:rPr>
        <w:t>PRINCIPLE:</w:t>
      </w:r>
      <w:r w:rsidR="000C1097" w:rsidRPr="000C1097">
        <w:rPr>
          <w:b/>
          <w:sz w:val="28"/>
          <w:szCs w:val="28"/>
        </w:rPr>
        <w:t xml:space="preserve"> </w:t>
      </w:r>
    </w:p>
    <w:p w:rsidR="000C1097" w:rsidRPr="000C1097" w:rsidRDefault="000C1097" w:rsidP="000C1097">
      <w:pPr>
        <w:pStyle w:val="BodyText"/>
        <w:rPr>
          <w:sz w:val="24"/>
          <w:szCs w:val="24"/>
        </w:rPr>
      </w:pPr>
      <w:r w:rsidRPr="000C1097">
        <w:rPr>
          <w:sz w:val="24"/>
          <w:szCs w:val="24"/>
        </w:rPr>
        <w:t xml:space="preserve">Because test results can be different for different instruments, it is important to run correlation studies on all instruments that may be used for a particular </w:t>
      </w:r>
      <w:r w:rsidR="00B85A13">
        <w:rPr>
          <w:sz w:val="24"/>
          <w:szCs w:val="24"/>
        </w:rPr>
        <w:t>analy</w:t>
      </w:r>
      <w:r w:rsidR="00B85A13" w:rsidRPr="000C1097">
        <w:rPr>
          <w:sz w:val="24"/>
          <w:szCs w:val="24"/>
        </w:rPr>
        <w:t>te</w:t>
      </w:r>
      <w:r w:rsidRPr="000C1097">
        <w:rPr>
          <w:sz w:val="24"/>
          <w:szCs w:val="24"/>
        </w:rPr>
        <w:t xml:space="preserve"> to ensure similar results.</w:t>
      </w:r>
    </w:p>
    <w:p w:rsidR="003E638C" w:rsidRPr="007361AB" w:rsidRDefault="003E638C">
      <w:pPr>
        <w:pStyle w:val="Default"/>
      </w:pPr>
    </w:p>
    <w:p w:rsidR="003E638C" w:rsidRDefault="002A65A0" w:rsidP="000C1097">
      <w:pPr>
        <w:pStyle w:val="Heading1"/>
        <w:rPr>
          <w:sz w:val="24"/>
        </w:rPr>
      </w:pPr>
      <w:r>
        <w:t xml:space="preserve"> </w:t>
      </w:r>
      <w:r>
        <w:rPr>
          <w:bCs/>
          <w:sz w:val="24"/>
        </w:rPr>
        <w:t>CLINICAL SIGNIFICANCE</w:t>
      </w:r>
      <w:r>
        <w:rPr>
          <w:sz w:val="24"/>
        </w:rPr>
        <w:t>:</w:t>
      </w:r>
    </w:p>
    <w:p w:rsidR="000C1097" w:rsidRDefault="000C1097" w:rsidP="000C1097"/>
    <w:p w:rsidR="000C1097" w:rsidRDefault="000C1097" w:rsidP="000C1097">
      <w:pPr>
        <w:rPr>
          <w:sz w:val="24"/>
        </w:rPr>
      </w:pPr>
      <w:r w:rsidRPr="000C1097">
        <w:rPr>
          <w:b/>
          <w:sz w:val="28"/>
          <w:szCs w:val="28"/>
        </w:rPr>
        <w:t>Personnel</w:t>
      </w:r>
      <w:r>
        <w:rPr>
          <w:b/>
          <w:sz w:val="28"/>
          <w:szCs w:val="28"/>
        </w:rPr>
        <w:t xml:space="preserve">:   </w:t>
      </w:r>
      <w:r>
        <w:rPr>
          <w:sz w:val="24"/>
        </w:rPr>
        <w:t>Medical Technologists and Technicians</w:t>
      </w:r>
    </w:p>
    <w:p w:rsidR="000C1097" w:rsidRDefault="000C1097" w:rsidP="000C1097">
      <w:pPr>
        <w:rPr>
          <w:sz w:val="24"/>
        </w:rPr>
      </w:pPr>
    </w:p>
    <w:p w:rsidR="000C1097" w:rsidRDefault="000C1097" w:rsidP="000C1097">
      <w:pPr>
        <w:rPr>
          <w:b/>
          <w:sz w:val="28"/>
          <w:szCs w:val="28"/>
        </w:rPr>
      </w:pPr>
      <w:r w:rsidRPr="000C1097">
        <w:rPr>
          <w:b/>
          <w:sz w:val="28"/>
          <w:szCs w:val="28"/>
        </w:rPr>
        <w:t>Sample:</w:t>
      </w:r>
    </w:p>
    <w:p w:rsidR="000C1097" w:rsidRPr="000C1097" w:rsidRDefault="000C1097" w:rsidP="000C1097">
      <w:pPr>
        <w:rPr>
          <w:sz w:val="24"/>
          <w:szCs w:val="24"/>
        </w:rPr>
      </w:pPr>
      <w:r w:rsidRPr="000C1097">
        <w:rPr>
          <w:sz w:val="24"/>
          <w:szCs w:val="24"/>
        </w:rPr>
        <w:t>Patient Preparation:</w:t>
      </w:r>
      <w:r w:rsidRPr="000C1097">
        <w:rPr>
          <w:sz w:val="24"/>
          <w:szCs w:val="24"/>
        </w:rPr>
        <w:tab/>
      </w:r>
      <w:r w:rsidRPr="000C1097">
        <w:rPr>
          <w:sz w:val="24"/>
          <w:szCs w:val="24"/>
        </w:rPr>
        <w:tab/>
      </w:r>
      <w:r w:rsidRPr="000C1097">
        <w:rPr>
          <w:sz w:val="24"/>
          <w:szCs w:val="24"/>
        </w:rPr>
        <w:tab/>
      </w:r>
      <w:r w:rsidRPr="000C1097">
        <w:rPr>
          <w:sz w:val="24"/>
          <w:szCs w:val="24"/>
        </w:rPr>
        <w:tab/>
        <w:t>No patient preparation necessary.</w:t>
      </w:r>
    </w:p>
    <w:p w:rsidR="000C1097" w:rsidRPr="000C1097" w:rsidRDefault="000C1097" w:rsidP="000C1097">
      <w:pPr>
        <w:rPr>
          <w:sz w:val="24"/>
          <w:szCs w:val="24"/>
        </w:rPr>
      </w:pPr>
      <w:r w:rsidRPr="000C1097">
        <w:rPr>
          <w:sz w:val="24"/>
          <w:szCs w:val="24"/>
        </w:rPr>
        <w:t>Type of Specimen:</w:t>
      </w:r>
      <w:r w:rsidRPr="000C1097">
        <w:rPr>
          <w:sz w:val="24"/>
          <w:szCs w:val="24"/>
        </w:rPr>
        <w:tab/>
      </w:r>
      <w:r w:rsidRPr="000C1097">
        <w:rPr>
          <w:sz w:val="24"/>
          <w:szCs w:val="24"/>
        </w:rPr>
        <w:tab/>
      </w:r>
      <w:r w:rsidRPr="000C1097">
        <w:rPr>
          <w:sz w:val="24"/>
          <w:szCs w:val="24"/>
        </w:rPr>
        <w:tab/>
      </w:r>
      <w:r w:rsidRPr="000C1097">
        <w:rPr>
          <w:sz w:val="24"/>
          <w:szCs w:val="24"/>
        </w:rPr>
        <w:tab/>
      </w:r>
      <w:r w:rsidR="00B85A13" w:rsidRPr="000C1097">
        <w:rPr>
          <w:sz w:val="24"/>
          <w:szCs w:val="24"/>
        </w:rPr>
        <w:t>Commercial</w:t>
      </w:r>
      <w:r w:rsidRPr="000C1097">
        <w:rPr>
          <w:sz w:val="24"/>
          <w:szCs w:val="24"/>
        </w:rPr>
        <w:t xml:space="preserve"> Teg QC material</w:t>
      </w:r>
    </w:p>
    <w:p w:rsidR="000C1097" w:rsidRPr="000C1097" w:rsidRDefault="000C1097" w:rsidP="000C1097">
      <w:pPr>
        <w:rPr>
          <w:sz w:val="24"/>
          <w:szCs w:val="24"/>
        </w:rPr>
      </w:pPr>
      <w:r w:rsidRPr="000C1097">
        <w:rPr>
          <w:sz w:val="24"/>
          <w:szCs w:val="24"/>
        </w:rPr>
        <w:t>Handling Precautions:</w:t>
      </w:r>
      <w:r w:rsidRPr="000C1097">
        <w:rPr>
          <w:sz w:val="24"/>
          <w:szCs w:val="24"/>
        </w:rPr>
        <w:tab/>
      </w:r>
      <w:r w:rsidRPr="000C1097">
        <w:rPr>
          <w:sz w:val="24"/>
          <w:szCs w:val="24"/>
        </w:rPr>
        <w:tab/>
      </w:r>
      <w:r w:rsidRPr="000C1097">
        <w:rPr>
          <w:sz w:val="24"/>
          <w:szCs w:val="24"/>
        </w:rPr>
        <w:tab/>
        <w:t xml:space="preserve">            Handle the same as clinical specimens</w:t>
      </w:r>
    </w:p>
    <w:p w:rsidR="000C1097" w:rsidRPr="000C1097" w:rsidRDefault="000C1097" w:rsidP="000C1097">
      <w:pPr>
        <w:rPr>
          <w:b/>
          <w:sz w:val="28"/>
          <w:szCs w:val="28"/>
        </w:rPr>
      </w:pPr>
    </w:p>
    <w:p w:rsidR="003E638C" w:rsidRDefault="002A65A0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REAGENTS AND EQUIPMENT:</w:t>
      </w:r>
    </w:p>
    <w:p w:rsidR="000C1097" w:rsidRDefault="000C1097" w:rsidP="000C1097">
      <w:pPr>
        <w:pStyle w:val="Heading3"/>
        <w:spacing w:before="0" w:after="0"/>
        <w:rPr>
          <w:bCs/>
        </w:rPr>
      </w:pPr>
      <w:r>
        <w:rPr>
          <w:bCs/>
        </w:rPr>
        <w:t>Materials provided</w:t>
      </w:r>
    </w:p>
    <w:p w:rsidR="000C1097" w:rsidRDefault="000C1097" w:rsidP="00EB6699">
      <w:pPr>
        <w:numPr>
          <w:ilvl w:val="0"/>
          <w:numId w:val="1"/>
        </w:numPr>
        <w:rPr>
          <w:b/>
          <w:bCs/>
        </w:rPr>
      </w:pPr>
      <w:r>
        <w:t>1 vials (1 mL each reconstituted) of Level I and Level II lyophilized control (animal citrated plasma).</w:t>
      </w:r>
    </w:p>
    <w:p w:rsidR="000C1097" w:rsidRDefault="000C1097" w:rsidP="00EB6699">
      <w:pPr>
        <w:numPr>
          <w:ilvl w:val="0"/>
          <w:numId w:val="1"/>
        </w:numPr>
        <w:rPr>
          <w:b/>
          <w:bCs/>
        </w:rPr>
      </w:pPr>
      <w:r>
        <w:t xml:space="preserve">1 </w:t>
      </w:r>
      <w:r w:rsidR="00B85A13">
        <w:t>vial</w:t>
      </w:r>
      <w:r>
        <w:t xml:space="preserve"> (1 mL each) of diluent water.</w:t>
      </w:r>
    </w:p>
    <w:p w:rsidR="000C1097" w:rsidRPr="001D12CE" w:rsidRDefault="000C1097" w:rsidP="00EB6699">
      <w:pPr>
        <w:numPr>
          <w:ilvl w:val="0"/>
          <w:numId w:val="1"/>
        </w:numPr>
        <w:rPr>
          <w:b/>
          <w:bCs/>
        </w:rPr>
      </w:pPr>
      <w:r>
        <w:t>1 vial (1 mL) of 0.2 M calcium chloride</w:t>
      </w:r>
    </w:p>
    <w:p w:rsidR="000C1097" w:rsidRDefault="000C1097" w:rsidP="000C1097">
      <w:pPr>
        <w:rPr>
          <w:b/>
          <w:bCs/>
        </w:rPr>
      </w:pPr>
    </w:p>
    <w:p w:rsidR="000C1097" w:rsidRDefault="000C1097" w:rsidP="000C1097">
      <w:pPr>
        <w:rPr>
          <w:b/>
          <w:bCs/>
        </w:rPr>
      </w:pPr>
      <w:r>
        <w:rPr>
          <w:b/>
          <w:bCs/>
        </w:rPr>
        <w:t>Reagent Preparation</w:t>
      </w:r>
    </w:p>
    <w:p w:rsidR="000C1097" w:rsidRPr="00B57229" w:rsidRDefault="000C1097" w:rsidP="00EB6699">
      <w:pPr>
        <w:numPr>
          <w:ilvl w:val="0"/>
          <w:numId w:val="2"/>
        </w:numPr>
        <w:rPr>
          <w:bCs/>
        </w:rPr>
      </w:pPr>
      <w:r w:rsidRPr="00B57229">
        <w:rPr>
          <w:bCs/>
        </w:rPr>
        <w:t>Allow the control vial(s) to reach room temperature.</w:t>
      </w:r>
    </w:p>
    <w:p w:rsidR="000C1097" w:rsidRPr="00B57229" w:rsidRDefault="000C1097" w:rsidP="00EB6699">
      <w:pPr>
        <w:numPr>
          <w:ilvl w:val="0"/>
          <w:numId w:val="2"/>
        </w:numPr>
        <w:rPr>
          <w:bCs/>
        </w:rPr>
      </w:pPr>
      <w:r w:rsidRPr="00B57229">
        <w:rPr>
          <w:bCs/>
        </w:rPr>
        <w:t>Make sure the control is on the bottom of the vial.  You may need to tap the vial a few times.</w:t>
      </w:r>
    </w:p>
    <w:p w:rsidR="000C1097" w:rsidRPr="00B57229" w:rsidRDefault="000C1097" w:rsidP="00EB6699">
      <w:pPr>
        <w:numPr>
          <w:ilvl w:val="0"/>
          <w:numId w:val="2"/>
        </w:numPr>
        <w:rPr>
          <w:bCs/>
        </w:rPr>
      </w:pPr>
      <w:r w:rsidRPr="00B57229">
        <w:rPr>
          <w:bCs/>
        </w:rPr>
        <w:t>Remove the cap</w:t>
      </w:r>
      <w:r>
        <w:rPr>
          <w:bCs/>
        </w:rPr>
        <w:t xml:space="preserve"> </w:t>
      </w:r>
      <w:r w:rsidRPr="00B57229">
        <w:rPr>
          <w:bCs/>
        </w:rPr>
        <w:t>of the lyophilized control.</w:t>
      </w:r>
    </w:p>
    <w:p w:rsidR="000C1097" w:rsidRPr="00B57229" w:rsidRDefault="000C1097" w:rsidP="00EB6699">
      <w:pPr>
        <w:numPr>
          <w:ilvl w:val="0"/>
          <w:numId w:val="2"/>
        </w:numPr>
        <w:rPr>
          <w:bCs/>
        </w:rPr>
      </w:pPr>
      <w:r w:rsidRPr="00B57229">
        <w:rPr>
          <w:bCs/>
        </w:rPr>
        <w:t xml:space="preserve">Into one vial of Level I and one vial of Level II lyophilized control slowly pour 1 vial </w:t>
      </w:r>
      <w:r w:rsidR="00B85A13" w:rsidRPr="00B57229">
        <w:rPr>
          <w:bCs/>
        </w:rPr>
        <w:t>of diluent</w:t>
      </w:r>
      <w:r w:rsidRPr="00B57229">
        <w:rPr>
          <w:bCs/>
        </w:rPr>
        <w:t xml:space="preserve"> </w:t>
      </w:r>
      <w:r w:rsidR="00B85A13" w:rsidRPr="00B57229">
        <w:rPr>
          <w:bCs/>
        </w:rPr>
        <w:t>water</w:t>
      </w:r>
      <w:r w:rsidR="00B85A13">
        <w:rPr>
          <w:bCs/>
        </w:rPr>
        <w:t xml:space="preserve"> (</w:t>
      </w:r>
      <w:r>
        <w:rPr>
          <w:bCs/>
        </w:rPr>
        <w:t>1 mL)</w:t>
      </w:r>
      <w:r w:rsidRPr="00B57229">
        <w:rPr>
          <w:bCs/>
        </w:rPr>
        <w:t>, provided.  Make sure no water drips out.</w:t>
      </w:r>
    </w:p>
    <w:p w:rsidR="000C1097" w:rsidRPr="00B57229" w:rsidRDefault="000C1097" w:rsidP="00EB6699">
      <w:pPr>
        <w:numPr>
          <w:ilvl w:val="0"/>
          <w:numId w:val="2"/>
        </w:numPr>
        <w:rPr>
          <w:bCs/>
        </w:rPr>
      </w:pPr>
      <w:r w:rsidRPr="00B57229">
        <w:rPr>
          <w:bCs/>
        </w:rPr>
        <w:t>Screw the cap back on to the vial of the control.</w:t>
      </w:r>
    </w:p>
    <w:p w:rsidR="000C1097" w:rsidRPr="00B57229" w:rsidRDefault="000C1097" w:rsidP="00EB6699">
      <w:pPr>
        <w:numPr>
          <w:ilvl w:val="0"/>
          <w:numId w:val="2"/>
        </w:numPr>
        <w:rPr>
          <w:bCs/>
        </w:rPr>
      </w:pPr>
      <w:r w:rsidRPr="00B57229">
        <w:rPr>
          <w:bCs/>
        </w:rPr>
        <w:t xml:space="preserve">Shake the vial vigorously and then let </w:t>
      </w:r>
      <w:r w:rsidR="00B85A13" w:rsidRPr="00B57229">
        <w:rPr>
          <w:bCs/>
        </w:rPr>
        <w:t>it</w:t>
      </w:r>
      <w:r w:rsidRPr="00B57229">
        <w:rPr>
          <w:bCs/>
        </w:rPr>
        <w:t xml:space="preserve"> stand for 5 minutes at room temperature.</w:t>
      </w:r>
    </w:p>
    <w:p w:rsidR="000C1097" w:rsidRDefault="000C1097" w:rsidP="00EB6699">
      <w:pPr>
        <w:numPr>
          <w:ilvl w:val="0"/>
          <w:numId w:val="2"/>
        </w:numPr>
        <w:rPr>
          <w:bCs/>
        </w:rPr>
      </w:pPr>
      <w:r w:rsidRPr="00B57229">
        <w:rPr>
          <w:bCs/>
        </w:rPr>
        <w:t>Shake the vial vigorously and let stand for 5 more minutes.</w:t>
      </w:r>
    </w:p>
    <w:p w:rsidR="000C1097" w:rsidRPr="00651DDB" w:rsidRDefault="000C1097" w:rsidP="00EB6699">
      <w:pPr>
        <w:pStyle w:val="ListParagraph"/>
        <w:numPr>
          <w:ilvl w:val="0"/>
          <w:numId w:val="2"/>
        </w:numPr>
        <w:shd w:val="clear" w:color="auto" w:fill="FFFFFF"/>
        <w:rPr>
          <w:rFonts w:ascii="Verdana" w:hAnsi="Verdana"/>
          <w:sz w:val="20"/>
        </w:rPr>
      </w:pPr>
      <w:r w:rsidRPr="00651DDB">
        <w:rPr>
          <w:rFonts w:ascii="Verdana" w:hAnsi="Verdana"/>
          <w:sz w:val="20"/>
        </w:rPr>
        <w:t>DO NOT INVERT OR SHAKE BEFORE USE. May cause bubbles that will affect your results.</w:t>
      </w:r>
    </w:p>
    <w:p w:rsidR="000C1097" w:rsidRDefault="000C1097" w:rsidP="000C1097">
      <w:pPr>
        <w:ind w:left="720"/>
        <w:rPr>
          <w:bCs/>
        </w:rPr>
      </w:pPr>
    </w:p>
    <w:p w:rsidR="000C1097" w:rsidRDefault="000C1097" w:rsidP="000C1097">
      <w:pPr>
        <w:rPr>
          <w:b/>
          <w:bCs/>
        </w:rPr>
      </w:pPr>
      <w:r>
        <w:rPr>
          <w:b/>
          <w:bCs/>
        </w:rPr>
        <w:t>Reagent Storage</w:t>
      </w:r>
    </w:p>
    <w:p w:rsidR="000C1097" w:rsidRPr="00B57229" w:rsidRDefault="000C1097" w:rsidP="000C1097">
      <w:pPr>
        <w:rPr>
          <w:bCs/>
        </w:rPr>
      </w:pPr>
      <w:r>
        <w:rPr>
          <w:bCs/>
        </w:rPr>
        <w:t xml:space="preserve">            </w:t>
      </w:r>
      <w:r w:rsidRPr="00B57229">
        <w:rPr>
          <w:bCs/>
        </w:rPr>
        <w:t>Each reconstituted control is viable for 2 hours at room temperature.</w:t>
      </w:r>
    </w:p>
    <w:p w:rsidR="000C1097" w:rsidRPr="00B57229" w:rsidRDefault="000C1097" w:rsidP="000C1097">
      <w:pPr>
        <w:rPr>
          <w:bCs/>
        </w:rPr>
      </w:pPr>
      <w:r>
        <w:rPr>
          <w:bCs/>
        </w:rPr>
        <w:t xml:space="preserve">            </w:t>
      </w:r>
      <w:r w:rsidRPr="00B57229">
        <w:rPr>
          <w:bCs/>
        </w:rPr>
        <w:t>Storage temperature: 2°C - 8°C, unopened vials stable to expiration date.</w:t>
      </w:r>
    </w:p>
    <w:p w:rsidR="000C1097" w:rsidRDefault="000C1097" w:rsidP="000C1097">
      <w:pPr>
        <w:rPr>
          <w:b/>
          <w:bCs/>
        </w:rPr>
      </w:pPr>
    </w:p>
    <w:p w:rsidR="000C1097" w:rsidRDefault="000C1097" w:rsidP="000C1097">
      <w:pPr>
        <w:rPr>
          <w:b/>
          <w:bCs/>
        </w:rPr>
      </w:pPr>
      <w:r>
        <w:rPr>
          <w:b/>
          <w:bCs/>
        </w:rPr>
        <w:t>Other Material</w:t>
      </w:r>
    </w:p>
    <w:p w:rsidR="000C1097" w:rsidRPr="004632D0" w:rsidRDefault="000C1097" w:rsidP="00EB6699">
      <w:pPr>
        <w:numPr>
          <w:ilvl w:val="0"/>
          <w:numId w:val="3"/>
        </w:numPr>
        <w:rPr>
          <w:bCs/>
        </w:rPr>
      </w:pPr>
      <w:r w:rsidRPr="004632D0">
        <w:rPr>
          <w:bCs/>
        </w:rPr>
        <w:t>TEG Hemostasis Analyzer attached to a computer running TEG Analytical Software (Source:  Haemoscope).</w:t>
      </w:r>
    </w:p>
    <w:p w:rsidR="000C1097" w:rsidRDefault="000C1097" w:rsidP="00EB6699">
      <w:pPr>
        <w:numPr>
          <w:ilvl w:val="0"/>
          <w:numId w:val="3"/>
        </w:numPr>
        <w:rPr>
          <w:bCs/>
        </w:rPr>
      </w:pPr>
      <w:r w:rsidRPr="004632D0">
        <w:rPr>
          <w:bCs/>
        </w:rPr>
        <w:t>Plain disposal cups and pins (Source:  Haemoscope).</w:t>
      </w:r>
    </w:p>
    <w:p w:rsidR="000C1097" w:rsidRDefault="000C1097" w:rsidP="00EB6699">
      <w:pPr>
        <w:numPr>
          <w:ilvl w:val="0"/>
          <w:numId w:val="3"/>
        </w:numPr>
        <w:rPr>
          <w:bCs/>
        </w:rPr>
      </w:pPr>
      <w:r>
        <w:rPr>
          <w:bCs/>
        </w:rPr>
        <w:t>20ul pipette</w:t>
      </w:r>
    </w:p>
    <w:p w:rsidR="000C1097" w:rsidRPr="004632D0" w:rsidRDefault="000C1097" w:rsidP="00EB6699">
      <w:pPr>
        <w:numPr>
          <w:ilvl w:val="0"/>
          <w:numId w:val="3"/>
        </w:numPr>
        <w:rPr>
          <w:bCs/>
        </w:rPr>
      </w:pPr>
      <w:r>
        <w:rPr>
          <w:bCs/>
        </w:rPr>
        <w:t>340ul pipette</w:t>
      </w:r>
    </w:p>
    <w:p w:rsidR="000C1097" w:rsidRDefault="000C1097" w:rsidP="000C1097">
      <w:pPr>
        <w:pStyle w:val="BodyText2"/>
      </w:pPr>
    </w:p>
    <w:p w:rsidR="003E638C" w:rsidRDefault="003E638C">
      <w:pPr>
        <w:pStyle w:val="Default"/>
      </w:pPr>
    </w:p>
    <w:p w:rsidR="003E638C" w:rsidRDefault="002A65A0">
      <w:r>
        <w:t xml:space="preserve"> </w:t>
      </w:r>
    </w:p>
    <w:p w:rsidR="003E638C" w:rsidRDefault="002A65A0">
      <w:pPr>
        <w:pStyle w:val="Heading3"/>
        <w:spacing w:before="0" w:after="0"/>
        <w:rPr>
          <w:bCs/>
        </w:rPr>
      </w:pPr>
      <w:r>
        <w:rPr>
          <w:bCs/>
        </w:rPr>
        <w:t>CALIBRATION</w:t>
      </w:r>
      <w:r w:rsidR="000C1097">
        <w:rPr>
          <w:bCs/>
        </w:rPr>
        <w:t>: None Indicated</w:t>
      </w:r>
    </w:p>
    <w:p w:rsidR="003E638C" w:rsidRDefault="003E638C">
      <w:pPr>
        <w:pStyle w:val="Footer"/>
        <w:tabs>
          <w:tab w:val="clear" w:pos="4320"/>
          <w:tab w:val="clear" w:pos="8640"/>
        </w:tabs>
      </w:pPr>
    </w:p>
    <w:p w:rsidR="003E638C" w:rsidRDefault="002A65A0">
      <w:pPr>
        <w:pStyle w:val="Heading2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QUALITY CONTROL:</w:t>
      </w:r>
      <w:r w:rsidR="000C1097">
        <w:rPr>
          <w:rFonts w:ascii="Times New Roman" w:hAnsi="Times New Roman"/>
          <w:i w:val="0"/>
          <w:iCs/>
        </w:rPr>
        <w:t xml:space="preserve"> None Indicated</w:t>
      </w:r>
    </w:p>
    <w:p w:rsidR="000C1097" w:rsidRPr="000C1097" w:rsidRDefault="000C1097" w:rsidP="000C1097"/>
    <w:p w:rsidR="003E638C" w:rsidRDefault="002A65A0">
      <w:pPr>
        <w:pStyle w:val="number0"/>
        <w:ind w:left="36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STEPWISE PROCEDURE:</w:t>
      </w:r>
    </w:p>
    <w:p w:rsidR="000C1097" w:rsidRDefault="00E65016" w:rsidP="00EB6699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Corralation studies are on-going. Each TEG instrument has controls run once a week. These </w:t>
      </w:r>
      <w:r w:rsidR="000C1097">
        <w:rPr>
          <w:sz w:val="24"/>
        </w:rPr>
        <w:t xml:space="preserve">samples </w:t>
      </w:r>
      <w:r>
        <w:rPr>
          <w:sz w:val="24"/>
        </w:rPr>
        <w:t>are</w:t>
      </w:r>
      <w:r w:rsidR="000C1097">
        <w:rPr>
          <w:sz w:val="24"/>
        </w:rPr>
        <w:t xml:space="preserve"> used for correlation analysis.</w:t>
      </w:r>
    </w:p>
    <w:p w:rsidR="000C1097" w:rsidRDefault="000C1097" w:rsidP="000C1097">
      <w:pPr>
        <w:rPr>
          <w:sz w:val="24"/>
        </w:rPr>
      </w:pPr>
    </w:p>
    <w:p w:rsidR="000C1097" w:rsidRDefault="00E65016" w:rsidP="00EB6699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These control results are automatically entered into </w:t>
      </w:r>
      <w:r w:rsidR="00B85A13">
        <w:rPr>
          <w:sz w:val="24"/>
        </w:rPr>
        <w:t>the</w:t>
      </w:r>
      <w:r>
        <w:rPr>
          <w:sz w:val="24"/>
        </w:rPr>
        <w:t xml:space="preserve"> TEG onboard Quality Control Program. </w:t>
      </w:r>
      <w:r w:rsidR="000C1097">
        <w:rPr>
          <w:sz w:val="24"/>
        </w:rPr>
        <w:t>(See Example)</w:t>
      </w:r>
    </w:p>
    <w:p w:rsidR="000C1097" w:rsidRDefault="000C1097" w:rsidP="000C1097">
      <w:pPr>
        <w:rPr>
          <w:sz w:val="24"/>
        </w:rPr>
      </w:pPr>
    </w:p>
    <w:p w:rsidR="000C1097" w:rsidRDefault="000C1097" w:rsidP="00EB6699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After correlation sample testing is completed, the results can be analyzed by using the </w:t>
      </w:r>
      <w:r w:rsidR="00B85A13">
        <w:rPr>
          <w:sz w:val="24"/>
        </w:rPr>
        <w:t>Onboard TEG</w:t>
      </w:r>
      <w:r w:rsidR="00E65016">
        <w:rPr>
          <w:sz w:val="24"/>
        </w:rPr>
        <w:t xml:space="preserve"> Quality Control Program</w:t>
      </w:r>
      <w:r w:rsidR="00B85A13">
        <w:rPr>
          <w:sz w:val="24"/>
        </w:rPr>
        <w:t>.</w:t>
      </w:r>
      <w:r w:rsidR="00E65016">
        <w:rPr>
          <w:sz w:val="24"/>
        </w:rPr>
        <w:t xml:space="preserve">  (See example)  </w:t>
      </w:r>
    </w:p>
    <w:p w:rsidR="000C1097" w:rsidRDefault="000C1097" w:rsidP="000C1097">
      <w:pPr>
        <w:rPr>
          <w:sz w:val="24"/>
        </w:rPr>
      </w:pPr>
    </w:p>
    <w:p w:rsidR="00913746" w:rsidRPr="006E51DC" w:rsidRDefault="000C1097" w:rsidP="00EB6699">
      <w:pPr>
        <w:numPr>
          <w:ilvl w:val="0"/>
          <w:numId w:val="4"/>
        </w:numPr>
        <w:rPr>
          <w:sz w:val="24"/>
        </w:rPr>
      </w:pPr>
      <w:r w:rsidRPr="006E51DC">
        <w:rPr>
          <w:sz w:val="24"/>
        </w:rPr>
        <w:t xml:space="preserve">Examine the results between the two analyzers </w:t>
      </w:r>
      <w:r w:rsidR="00913746" w:rsidRPr="006E51DC">
        <w:rPr>
          <w:sz w:val="24"/>
        </w:rPr>
        <w:t>on the TEG Analyzer QC Summary Report</w:t>
      </w:r>
      <w:r w:rsidRPr="006E51DC">
        <w:rPr>
          <w:sz w:val="24"/>
        </w:rPr>
        <w:t xml:space="preserve">.  For each range value, </w:t>
      </w:r>
      <w:r w:rsidR="00913746" w:rsidRPr="006E51DC">
        <w:rPr>
          <w:sz w:val="24"/>
        </w:rPr>
        <w:t>each parameter should maintain a range of less than 10 SD.</w:t>
      </w:r>
    </w:p>
    <w:p w:rsidR="00913746" w:rsidRPr="006E51DC" w:rsidRDefault="00913746" w:rsidP="00913746">
      <w:pPr>
        <w:pStyle w:val="ListParagraph"/>
      </w:pPr>
    </w:p>
    <w:p w:rsidR="000C1097" w:rsidRPr="000C1097" w:rsidRDefault="000C1097" w:rsidP="00EB6699">
      <w:pPr>
        <w:pStyle w:val="ListParagraph"/>
        <w:numPr>
          <w:ilvl w:val="0"/>
          <w:numId w:val="4"/>
        </w:numPr>
        <w:rPr>
          <w:szCs w:val="24"/>
        </w:rPr>
      </w:pPr>
      <w:r w:rsidRPr="000C1097">
        <w:rPr>
          <w:szCs w:val="24"/>
        </w:rPr>
        <w:t xml:space="preserve">If you experience problems with correlation sample testing, result recording, or if you have assay results that do not exhibit acceptable correlation, </w:t>
      </w:r>
      <w:r w:rsidR="00B85A13" w:rsidRPr="000C1097">
        <w:rPr>
          <w:szCs w:val="24"/>
        </w:rPr>
        <w:t xml:space="preserve">contact </w:t>
      </w:r>
      <w:r w:rsidR="00B85A13">
        <w:rPr>
          <w:szCs w:val="24"/>
        </w:rPr>
        <w:t>the</w:t>
      </w:r>
      <w:r w:rsidR="00913746">
        <w:rPr>
          <w:szCs w:val="24"/>
        </w:rPr>
        <w:t xml:space="preserve"> Senior Technologist</w:t>
      </w:r>
      <w:r w:rsidRPr="000C1097">
        <w:rPr>
          <w:szCs w:val="24"/>
        </w:rPr>
        <w:t xml:space="preserve"> for additional assistance.</w:t>
      </w:r>
    </w:p>
    <w:p w:rsidR="000C1097" w:rsidRDefault="000C1097" w:rsidP="000C1097">
      <w:pPr>
        <w:rPr>
          <w:sz w:val="24"/>
        </w:rPr>
      </w:pPr>
    </w:p>
    <w:p w:rsidR="000C1097" w:rsidRDefault="000C1097" w:rsidP="000C1097"/>
    <w:p w:rsidR="000C1097" w:rsidRDefault="000C1097" w:rsidP="000C1097"/>
    <w:p w:rsidR="000C1097" w:rsidRDefault="000C1097" w:rsidP="000C1097"/>
    <w:p w:rsidR="000C1097" w:rsidRPr="000C1097" w:rsidRDefault="000C1097" w:rsidP="000C1097">
      <w:pPr>
        <w:pStyle w:val="Heading3"/>
        <w:spacing w:before="0" w:after="0"/>
        <w:rPr>
          <w:szCs w:val="24"/>
        </w:rPr>
      </w:pPr>
      <w:r w:rsidRPr="000C1097">
        <w:rPr>
          <w:szCs w:val="24"/>
        </w:rPr>
        <w:t>REPORTING AND INTERPRETING RESULTS:</w:t>
      </w:r>
    </w:p>
    <w:p w:rsidR="000C1097" w:rsidRPr="000C1097" w:rsidRDefault="000C1097" w:rsidP="000C1097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 w:rsidRPr="000C1097">
        <w:rPr>
          <w:sz w:val="24"/>
          <w:szCs w:val="24"/>
        </w:rPr>
        <w:t xml:space="preserve">             None indicated</w:t>
      </w:r>
    </w:p>
    <w:p w:rsidR="003E638C" w:rsidRDefault="003E638C"/>
    <w:p w:rsidR="00EB6699" w:rsidRDefault="00EB6699"/>
    <w:p w:rsidR="003E638C" w:rsidRDefault="002A65A0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PROCEDURAL NOTES:</w:t>
      </w:r>
    </w:p>
    <w:p w:rsidR="003E638C" w:rsidRPr="000C1097" w:rsidRDefault="000C1097">
      <w:pPr>
        <w:pStyle w:val="Number"/>
        <w:rPr>
          <w:sz w:val="24"/>
        </w:rPr>
      </w:pPr>
      <w:r>
        <w:rPr>
          <w:sz w:val="24"/>
        </w:rPr>
        <w:t xml:space="preserve">          </w:t>
      </w:r>
      <w:r w:rsidRPr="000C1097">
        <w:rPr>
          <w:sz w:val="24"/>
        </w:rPr>
        <w:t>None</w:t>
      </w:r>
    </w:p>
    <w:p w:rsidR="003E638C" w:rsidRDefault="003E638C"/>
    <w:p w:rsidR="003E638C" w:rsidRDefault="003E638C"/>
    <w:p w:rsidR="003E638C" w:rsidRDefault="003E638C"/>
    <w:p w:rsidR="003E638C" w:rsidRDefault="002A65A0">
      <w:pPr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REFERENCE: </w:t>
      </w:r>
    </w:p>
    <w:p w:rsidR="000C1097" w:rsidRPr="000C1097" w:rsidRDefault="00B85A13" w:rsidP="000C1097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 w:rsidRPr="000C1097">
        <w:rPr>
          <w:sz w:val="24"/>
          <w:szCs w:val="24"/>
        </w:rPr>
        <w:t>1. Haemoscope</w:t>
      </w:r>
    </w:p>
    <w:p w:rsidR="000C1097" w:rsidRPr="000C1097" w:rsidRDefault="000C1097" w:rsidP="000C109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C1097">
        <w:rPr>
          <w:sz w:val="24"/>
          <w:szCs w:val="24"/>
        </w:rPr>
        <w:t>6231 W Howard Street</w:t>
      </w:r>
    </w:p>
    <w:p w:rsidR="000C1097" w:rsidRPr="000C1097" w:rsidRDefault="000C1097" w:rsidP="000C109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C1097">
        <w:rPr>
          <w:sz w:val="24"/>
          <w:szCs w:val="24"/>
        </w:rPr>
        <w:t xml:space="preserve">Niles, IL  </w:t>
      </w:r>
      <w:r w:rsidR="00B85A13" w:rsidRPr="000C1097">
        <w:rPr>
          <w:sz w:val="24"/>
          <w:szCs w:val="24"/>
        </w:rPr>
        <w:t>60714 USA</w:t>
      </w:r>
    </w:p>
    <w:p w:rsidR="000C1097" w:rsidRDefault="00524F31" w:rsidP="000C1097">
      <w:pPr>
        <w:rPr>
          <w:sz w:val="24"/>
          <w:szCs w:val="24"/>
        </w:rPr>
      </w:pPr>
      <w:hyperlink r:id="rId7" w:history="1">
        <w:r w:rsidR="000C1097" w:rsidRPr="000C1097">
          <w:rPr>
            <w:rStyle w:val="Hyperlink"/>
            <w:sz w:val="24"/>
            <w:szCs w:val="24"/>
          </w:rPr>
          <w:t>www.haemonetics.com</w:t>
        </w:r>
      </w:hyperlink>
    </w:p>
    <w:p w:rsidR="000C1097" w:rsidRDefault="000C1097" w:rsidP="000C1097">
      <w:pPr>
        <w:rPr>
          <w:sz w:val="24"/>
          <w:szCs w:val="24"/>
        </w:rPr>
      </w:pPr>
    </w:p>
    <w:p w:rsidR="00913746" w:rsidRPr="00913746" w:rsidRDefault="00B85A13" w:rsidP="00913746">
      <w:pPr>
        <w:rPr>
          <w:sz w:val="24"/>
          <w:szCs w:val="24"/>
        </w:rPr>
      </w:pPr>
      <w:r w:rsidRPr="00913746">
        <w:rPr>
          <w:sz w:val="24"/>
          <w:szCs w:val="24"/>
        </w:rPr>
        <w:t>2. CAP All</w:t>
      </w:r>
      <w:r w:rsidR="000C1097" w:rsidRPr="00913746">
        <w:rPr>
          <w:sz w:val="24"/>
          <w:szCs w:val="24"/>
        </w:rPr>
        <w:t xml:space="preserve"> Common Checklist, 04.21.2014</w:t>
      </w:r>
    </w:p>
    <w:p w:rsidR="00913746" w:rsidRPr="00913746" w:rsidRDefault="00913746" w:rsidP="00913746">
      <w:pPr>
        <w:pStyle w:val="ListParagraph"/>
        <w:rPr>
          <w:szCs w:val="24"/>
        </w:rPr>
      </w:pPr>
    </w:p>
    <w:p w:rsidR="00913746" w:rsidRPr="00913746" w:rsidRDefault="00913746" w:rsidP="00913746">
      <w:pPr>
        <w:rPr>
          <w:szCs w:val="24"/>
        </w:rPr>
      </w:pPr>
    </w:p>
    <w:p w:rsidR="000C1097" w:rsidRPr="00913746" w:rsidRDefault="000C1097" w:rsidP="00913746">
      <w:pPr>
        <w:rPr>
          <w:sz w:val="16"/>
          <w:szCs w:val="16"/>
        </w:rPr>
      </w:pPr>
      <w:r w:rsidRPr="00913746">
        <w:rPr>
          <w:sz w:val="16"/>
          <w:szCs w:val="16"/>
        </w:rPr>
        <w:t>s/Blood B</w:t>
      </w:r>
      <w:r w:rsidR="00913746">
        <w:rPr>
          <w:sz w:val="16"/>
          <w:szCs w:val="16"/>
        </w:rPr>
        <w:t>ank/Teg/4840-TEG-105/ch9/23/15</w:t>
      </w:r>
    </w:p>
    <w:sectPr w:rsidR="000C1097" w:rsidRPr="00913746" w:rsidSect="003E638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1DC" w:rsidRDefault="006E51DC">
      <w:r>
        <w:separator/>
      </w:r>
    </w:p>
  </w:endnote>
  <w:endnote w:type="continuationSeparator" w:id="0">
    <w:p w:rsidR="006E51DC" w:rsidRDefault="006E5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721 Cn BT">
    <w:altName w:val="Arial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1DC" w:rsidRDefault="006E51DC">
    <w:pPr>
      <w:ind w:left="-720"/>
      <w:jc w:val="right"/>
      <w:rPr>
        <w:b/>
        <w:sz w:val="24"/>
      </w:rPr>
    </w:pPr>
    <w:r>
      <w:tab/>
    </w:r>
    <w:r>
      <w:tab/>
    </w:r>
    <w:r>
      <w:tab/>
    </w:r>
    <w:r>
      <w:rPr>
        <w:sz w:val="24"/>
      </w:rPr>
      <w:tab/>
      <w:t>Page</w:t>
    </w:r>
    <w:r>
      <w:rPr>
        <w:b/>
        <w:sz w:val="24"/>
      </w:rPr>
      <w:t xml:space="preserve"> </w:t>
    </w:r>
    <w:r w:rsidR="00524F3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24F31">
      <w:rPr>
        <w:rStyle w:val="PageNumber"/>
      </w:rPr>
      <w:fldChar w:fldCharType="separate"/>
    </w:r>
    <w:r w:rsidR="00B85A13">
      <w:rPr>
        <w:rStyle w:val="PageNumber"/>
        <w:noProof/>
      </w:rPr>
      <w:t>1</w:t>
    </w:r>
    <w:r w:rsidR="00524F31"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 w:rsidR="00524F31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524F31">
      <w:rPr>
        <w:rStyle w:val="PageNumber"/>
      </w:rPr>
      <w:fldChar w:fldCharType="separate"/>
    </w:r>
    <w:r w:rsidR="00B85A13">
      <w:rPr>
        <w:rStyle w:val="PageNumber"/>
        <w:noProof/>
      </w:rPr>
      <w:t>2</w:t>
    </w:r>
    <w:r w:rsidR="00524F31"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1DC" w:rsidRDefault="006E51DC">
      <w:r>
        <w:separator/>
      </w:r>
    </w:p>
  </w:footnote>
  <w:footnote w:type="continuationSeparator" w:id="0">
    <w:p w:rsidR="006E51DC" w:rsidRDefault="006E5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1DC" w:rsidRDefault="006E51DC">
    <w:pPr>
      <w:pStyle w:val="Header"/>
      <w:rPr>
        <w:b/>
        <w:i/>
        <w:sz w:val="24"/>
      </w:rPr>
    </w:pPr>
    <w:r>
      <w:t xml:space="preserve">      </w:t>
    </w:r>
    <w:r>
      <w:rPr>
        <w:noProof/>
      </w:rPr>
      <w:drawing>
        <wp:inline distT="0" distB="0" distL="0" distR="0">
          <wp:extent cx="2419350" cy="571500"/>
          <wp:effectExtent l="19050" t="0" r="0" b="0"/>
          <wp:docPr id="1" name="Picture 1" descr="G:\Marketing\Logos\INTERN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Logos\INTERNA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rPr>
        <w:b/>
        <w:sz w:val="24"/>
      </w:rPr>
      <w:t>Proc. #4840-</w:t>
    </w:r>
    <w:r>
      <w:rPr>
        <w:b/>
        <w:i/>
        <w:sz w:val="24"/>
      </w:rPr>
      <w:t>TEG-106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A1B"/>
    <w:multiLevelType w:val="hybridMultilevel"/>
    <w:tmpl w:val="0700D3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362049"/>
    <w:multiLevelType w:val="hybridMultilevel"/>
    <w:tmpl w:val="AFBA1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554C5"/>
    <w:multiLevelType w:val="hybridMultilevel"/>
    <w:tmpl w:val="0700D37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8D5B73"/>
    <w:multiLevelType w:val="hybridMultilevel"/>
    <w:tmpl w:val="18C478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1C5B00"/>
    <w:multiLevelType w:val="hybridMultilevel"/>
    <w:tmpl w:val="B1DCC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5A0"/>
    <w:rsid w:val="0003215C"/>
    <w:rsid w:val="000C1097"/>
    <w:rsid w:val="000F4324"/>
    <w:rsid w:val="002A65A0"/>
    <w:rsid w:val="003E638C"/>
    <w:rsid w:val="004D1903"/>
    <w:rsid w:val="00524F31"/>
    <w:rsid w:val="006005E8"/>
    <w:rsid w:val="006B35E1"/>
    <w:rsid w:val="006E51DC"/>
    <w:rsid w:val="007361AB"/>
    <w:rsid w:val="00913746"/>
    <w:rsid w:val="00B34ABB"/>
    <w:rsid w:val="00B85A13"/>
    <w:rsid w:val="00D52D17"/>
    <w:rsid w:val="00E65016"/>
    <w:rsid w:val="00EB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38C"/>
  </w:style>
  <w:style w:type="paragraph" w:styleId="Heading1">
    <w:name w:val="heading 1"/>
    <w:basedOn w:val="Normal"/>
    <w:next w:val="Normal"/>
    <w:qFormat/>
    <w:rsid w:val="003E638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3E638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3E638C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3E638C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3E638C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3E638C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E638C"/>
  </w:style>
  <w:style w:type="paragraph" w:styleId="Footer">
    <w:name w:val="footer"/>
    <w:basedOn w:val="Normal"/>
    <w:link w:val="FooterChar"/>
    <w:semiHidden/>
    <w:rsid w:val="003E638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3E638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3E638C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3E638C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3E638C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3E638C"/>
    <w:pPr>
      <w:ind w:left="720" w:right="-270"/>
    </w:pPr>
    <w:rPr>
      <w:sz w:val="24"/>
    </w:rPr>
  </w:style>
  <w:style w:type="paragraph" w:customStyle="1" w:styleId="Number">
    <w:name w:val="Number"/>
    <w:basedOn w:val="BodyText"/>
    <w:rsid w:val="003E638C"/>
    <w:pPr>
      <w:spacing w:before="120" w:after="40"/>
    </w:pPr>
    <w:rPr>
      <w:rFonts w:ascii="Swis721 BT" w:hAnsi="Swis721 BT"/>
      <w:sz w:val="18"/>
      <w:szCs w:val="24"/>
    </w:rPr>
  </w:style>
  <w:style w:type="paragraph" w:styleId="BodyText">
    <w:name w:val="Body Text"/>
    <w:basedOn w:val="Normal"/>
    <w:semiHidden/>
    <w:rsid w:val="003E638C"/>
    <w:pPr>
      <w:spacing w:after="120"/>
    </w:pPr>
  </w:style>
  <w:style w:type="paragraph" w:customStyle="1" w:styleId="number0">
    <w:name w:val="number"/>
    <w:basedOn w:val="Normal"/>
    <w:rsid w:val="003E638C"/>
    <w:pPr>
      <w:spacing w:before="120" w:after="40"/>
      <w:ind w:left="2880" w:hanging="360"/>
    </w:pPr>
    <w:rPr>
      <w:rFonts w:ascii="Swis721 BT" w:eastAsia="Arial Unicode MS" w:hAnsi="Swis721 BT"/>
      <w:sz w:val="18"/>
      <w:szCs w:val="18"/>
    </w:rPr>
  </w:style>
  <w:style w:type="paragraph" w:customStyle="1" w:styleId="sreennum">
    <w:name w:val="sreennum"/>
    <w:basedOn w:val="Normal"/>
    <w:rsid w:val="003E638C"/>
    <w:pPr>
      <w:keepNext/>
      <w:spacing w:before="60" w:after="60"/>
      <w:ind w:left="2880"/>
    </w:pPr>
    <w:rPr>
      <w:rFonts w:eastAsia="Arial Unicode MS"/>
      <w:sz w:val="24"/>
      <w:szCs w:val="24"/>
    </w:rPr>
  </w:style>
  <w:style w:type="paragraph" w:customStyle="1" w:styleId="captionnum">
    <w:name w:val="captionnum"/>
    <w:basedOn w:val="Normal"/>
    <w:rsid w:val="003E638C"/>
    <w:pPr>
      <w:spacing w:after="120"/>
      <w:ind w:left="2880"/>
    </w:pPr>
    <w:rPr>
      <w:rFonts w:ascii="Swis721 BT" w:eastAsia="Arial Unicode MS" w:hAnsi="Swis721 BT"/>
      <w:sz w:val="14"/>
      <w:szCs w:val="14"/>
    </w:rPr>
  </w:style>
  <w:style w:type="paragraph" w:customStyle="1" w:styleId="note">
    <w:name w:val="note"/>
    <w:basedOn w:val="Normal"/>
    <w:rsid w:val="003E638C"/>
    <w:pPr>
      <w:spacing w:before="60" w:after="60"/>
    </w:pPr>
    <w:rPr>
      <w:rFonts w:ascii="Swis721 BT" w:eastAsia="Arial Unicode MS" w:hAnsi="Swis721 BT"/>
      <w:i/>
      <w:iCs/>
      <w:sz w:val="18"/>
      <w:szCs w:val="18"/>
    </w:rPr>
  </w:style>
  <w:style w:type="paragraph" w:customStyle="1" w:styleId="tablespace">
    <w:name w:val="tablespace"/>
    <w:basedOn w:val="Normal"/>
    <w:rsid w:val="003E638C"/>
    <w:rPr>
      <w:rFonts w:eastAsia="Arial Unicode MS"/>
      <w:sz w:val="8"/>
      <w:szCs w:val="8"/>
    </w:rPr>
  </w:style>
  <w:style w:type="paragraph" w:customStyle="1" w:styleId="BodyTextHead">
    <w:name w:val="BodyTextHead"/>
    <w:basedOn w:val="BodyText"/>
    <w:rsid w:val="003E638C"/>
    <w:pPr>
      <w:keepNext/>
      <w:spacing w:before="120" w:after="30"/>
      <w:ind w:left="2160"/>
    </w:pPr>
    <w:rPr>
      <w:rFonts w:ascii="Swis721 Cn BT" w:hAnsi="Swis721 Cn BT"/>
      <w:b/>
      <w:sz w:val="22"/>
      <w:szCs w:val="24"/>
    </w:rPr>
  </w:style>
  <w:style w:type="paragraph" w:styleId="CommentText">
    <w:name w:val="annotation text"/>
    <w:basedOn w:val="Normal"/>
    <w:semiHidden/>
    <w:rsid w:val="003E638C"/>
    <w:rPr>
      <w:rFonts w:ascii="Swis721 BT" w:hAnsi="Swis721 BT"/>
    </w:rPr>
  </w:style>
  <w:style w:type="paragraph" w:styleId="Caption">
    <w:name w:val="caption"/>
    <w:basedOn w:val="Normal"/>
    <w:qFormat/>
    <w:rsid w:val="003E638C"/>
    <w:pPr>
      <w:spacing w:after="120"/>
      <w:ind w:left="2160"/>
    </w:pPr>
    <w:rPr>
      <w:rFonts w:ascii="Swis721 BT" w:eastAsia="Arial Unicode MS" w:hAnsi="Swis721 BT" w:cs="Arial Unicode MS"/>
      <w:sz w:val="14"/>
      <w:szCs w:val="14"/>
    </w:rPr>
  </w:style>
  <w:style w:type="paragraph" w:customStyle="1" w:styleId="bullet1">
    <w:name w:val="bullet1"/>
    <w:basedOn w:val="Normal"/>
    <w:rsid w:val="003E638C"/>
    <w:pPr>
      <w:spacing w:before="120" w:after="40"/>
      <w:ind w:left="2880" w:hanging="360"/>
    </w:pPr>
    <w:rPr>
      <w:rFonts w:ascii="Swis721 BT" w:eastAsia="Arial Unicode MS" w:hAnsi="Swis721 BT" w:cs="Arial Unicode MS"/>
      <w:spacing w:val="2"/>
      <w:sz w:val="18"/>
      <w:szCs w:val="18"/>
    </w:rPr>
  </w:style>
  <w:style w:type="paragraph" w:customStyle="1" w:styleId="bodytexthead0">
    <w:name w:val="bodytexthead"/>
    <w:basedOn w:val="Normal"/>
    <w:rsid w:val="003E638C"/>
    <w:pPr>
      <w:keepNext/>
      <w:spacing w:before="120" w:after="30"/>
      <w:ind w:left="2160"/>
    </w:pPr>
    <w:rPr>
      <w:rFonts w:ascii="Swis721 Cn BT" w:eastAsia="Arial Unicode MS" w:hAnsi="Swis721 Cn BT" w:cs="Arial Unicode MS"/>
      <w:b/>
      <w:bCs/>
      <w:sz w:val="22"/>
      <w:szCs w:val="22"/>
    </w:rPr>
  </w:style>
  <w:style w:type="paragraph" w:customStyle="1" w:styleId="screen">
    <w:name w:val="screen"/>
    <w:basedOn w:val="Normal"/>
    <w:rsid w:val="003E638C"/>
    <w:pPr>
      <w:keepNext/>
      <w:spacing w:before="60" w:after="60"/>
      <w:ind w:left="2160"/>
    </w:pPr>
    <w:rPr>
      <w:rFonts w:eastAsia="Arial Unicode MS"/>
      <w:sz w:val="24"/>
      <w:szCs w:val="24"/>
    </w:rPr>
  </w:style>
  <w:style w:type="paragraph" w:customStyle="1" w:styleId="Default">
    <w:name w:val="Default"/>
    <w:rsid w:val="003E63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1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1097"/>
    <w:pPr>
      <w:ind w:left="720"/>
      <w:contextualSpacing/>
    </w:pPr>
    <w:rPr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C10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C1097"/>
  </w:style>
  <w:style w:type="character" w:customStyle="1" w:styleId="FooterChar">
    <w:name w:val="Footer Char"/>
    <w:basedOn w:val="DefaultParagraphFont"/>
    <w:link w:val="Footer"/>
    <w:semiHidden/>
    <w:rsid w:val="000C1097"/>
  </w:style>
  <w:style w:type="character" w:styleId="Hyperlink">
    <w:name w:val="Hyperlink"/>
    <w:basedOn w:val="DefaultParagraphFont"/>
    <w:semiHidden/>
    <w:rsid w:val="000C10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emonetic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19</TotalTime>
  <Pages>2</Pages>
  <Words>448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			</vt:lpstr>
    </vt:vector>
  </TitlesOfParts>
  <Company>ADVOCATE HEALTH CARE</Company>
  <LinksUpToDate>false</LinksUpToDate>
  <CharactersWithSpaces>2946</CharactersWithSpaces>
  <SharedDoc>false</SharedDoc>
  <HLinks>
    <vt:vector size="6" baseType="variant">
      <vt:variant>
        <vt:i4>1376375</vt:i4>
      </vt:variant>
      <vt:variant>
        <vt:i4>1285</vt:i4>
      </vt:variant>
      <vt:variant>
        <vt:i4>1025</vt:i4>
      </vt:variant>
      <vt:variant>
        <vt:i4>1</vt:i4>
      </vt:variant>
      <vt:variant>
        <vt:lpwstr>G:\Marketing\Logos\INTERNAL 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			</dc:title>
  <dc:subject/>
  <dc:creator>David Ledersnaider</dc:creator>
  <cp:keywords/>
  <cp:lastModifiedBy>sybranda</cp:lastModifiedBy>
  <cp:revision>6</cp:revision>
  <cp:lastPrinted>2015-09-23T17:21:00Z</cp:lastPrinted>
  <dcterms:created xsi:type="dcterms:W3CDTF">2015-09-23T13:28:00Z</dcterms:created>
  <dcterms:modified xsi:type="dcterms:W3CDTF">2017-01-11T18:55:00Z</dcterms:modified>
</cp:coreProperties>
</file>