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0" w:rsidRDefault="002B7220"/>
    <w:p w:rsidR="00C82276" w:rsidRDefault="00685984">
      <w:r>
        <w:rPr>
          <w:noProof/>
        </w:rPr>
        <w:drawing>
          <wp:inline distT="0" distB="0" distL="0" distR="0">
            <wp:extent cx="2095500" cy="571500"/>
            <wp:effectExtent l="19050" t="0" r="0" b="0"/>
            <wp:docPr id="1" name="Picture 1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76" w:rsidRDefault="00C82276" w:rsidP="00C82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Addendum to Urine Chemistry CH-240</w:t>
      </w:r>
    </w:p>
    <w:p w:rsidR="00C82276" w:rsidRDefault="005A3389" w:rsidP="00C82276">
      <w:pPr>
        <w:rPr>
          <w:rFonts w:ascii="Times New Roman" w:hAnsi="Times New Roman" w:cs="Times New Roman"/>
          <w:sz w:val="24"/>
          <w:szCs w:val="24"/>
        </w:rPr>
      </w:pPr>
      <w:r w:rsidRPr="005A3389">
        <w:rPr>
          <w:rFonts w:ascii="Times New Roman" w:hAnsi="Times New Roman" w:cs="Times New Roman"/>
          <w:sz w:val="24"/>
          <w:szCs w:val="24"/>
        </w:rPr>
        <w:t xml:space="preserve">See individual procedures for each </w:t>
      </w:r>
      <w:r>
        <w:rPr>
          <w:rFonts w:ascii="Times New Roman" w:hAnsi="Times New Roman" w:cs="Times New Roman"/>
          <w:sz w:val="24"/>
          <w:szCs w:val="24"/>
        </w:rPr>
        <w:t>Chemistry for collection and storage information.</w:t>
      </w:r>
    </w:p>
    <w:p w:rsidR="005A3389" w:rsidRDefault="007009F1" w:rsidP="00C82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5A3389">
        <w:rPr>
          <w:rFonts w:ascii="Times New Roman" w:hAnsi="Times New Roman" w:cs="Times New Roman"/>
          <w:sz w:val="24"/>
          <w:szCs w:val="24"/>
        </w:rPr>
        <w:t xml:space="preserve"> Urine</w:t>
      </w:r>
      <w:proofErr w:type="gramEnd"/>
      <w:r w:rsidR="005A3389">
        <w:rPr>
          <w:rFonts w:ascii="Times New Roman" w:hAnsi="Times New Roman" w:cs="Times New Roman"/>
          <w:sz w:val="24"/>
          <w:szCs w:val="24"/>
        </w:rPr>
        <w:t xml:space="preserve"> samples are collected with no additives or</w:t>
      </w:r>
      <w:r w:rsidR="005A3389" w:rsidRPr="005A3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can be run with no</w:t>
      </w:r>
      <w:r w:rsidR="005A3389">
        <w:rPr>
          <w:rFonts w:ascii="Times New Roman" w:hAnsi="Times New Roman" w:cs="Times New Roman"/>
          <w:sz w:val="24"/>
          <w:szCs w:val="24"/>
        </w:rPr>
        <w:t xml:space="preserve"> pH adjustment.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Amylase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Urea </w:t>
      </w:r>
      <w:proofErr w:type="gramStart"/>
      <w:r>
        <w:rPr>
          <w:rFonts w:ascii="Times New Roman" w:hAnsi="Times New Roman" w:cs="Times New Roman"/>
          <w:sz w:val="24"/>
          <w:szCs w:val="24"/>
        </w:rPr>
        <w:t>Nitrogen(</w:t>
      </w:r>
      <w:proofErr w:type="gramEnd"/>
      <w:r>
        <w:rPr>
          <w:rFonts w:ascii="Times New Roman" w:hAnsi="Times New Roman" w:cs="Times New Roman"/>
          <w:sz w:val="24"/>
          <w:szCs w:val="24"/>
        </w:rPr>
        <w:t>BUN)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Creatinine</w:t>
      </w:r>
      <w:proofErr w:type="spellEnd"/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Glucose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Sodium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Potassium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Chloride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Osmolality</w:t>
      </w:r>
      <w:proofErr w:type="spellEnd"/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Urine </w:t>
      </w:r>
      <w:r w:rsidR="00044AD0">
        <w:rPr>
          <w:rFonts w:ascii="Times New Roman" w:hAnsi="Times New Roman" w:cs="Times New Roman"/>
          <w:sz w:val="24"/>
          <w:szCs w:val="24"/>
        </w:rPr>
        <w:t>Calcium</w:t>
      </w:r>
      <w:r w:rsidR="000D1AD6">
        <w:rPr>
          <w:rFonts w:ascii="Times New Roman" w:hAnsi="Times New Roman" w:cs="Times New Roman"/>
          <w:sz w:val="24"/>
          <w:szCs w:val="24"/>
        </w:rPr>
        <w:t xml:space="preserve"> and Phosphorus</w:t>
      </w:r>
      <w:r w:rsidR="00044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samples can be collected with no additives, BUT must have the pH adjusted to between 1.5 and 5.0.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Calcium</w:t>
      </w:r>
    </w:p>
    <w:p w:rsidR="000D1AD6" w:rsidRDefault="000D1AD6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Phosphorus</w:t>
      </w:r>
    </w:p>
    <w:p w:rsidR="002B7220" w:rsidRPr="002B7220" w:rsidRDefault="002B7220" w:rsidP="002B7220">
      <w:pPr>
        <w:keepNext/>
        <w:spacing w:before="140"/>
        <w:ind w:left="1080"/>
        <w:rPr>
          <w:rFonts w:ascii="Times New Roman Bold Italic" w:hAnsi="Times New Roman Bold Italic"/>
        </w:rPr>
      </w:pPr>
      <w:r>
        <w:rPr>
          <w:rFonts w:ascii="Times New Roman Bold Italic" w:hAnsi="Times New Roman Bold Italic"/>
        </w:rPr>
        <w:t>Acidification</w:t>
      </w:r>
      <w:r>
        <w:t> </w:t>
      </w:r>
    </w:p>
    <w:tbl>
      <w:tblPr>
        <w:tblW w:w="0" w:type="auto"/>
        <w:tblInd w:w="10" w:type="dxa"/>
        <w:shd w:val="clear" w:color="auto" w:fill="FFFFFF"/>
        <w:tblLayout w:type="fixed"/>
        <w:tblLook w:val="0000"/>
      </w:tblPr>
      <w:tblGrid>
        <w:gridCol w:w="1584"/>
        <w:gridCol w:w="5904"/>
      </w:tblGrid>
      <w:tr w:rsidR="002B7220" w:rsidTr="002B7220">
        <w:trPr>
          <w:cantSplit/>
          <w:trHeight w:val="36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20" w:rsidRPr="007009F1" w:rsidRDefault="002B7220" w:rsidP="002B7220">
            <w:pPr>
              <w:keepNext/>
              <w:keepLines/>
              <w:spacing w:line="160" w:lineRule="atLeast"/>
              <w:ind w:right="80"/>
              <w:rPr>
                <w:rFonts w:ascii="Arial" w:hAnsi="Arial" w:cs="Arial"/>
                <w:color w:val="21FF00"/>
                <w:sz w:val="20"/>
              </w:rPr>
            </w:pPr>
            <w:r w:rsidRPr="007009F1">
              <w:rPr>
                <w:rFonts w:ascii="Arial" w:hAnsi="Arial" w:cs="Arial"/>
                <w:color w:val="21FF00"/>
                <w:sz w:val="20"/>
              </w:rPr>
              <w:t>IMPORTANT:</w:t>
            </w:r>
          </w:p>
        </w:tc>
        <w:tc>
          <w:tcPr>
            <w:tcW w:w="5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20" w:rsidRPr="007009F1" w:rsidRDefault="002B7220" w:rsidP="002B7220">
            <w:pPr>
              <w:keepNext/>
              <w:keepLines/>
              <w:spacing w:line="160" w:lineRule="atLeast"/>
              <w:ind w:right="80"/>
              <w:rPr>
                <w:rFonts w:ascii="Arial" w:hAnsi="Arial" w:cs="Arial"/>
                <w:sz w:val="20"/>
              </w:rPr>
            </w:pPr>
            <w:r w:rsidRPr="007009F1">
              <w:rPr>
                <w:rFonts w:ascii="Arial" w:hAnsi="Arial" w:cs="Arial"/>
                <w:sz w:val="20"/>
              </w:rPr>
              <w:t>The acidification procedure is intended for patient specimens only. Do not adjust the pH of quality control or calibration materials.</w:t>
            </w:r>
          </w:p>
        </w:tc>
      </w:tr>
    </w:tbl>
    <w:p w:rsidR="002B7220" w:rsidRDefault="002B7220" w:rsidP="002B7220">
      <w:pPr>
        <w:keepNext/>
        <w:spacing w:before="20" w:line="160" w:lineRule="atLeast"/>
        <w:ind w:right="80"/>
      </w:pPr>
      <w:r>
        <w:t> </w:t>
      </w:r>
    </w:p>
    <w:tbl>
      <w:tblPr>
        <w:tblW w:w="0" w:type="auto"/>
        <w:tblInd w:w="10" w:type="dxa"/>
        <w:shd w:val="clear" w:color="auto" w:fill="FFFFFF"/>
        <w:tblLayout w:type="fixed"/>
        <w:tblLook w:val="0000"/>
      </w:tblPr>
      <w:tblGrid>
        <w:gridCol w:w="1584"/>
        <w:gridCol w:w="5904"/>
      </w:tblGrid>
      <w:tr w:rsidR="002B7220" w:rsidTr="002B7220">
        <w:trPr>
          <w:cantSplit/>
          <w:trHeight w:val="36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20" w:rsidRPr="007009F1" w:rsidRDefault="002B7220" w:rsidP="002B7220">
            <w:pPr>
              <w:keepNext/>
              <w:keepLines/>
              <w:spacing w:line="160" w:lineRule="atLeast"/>
              <w:ind w:right="80"/>
              <w:rPr>
                <w:rFonts w:ascii="Arial" w:hAnsi="Arial" w:cs="Arial"/>
                <w:color w:val="21FF00"/>
                <w:sz w:val="20"/>
              </w:rPr>
            </w:pPr>
            <w:r w:rsidRPr="007009F1">
              <w:rPr>
                <w:rFonts w:ascii="Arial" w:hAnsi="Arial" w:cs="Arial"/>
                <w:color w:val="21FF00"/>
                <w:sz w:val="20"/>
              </w:rPr>
              <w:t>IMPORTANT:</w:t>
            </w:r>
          </w:p>
        </w:tc>
        <w:tc>
          <w:tcPr>
            <w:tcW w:w="5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20" w:rsidRPr="007009F1" w:rsidRDefault="002B7220" w:rsidP="002B7220">
            <w:pPr>
              <w:keepNext/>
              <w:keepLines/>
              <w:spacing w:line="160" w:lineRule="atLeast"/>
              <w:ind w:right="80"/>
              <w:rPr>
                <w:rFonts w:ascii="Arial" w:hAnsi="Arial" w:cs="Arial"/>
                <w:sz w:val="20"/>
              </w:rPr>
            </w:pPr>
            <w:r w:rsidRPr="007009F1">
              <w:rPr>
                <w:rFonts w:ascii="Arial" w:hAnsi="Arial" w:cs="Arial"/>
                <w:sz w:val="20"/>
              </w:rPr>
              <w:t>Acidified urine specimens should have a pH range of 1.5 to 5.0. Samples with urine pH below 1.5 may result in a negative bias.</w:t>
            </w:r>
          </w:p>
        </w:tc>
      </w:tr>
    </w:tbl>
    <w:p w:rsidR="002B7220" w:rsidRDefault="002B7220" w:rsidP="002B7220">
      <w:pPr>
        <w:keepNext/>
        <w:spacing w:before="20" w:line="160" w:lineRule="atLeast"/>
        <w:ind w:right="80"/>
      </w:pPr>
      <w:r>
        <w:t> </w:t>
      </w:r>
    </w:p>
    <w:tbl>
      <w:tblPr>
        <w:tblW w:w="0" w:type="auto"/>
        <w:tblInd w:w="10" w:type="dxa"/>
        <w:shd w:val="clear" w:color="auto" w:fill="FFFFFF"/>
        <w:tblLayout w:type="fixed"/>
        <w:tblLook w:val="0000"/>
      </w:tblPr>
      <w:tblGrid>
        <w:gridCol w:w="1584"/>
        <w:gridCol w:w="5904"/>
      </w:tblGrid>
      <w:tr w:rsidR="002B7220" w:rsidTr="002B7220">
        <w:trPr>
          <w:cantSplit/>
          <w:trHeight w:val="90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20" w:rsidRPr="007009F1" w:rsidRDefault="002B7220" w:rsidP="002B7220">
            <w:pPr>
              <w:keepLines/>
              <w:spacing w:line="160" w:lineRule="atLeast"/>
              <w:ind w:right="80"/>
              <w:rPr>
                <w:rFonts w:ascii="Arial" w:hAnsi="Arial" w:cs="Arial"/>
                <w:color w:val="21FF00"/>
                <w:sz w:val="20"/>
              </w:rPr>
            </w:pPr>
            <w:r w:rsidRPr="007009F1">
              <w:rPr>
                <w:rFonts w:ascii="Arial" w:hAnsi="Arial" w:cs="Arial"/>
                <w:color w:val="21FF00"/>
                <w:sz w:val="20"/>
              </w:rPr>
              <w:t>IMPORTANT:</w:t>
            </w:r>
          </w:p>
        </w:tc>
        <w:tc>
          <w:tcPr>
            <w:tcW w:w="5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20" w:rsidRPr="007009F1" w:rsidRDefault="002B7220" w:rsidP="002B7220">
            <w:pPr>
              <w:keepLines/>
              <w:spacing w:line="160" w:lineRule="atLeast"/>
              <w:ind w:right="80"/>
              <w:rPr>
                <w:rFonts w:ascii="Arial" w:hAnsi="Arial" w:cs="Arial"/>
                <w:sz w:val="20"/>
              </w:rPr>
            </w:pPr>
            <w:r w:rsidRPr="007009F1">
              <w:rPr>
                <w:rFonts w:ascii="Arial" w:hAnsi="Arial" w:cs="Arial"/>
                <w:sz w:val="20"/>
              </w:rPr>
              <w:t xml:space="preserve">If running multiple assays from a single acidified sample, ensure that the pH of the sample is appropriate for all assays programmed. For example, when processing samples for urine Ca </w:t>
            </w:r>
            <w:r w:rsidR="000D1AD6" w:rsidRPr="007009F1">
              <w:rPr>
                <w:rFonts w:ascii="Arial" w:hAnsi="Arial" w:cs="Arial"/>
                <w:sz w:val="20"/>
              </w:rPr>
              <w:t xml:space="preserve">or urine </w:t>
            </w:r>
            <w:proofErr w:type="spellStart"/>
            <w:r w:rsidR="000D1AD6" w:rsidRPr="007009F1">
              <w:rPr>
                <w:rFonts w:ascii="Arial" w:hAnsi="Arial" w:cs="Arial"/>
                <w:sz w:val="20"/>
              </w:rPr>
              <w:t>Phos</w:t>
            </w:r>
            <w:proofErr w:type="spellEnd"/>
            <w:r w:rsidR="000D1AD6" w:rsidRPr="007009F1">
              <w:rPr>
                <w:rFonts w:ascii="Arial" w:hAnsi="Arial" w:cs="Arial"/>
                <w:sz w:val="20"/>
              </w:rPr>
              <w:t xml:space="preserve"> </w:t>
            </w:r>
            <w:r w:rsidRPr="007009F1">
              <w:rPr>
                <w:rFonts w:ascii="Arial" w:hAnsi="Arial" w:cs="Arial"/>
                <w:sz w:val="20"/>
              </w:rPr>
              <w:t>and urine Mg, verify that the sample pH range is 3.0 to 4.0. Refer to Instructions for Use VITROS Chemistry Products Mg Slides for pretreatment instructions.</w:t>
            </w:r>
          </w:p>
        </w:tc>
      </w:tr>
    </w:tbl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685984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95500" cy="571500"/>
            <wp:effectExtent l="19050" t="0" r="0" b="0"/>
            <wp:docPr id="4" name="Picture 4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20" w:rsidRDefault="002B722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40" w:rsidRDefault="00896C40" w:rsidP="00896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C4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96C40">
        <w:rPr>
          <w:rFonts w:ascii="Times New Roman" w:eastAsia="Calibri" w:hAnsi="Times New Roman" w:cs="Times New Roman"/>
          <w:b/>
          <w:sz w:val="24"/>
          <w:szCs w:val="24"/>
        </w:rPr>
        <w:t>Acidification of an Aliquot</w:t>
      </w:r>
      <w:r w:rsidR="00AD2494">
        <w:rPr>
          <w:rFonts w:ascii="Times New Roman" w:hAnsi="Times New Roman" w:cs="Times New Roman"/>
          <w:b/>
          <w:sz w:val="24"/>
          <w:szCs w:val="24"/>
        </w:rPr>
        <w:t xml:space="preserve"> from a 24 Hour S</w:t>
      </w:r>
      <w:r w:rsidRPr="00896C40">
        <w:rPr>
          <w:rFonts w:ascii="Times New Roman" w:hAnsi="Times New Roman" w:cs="Times New Roman"/>
          <w:b/>
          <w:sz w:val="24"/>
          <w:szCs w:val="24"/>
        </w:rPr>
        <w:t>pecimen</w:t>
      </w:r>
    </w:p>
    <w:p w:rsidR="00896C40" w:rsidRPr="00896C40" w:rsidRDefault="00896C40" w:rsidP="00896C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>Check the pH of the Specimen</w:t>
      </w:r>
    </w:p>
    <w:p w:rsidR="00896C40" w:rsidRPr="00896C40" w:rsidRDefault="00896C40" w:rsidP="00896C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Thoroughly mix the entire urine specimen and remove a 5 </w:t>
      </w:r>
      <w:proofErr w:type="spellStart"/>
      <w:r w:rsidRPr="00896C40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aliquot.</w:t>
      </w:r>
    </w:p>
    <w:p w:rsidR="00896C40" w:rsidRPr="00896C40" w:rsidRDefault="00896C40" w:rsidP="00896C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Add 100 µL of 6 N </w:t>
      </w:r>
      <w:proofErr w:type="spellStart"/>
      <w:r w:rsidRPr="00896C40">
        <w:rPr>
          <w:rFonts w:ascii="Times New Roman" w:eastAsia="Calibri" w:hAnsi="Times New Roman" w:cs="Times New Roman"/>
          <w:sz w:val="24"/>
          <w:szCs w:val="24"/>
        </w:rPr>
        <w:t>HCl</w:t>
      </w:r>
      <w:proofErr w:type="spellEnd"/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and mix thoroughly.</w:t>
      </w:r>
    </w:p>
    <w:p w:rsidR="00896C40" w:rsidRDefault="00896C40" w:rsidP="00896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>Verify that the specimen pH is 1.5 to 5.0 and adjust, if necessary.</w:t>
      </w:r>
    </w:p>
    <w:p w:rsidR="00896C40" w:rsidRPr="00896C40" w:rsidRDefault="00896C40" w:rsidP="00896C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Centrifuge the Specimen.</w:t>
      </w:r>
    </w:p>
    <w:p w:rsidR="00896C40" w:rsidRPr="00896C40" w:rsidRDefault="00896C40" w:rsidP="00896C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>Analyze the sample.</w:t>
      </w:r>
    </w:p>
    <w:p w:rsidR="002B7220" w:rsidRDefault="00AD2494" w:rsidP="005A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6C40">
        <w:rPr>
          <w:rFonts w:ascii="Times New Roman" w:eastAsia="Calibri" w:hAnsi="Times New Roman" w:cs="Times New Roman"/>
          <w:b/>
          <w:sz w:val="24"/>
          <w:szCs w:val="24"/>
        </w:rPr>
        <w:t>Acidification of a</w:t>
      </w:r>
      <w:r>
        <w:rPr>
          <w:rFonts w:ascii="Times New Roman" w:hAnsi="Times New Roman" w:cs="Times New Roman"/>
          <w:b/>
          <w:sz w:val="24"/>
          <w:szCs w:val="24"/>
        </w:rPr>
        <w:t xml:space="preserve"> Random Urine Specimen</w:t>
      </w:r>
    </w:p>
    <w:p w:rsidR="00AD2494" w:rsidRPr="00896C40" w:rsidRDefault="00AD2494" w:rsidP="00AD24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40">
        <w:rPr>
          <w:rFonts w:ascii="Times New Roman" w:hAnsi="Times New Roman" w:cs="Times New Roman"/>
          <w:sz w:val="24"/>
          <w:szCs w:val="24"/>
        </w:rPr>
        <w:t>Check the pH of the Specimen</w:t>
      </w:r>
    </w:p>
    <w:p w:rsidR="00AD2494" w:rsidRPr="00896C40" w:rsidRDefault="00AD2494" w:rsidP="00AD249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Thoroughly mix the </w:t>
      </w: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spe</w:t>
      </w:r>
      <w:r>
        <w:rPr>
          <w:rFonts w:ascii="Times New Roman" w:hAnsi="Times New Roman" w:cs="Times New Roman"/>
          <w:sz w:val="24"/>
          <w:szCs w:val="24"/>
        </w:rPr>
        <w:t>cimen</w:t>
      </w:r>
    </w:p>
    <w:p w:rsidR="00AD2494" w:rsidRPr="00896C40" w:rsidRDefault="00AD2494" w:rsidP="00AD249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drop of</w:t>
      </w: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6 N </w:t>
      </w:r>
      <w:proofErr w:type="spellStart"/>
      <w:r w:rsidRPr="00896C40">
        <w:rPr>
          <w:rFonts w:ascii="Times New Roman" w:eastAsia="Calibri" w:hAnsi="Times New Roman" w:cs="Times New Roman"/>
          <w:sz w:val="24"/>
          <w:szCs w:val="24"/>
        </w:rPr>
        <w:t>HCl</w:t>
      </w:r>
      <w:proofErr w:type="spellEnd"/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and mix thoroughly.</w:t>
      </w:r>
    </w:p>
    <w:p w:rsidR="00AD2494" w:rsidRDefault="00AD2494" w:rsidP="00AD24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>Verify that the specimen pH is 1.5 to 5.0 and adjust, if necessary.</w:t>
      </w:r>
    </w:p>
    <w:p w:rsidR="00AD2494" w:rsidRPr="00896C40" w:rsidRDefault="00AD2494" w:rsidP="00AD249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Centrifuge the Specimen.</w:t>
      </w:r>
    </w:p>
    <w:p w:rsidR="00AD2494" w:rsidRPr="00896C40" w:rsidRDefault="00AD2494" w:rsidP="00AD249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>Analyze the sample.</w:t>
      </w:r>
    </w:p>
    <w:p w:rsidR="00AD2494" w:rsidRPr="000D1AD6" w:rsidRDefault="00044AD0" w:rsidP="005A3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4AD0" w:rsidRDefault="005A3389" w:rsidP="0004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AD6">
        <w:rPr>
          <w:rFonts w:ascii="Times New Roman" w:hAnsi="Times New Roman" w:cs="Times New Roman"/>
          <w:sz w:val="24"/>
          <w:szCs w:val="24"/>
        </w:rPr>
        <w:t xml:space="preserve">Magnesium </w:t>
      </w:r>
      <w:r w:rsidR="00044AD0">
        <w:rPr>
          <w:rFonts w:ascii="Times New Roman" w:hAnsi="Times New Roman" w:cs="Times New Roman"/>
          <w:sz w:val="24"/>
          <w:szCs w:val="24"/>
        </w:rPr>
        <w:t xml:space="preserve"> Urine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AD0">
        <w:rPr>
          <w:rFonts w:ascii="Times New Roman" w:hAnsi="Times New Roman" w:cs="Times New Roman"/>
          <w:sz w:val="24"/>
          <w:szCs w:val="24"/>
        </w:rPr>
        <w:t>samples can be collected with no additives, BUT must have the pH adjusted to between 3.0 and 4.0.</w:t>
      </w: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4A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AD0" w:rsidRPr="00044AD0" w:rsidRDefault="00044AD0" w:rsidP="00044AD0">
      <w:pPr>
        <w:keepNext/>
        <w:spacing w:before="140" w:after="0" w:line="240" w:lineRule="auto"/>
        <w:ind w:left="1080"/>
        <w:rPr>
          <w:rFonts w:ascii="Arial" w:hAnsi="Arial" w:cs="Arial"/>
          <w:sz w:val="20"/>
          <w:szCs w:val="20"/>
        </w:rPr>
      </w:pPr>
      <w:r w:rsidRPr="00044AD0">
        <w:rPr>
          <w:rFonts w:ascii="Arial" w:hAnsi="Arial" w:cs="Arial"/>
          <w:b/>
          <w:i/>
          <w:color w:val="000000"/>
          <w:sz w:val="20"/>
          <w:szCs w:val="20"/>
        </w:rPr>
        <w:t>Acidification</w:t>
      </w:r>
    </w:p>
    <w:p w:rsidR="00044AD0" w:rsidRPr="00044AD0" w:rsidRDefault="00044AD0" w:rsidP="00044AD0">
      <w:pPr>
        <w:keepNext/>
        <w:spacing w:before="20" w:after="0" w:line="160" w:lineRule="atLeast"/>
        <w:ind w:left="1080" w:right="80"/>
        <w:rPr>
          <w:rFonts w:ascii="Arial" w:hAnsi="Arial" w:cs="Arial"/>
          <w:sz w:val="20"/>
          <w:szCs w:val="20"/>
        </w:rPr>
      </w:pPr>
      <w:r w:rsidRPr="00044AD0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100" w:type="dxa"/>
        <w:shd w:val="clear" w:color="auto" w:fill="E5E5E5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5904"/>
      </w:tblGrid>
      <w:tr w:rsidR="00044AD0" w:rsidRPr="00044AD0" w:rsidTr="00044AD0">
        <w:trPr>
          <w:cantSplit/>
        </w:trPr>
        <w:tc>
          <w:tcPr>
            <w:tcW w:w="158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4AD0" w:rsidRPr="00044AD0" w:rsidRDefault="00044AD0" w:rsidP="00044AD0">
            <w:pPr>
              <w:keepNext/>
              <w:keepLines/>
              <w:spacing w:after="0" w:line="160" w:lineRule="atLeast"/>
              <w:ind w:right="80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044AD0">
              <w:rPr>
                <w:rFonts w:ascii="Arial" w:hAnsi="Arial" w:cs="Arial"/>
                <w:b/>
                <w:color w:val="008000"/>
                <w:sz w:val="20"/>
                <w:szCs w:val="20"/>
              </w:rPr>
              <w:t>IMPORTANT:</w:t>
            </w:r>
          </w:p>
        </w:tc>
        <w:tc>
          <w:tcPr>
            <w:tcW w:w="590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44AD0" w:rsidRPr="00044AD0" w:rsidRDefault="00044AD0" w:rsidP="00044AD0">
            <w:pPr>
              <w:keepNext/>
              <w:keepLines/>
              <w:spacing w:after="0" w:line="160" w:lineRule="atLeast"/>
              <w:ind w:right="80"/>
              <w:rPr>
                <w:rFonts w:ascii="Arial" w:hAnsi="Arial" w:cs="Arial"/>
                <w:sz w:val="20"/>
                <w:szCs w:val="20"/>
              </w:rPr>
            </w:pPr>
            <w:r w:rsidRPr="00044AD0">
              <w:rPr>
                <w:rFonts w:ascii="Arial" w:hAnsi="Arial" w:cs="Arial"/>
                <w:i/>
                <w:color w:val="000000"/>
                <w:sz w:val="20"/>
                <w:szCs w:val="20"/>
              </w:rPr>
              <w:t>The acidification procedure is intended for patient specimens only. Do not adjust the pH of quality-control or calibration materials.</w:t>
            </w:r>
          </w:p>
        </w:tc>
      </w:tr>
    </w:tbl>
    <w:p w:rsidR="000D1AD6" w:rsidRPr="00044AD0" w:rsidRDefault="00044AD0" w:rsidP="00044AD0">
      <w:pPr>
        <w:keepNext/>
        <w:spacing w:before="20" w:after="0" w:line="160" w:lineRule="atLeast"/>
        <w:ind w:left="1080" w:right="80"/>
        <w:rPr>
          <w:rFonts w:ascii="Arial" w:hAnsi="Arial" w:cs="Arial"/>
          <w:sz w:val="20"/>
          <w:szCs w:val="20"/>
        </w:rPr>
      </w:pPr>
      <w:r w:rsidRPr="00044AD0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100" w:type="dxa"/>
        <w:shd w:val="clear" w:color="auto" w:fill="E5E5E5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5904"/>
      </w:tblGrid>
      <w:tr w:rsidR="000D1AD6" w:rsidRPr="0050084A" w:rsidTr="001A6C3D">
        <w:trPr>
          <w:cantSplit/>
        </w:trPr>
        <w:tc>
          <w:tcPr>
            <w:tcW w:w="158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D1AD6" w:rsidRPr="00C64B3D" w:rsidRDefault="000D1AD6" w:rsidP="001A6C3D">
            <w:pPr>
              <w:keepLines/>
              <w:spacing w:after="0" w:line="160" w:lineRule="atLeast"/>
              <w:ind w:right="80"/>
              <w:rPr>
                <w:rFonts w:ascii="Calibri" w:eastAsia="Calibri" w:hAnsi="Calibri" w:cs="Times New Roman"/>
                <w:color w:val="008000"/>
              </w:rPr>
            </w:pPr>
            <w:r w:rsidRPr="00B156D6">
              <w:rPr>
                <w:rFonts w:ascii="Arial" w:eastAsia="Calibri" w:hAnsi="Arial" w:cs="Times New Roman"/>
                <w:b/>
                <w:color w:val="008000"/>
                <w:sz w:val="20"/>
                <w:szCs w:val="20"/>
              </w:rPr>
              <w:t>IMPORTANT</w:t>
            </w:r>
            <w:r w:rsidRPr="00C64B3D">
              <w:rPr>
                <w:rFonts w:ascii="Arial" w:eastAsia="Calibri" w:hAnsi="Arial" w:cs="Times New Roman"/>
                <w:b/>
                <w:color w:val="008000"/>
                <w:sz w:val="16"/>
              </w:rPr>
              <w:t>:</w:t>
            </w:r>
          </w:p>
        </w:tc>
        <w:tc>
          <w:tcPr>
            <w:tcW w:w="590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D1AD6" w:rsidRPr="00B156D6" w:rsidRDefault="000D1AD6" w:rsidP="001A6C3D">
            <w:pPr>
              <w:keepLines/>
              <w:spacing w:after="0" w:line="160" w:lineRule="atLeast"/>
              <w:ind w:right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6D6">
              <w:rPr>
                <w:rFonts w:ascii="Arial" w:eastAsia="Calibri" w:hAnsi="Arial" w:cs="Times New Roman"/>
                <w:i/>
                <w:color w:val="000000"/>
                <w:sz w:val="20"/>
                <w:szCs w:val="20"/>
              </w:rPr>
              <w:t>If running multiple assays from a single acidified sample, ensure that the pH of the sample is appropriate for all assays programmed.</w:t>
            </w:r>
          </w:p>
        </w:tc>
      </w:tr>
    </w:tbl>
    <w:p w:rsidR="00044AD0" w:rsidRPr="00044AD0" w:rsidRDefault="00044AD0" w:rsidP="00044AD0">
      <w:pPr>
        <w:keepNext/>
        <w:spacing w:before="20" w:after="0" w:line="160" w:lineRule="atLeast"/>
        <w:ind w:left="1080" w:right="80"/>
        <w:rPr>
          <w:rFonts w:ascii="Arial" w:hAnsi="Arial" w:cs="Arial"/>
          <w:sz w:val="20"/>
          <w:szCs w:val="20"/>
        </w:rPr>
      </w:pPr>
    </w:p>
    <w:p w:rsidR="00044AD0" w:rsidRDefault="00044AD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AD6" w:rsidRDefault="0033256D" w:rsidP="000D1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1AD6" w:rsidRPr="00896C40">
        <w:rPr>
          <w:rFonts w:ascii="Times New Roman" w:eastAsia="Calibri" w:hAnsi="Times New Roman" w:cs="Times New Roman"/>
          <w:b/>
          <w:sz w:val="24"/>
          <w:szCs w:val="24"/>
        </w:rPr>
        <w:t>Acidification of an Aliquot</w:t>
      </w:r>
      <w:r w:rsidR="000D1AD6">
        <w:rPr>
          <w:rFonts w:ascii="Times New Roman" w:hAnsi="Times New Roman" w:cs="Times New Roman"/>
          <w:b/>
          <w:sz w:val="24"/>
          <w:szCs w:val="24"/>
        </w:rPr>
        <w:t xml:space="preserve"> from a 24 Hour S</w:t>
      </w:r>
      <w:r w:rsidR="000D1AD6" w:rsidRPr="00896C40">
        <w:rPr>
          <w:rFonts w:ascii="Times New Roman" w:hAnsi="Times New Roman" w:cs="Times New Roman"/>
          <w:b/>
          <w:sz w:val="24"/>
          <w:szCs w:val="24"/>
        </w:rPr>
        <w:t>pecimen</w:t>
      </w:r>
    </w:p>
    <w:p w:rsidR="000D1AD6" w:rsidRPr="00896C40" w:rsidRDefault="000D1AD6" w:rsidP="000D1A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hAnsi="Times New Roman" w:cs="Times New Roman"/>
          <w:sz w:val="24"/>
          <w:szCs w:val="24"/>
        </w:rPr>
        <w:t>Check the pH of the Specimen</w:t>
      </w:r>
    </w:p>
    <w:p w:rsidR="000D1AD6" w:rsidRPr="00896C40" w:rsidRDefault="000D1AD6" w:rsidP="000D1A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Thoroughly mix the entire urine specimen and remove a 5 </w:t>
      </w:r>
      <w:proofErr w:type="spellStart"/>
      <w:r w:rsidRPr="00896C40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aliquot.</w:t>
      </w:r>
    </w:p>
    <w:p w:rsidR="000D1AD6" w:rsidRPr="00896C40" w:rsidRDefault="000D1AD6" w:rsidP="000D1A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 a drop</w:t>
      </w: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of 6 N </w:t>
      </w:r>
      <w:proofErr w:type="spellStart"/>
      <w:r w:rsidRPr="00896C40">
        <w:rPr>
          <w:rFonts w:ascii="Times New Roman" w:eastAsia="Calibri" w:hAnsi="Times New Roman" w:cs="Times New Roman"/>
          <w:sz w:val="24"/>
          <w:szCs w:val="24"/>
        </w:rPr>
        <w:t>HCl</w:t>
      </w:r>
      <w:proofErr w:type="spellEnd"/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and mix thoroughly.</w:t>
      </w:r>
    </w:p>
    <w:p w:rsidR="000D1AD6" w:rsidRDefault="000D1AD6" w:rsidP="000D1A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Verify that </w:t>
      </w:r>
      <w:r>
        <w:rPr>
          <w:rFonts w:ascii="Times New Roman" w:eastAsia="Calibri" w:hAnsi="Times New Roman" w:cs="Times New Roman"/>
          <w:sz w:val="24"/>
          <w:szCs w:val="24"/>
        </w:rPr>
        <w:t>the specimen pH is 3.0 and 4.0</w:t>
      </w: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and adjust, if necessary.</w:t>
      </w:r>
    </w:p>
    <w:p w:rsidR="000D1AD6" w:rsidRPr="00896C40" w:rsidRDefault="000D1AD6" w:rsidP="000D1A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Centrifuge the Specimen.</w:t>
      </w:r>
    </w:p>
    <w:p w:rsidR="000D1AD6" w:rsidRDefault="000D1AD6" w:rsidP="000D1AD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>Analyze the sample.</w:t>
      </w:r>
    </w:p>
    <w:p w:rsidR="000D1AD6" w:rsidRDefault="000D1A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AD6" w:rsidRDefault="000D1A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AD6" w:rsidRDefault="000D1A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AD6" w:rsidRDefault="000D1A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AD6" w:rsidRDefault="000D1A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6D6" w:rsidRDefault="00B156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56D6" w:rsidRDefault="00685984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95500" cy="571500"/>
            <wp:effectExtent l="19050" t="0" r="0" b="0"/>
            <wp:docPr id="7" name="Picture 7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D6" w:rsidRDefault="00B156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AD6" w:rsidRDefault="000D1A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AD6" w:rsidRPr="00896C40" w:rsidRDefault="000D1AD6" w:rsidP="000D1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1AD6" w:rsidRDefault="000D1AD6" w:rsidP="000D1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6C40">
        <w:rPr>
          <w:rFonts w:ascii="Times New Roman" w:eastAsia="Calibri" w:hAnsi="Times New Roman" w:cs="Times New Roman"/>
          <w:b/>
          <w:sz w:val="24"/>
          <w:szCs w:val="24"/>
        </w:rPr>
        <w:t>Acidification of a</w:t>
      </w:r>
      <w:r>
        <w:rPr>
          <w:rFonts w:ascii="Times New Roman" w:hAnsi="Times New Roman" w:cs="Times New Roman"/>
          <w:b/>
          <w:sz w:val="24"/>
          <w:szCs w:val="24"/>
        </w:rPr>
        <w:t xml:space="preserve"> Random Urine Specimen</w:t>
      </w:r>
    </w:p>
    <w:p w:rsidR="000D1AD6" w:rsidRPr="00896C40" w:rsidRDefault="000D1AD6" w:rsidP="000D1A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C40">
        <w:rPr>
          <w:rFonts w:ascii="Times New Roman" w:hAnsi="Times New Roman" w:cs="Times New Roman"/>
          <w:sz w:val="24"/>
          <w:szCs w:val="24"/>
        </w:rPr>
        <w:t>Check the pH of the Specimen</w:t>
      </w:r>
    </w:p>
    <w:p w:rsidR="000D1AD6" w:rsidRPr="00896C40" w:rsidRDefault="000D1AD6" w:rsidP="000D1AD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Thoroughly mix the </w:t>
      </w: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spe</w:t>
      </w:r>
      <w:r>
        <w:rPr>
          <w:rFonts w:ascii="Times New Roman" w:hAnsi="Times New Roman" w:cs="Times New Roman"/>
          <w:sz w:val="24"/>
          <w:szCs w:val="24"/>
        </w:rPr>
        <w:t>cimen</w:t>
      </w:r>
    </w:p>
    <w:p w:rsidR="000D1AD6" w:rsidRPr="00896C40" w:rsidRDefault="000D1AD6" w:rsidP="000D1AD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drop of</w:t>
      </w:r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6 N </w:t>
      </w:r>
      <w:proofErr w:type="spellStart"/>
      <w:r w:rsidRPr="00896C40">
        <w:rPr>
          <w:rFonts w:ascii="Times New Roman" w:eastAsia="Calibri" w:hAnsi="Times New Roman" w:cs="Times New Roman"/>
          <w:sz w:val="24"/>
          <w:szCs w:val="24"/>
        </w:rPr>
        <w:t>HCl</w:t>
      </w:r>
      <w:proofErr w:type="spellEnd"/>
      <w:r w:rsidRPr="00896C40">
        <w:rPr>
          <w:rFonts w:ascii="Times New Roman" w:eastAsia="Calibri" w:hAnsi="Times New Roman" w:cs="Times New Roman"/>
          <w:sz w:val="24"/>
          <w:szCs w:val="24"/>
        </w:rPr>
        <w:t xml:space="preserve"> and mix thoroughly.</w:t>
      </w:r>
    </w:p>
    <w:p w:rsidR="000D1AD6" w:rsidRDefault="000D1AD6" w:rsidP="000D1A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>Verify that the specimen pH is 1.5 to 5.0 and adjust, if necessary.</w:t>
      </w:r>
    </w:p>
    <w:p w:rsidR="000D1AD6" w:rsidRPr="00896C40" w:rsidRDefault="000D1AD6" w:rsidP="000D1AD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Centrifuge the Specimen.</w:t>
      </w:r>
    </w:p>
    <w:p w:rsidR="000D1AD6" w:rsidRPr="00896C40" w:rsidRDefault="000D1AD6" w:rsidP="000D1AD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C40">
        <w:rPr>
          <w:rFonts w:ascii="Times New Roman" w:eastAsia="Calibri" w:hAnsi="Times New Roman" w:cs="Times New Roman"/>
          <w:sz w:val="24"/>
          <w:szCs w:val="24"/>
        </w:rPr>
        <w:t>Analyze the sample.</w:t>
      </w:r>
    </w:p>
    <w:p w:rsidR="00044AD0" w:rsidRDefault="0033256D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AD0" w:rsidRDefault="00044AD0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89" w:rsidRDefault="005A3389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Random Uric Acid samples can be collected with no additives, BUT must have the pH adjusted to </w:t>
      </w:r>
      <w:r w:rsidR="00770DFE">
        <w:rPr>
          <w:rFonts w:ascii="Times New Roman" w:hAnsi="Times New Roman" w:cs="Times New Roman"/>
          <w:sz w:val="24"/>
          <w:szCs w:val="24"/>
        </w:rPr>
        <w:t>between 8.5 and 10.0.</w:t>
      </w:r>
    </w:p>
    <w:p w:rsidR="00B156D6" w:rsidRDefault="00B156D6" w:rsidP="00B156D6">
      <w:pPr>
        <w:keepNext/>
        <w:spacing w:before="140" w:after="0" w:line="240" w:lineRule="auto"/>
        <w:ind w:left="1080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b/>
          <w:i/>
          <w:color w:val="000000"/>
          <w:sz w:val="18"/>
        </w:rPr>
        <w:t>Alkalization Procedure</w:t>
      </w:r>
    </w:p>
    <w:p w:rsidR="00B156D6" w:rsidRDefault="00B156D6" w:rsidP="00B156D6">
      <w:pPr>
        <w:keepNext/>
        <w:spacing w:before="20" w:after="0" w:line="160" w:lineRule="atLeast"/>
        <w:ind w:left="1080" w:right="80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color w:val="000000"/>
          <w:sz w:val="4"/>
        </w:rPr>
        <w:t> </w:t>
      </w:r>
    </w:p>
    <w:tbl>
      <w:tblPr>
        <w:tblW w:w="0" w:type="auto"/>
        <w:tblInd w:w="1100" w:type="dxa"/>
        <w:shd w:val="clear" w:color="auto" w:fill="E5E5E5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5904"/>
      </w:tblGrid>
      <w:tr w:rsidR="00B156D6" w:rsidRPr="00B156D6" w:rsidTr="001A6C3D">
        <w:trPr>
          <w:cantSplit/>
        </w:trPr>
        <w:tc>
          <w:tcPr>
            <w:tcW w:w="158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56D6" w:rsidRPr="00B156D6" w:rsidRDefault="00B156D6" w:rsidP="001A6C3D">
            <w:pPr>
              <w:keepNext/>
              <w:keepLines/>
              <w:spacing w:after="0" w:line="160" w:lineRule="atLeast"/>
              <w:ind w:right="80"/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</w:pPr>
            <w:r w:rsidRPr="00B156D6">
              <w:rPr>
                <w:rFonts w:ascii="Arial" w:eastAsia="Calibri" w:hAnsi="Arial" w:cs="Times New Roman"/>
                <w:b/>
                <w:color w:val="008000"/>
                <w:sz w:val="20"/>
                <w:szCs w:val="20"/>
              </w:rPr>
              <w:t>IMPORTANT:</w:t>
            </w:r>
          </w:p>
        </w:tc>
        <w:tc>
          <w:tcPr>
            <w:tcW w:w="590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56D6" w:rsidRPr="00B156D6" w:rsidRDefault="00B156D6" w:rsidP="001A6C3D">
            <w:pPr>
              <w:keepNext/>
              <w:keepLines/>
              <w:spacing w:after="0" w:line="160" w:lineRule="atLeast"/>
              <w:ind w:right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6D6">
              <w:rPr>
                <w:rFonts w:ascii="Arial" w:eastAsia="Calibri" w:hAnsi="Arial" w:cs="Times New Roman"/>
                <w:i/>
                <w:color w:val="000000"/>
                <w:sz w:val="20"/>
                <w:szCs w:val="20"/>
              </w:rPr>
              <w:t>The alkalization procedure is intended for patient specimens only. Do not adjust the pH of quality-control or calibration materials.</w:t>
            </w:r>
          </w:p>
        </w:tc>
      </w:tr>
    </w:tbl>
    <w:p w:rsidR="00B156D6" w:rsidRPr="00B156D6" w:rsidRDefault="00B156D6" w:rsidP="00B156D6">
      <w:pPr>
        <w:keepNext/>
        <w:spacing w:before="20" w:after="0" w:line="160" w:lineRule="atLeast"/>
        <w:ind w:left="1080" w:right="80"/>
        <w:rPr>
          <w:rFonts w:ascii="Calibri" w:eastAsia="Calibri" w:hAnsi="Calibri" w:cs="Times New Roman"/>
          <w:sz w:val="20"/>
          <w:szCs w:val="20"/>
        </w:rPr>
      </w:pPr>
      <w:r w:rsidRPr="00B156D6">
        <w:rPr>
          <w:rFonts w:ascii="Arial" w:eastAsia="Calibri" w:hAnsi="Arial" w:cs="Times New Roman"/>
          <w:color w:val="000000"/>
          <w:sz w:val="20"/>
          <w:szCs w:val="20"/>
        </w:rPr>
        <w:t> </w:t>
      </w:r>
    </w:p>
    <w:tbl>
      <w:tblPr>
        <w:tblW w:w="0" w:type="auto"/>
        <w:tblInd w:w="1100" w:type="dxa"/>
        <w:shd w:val="clear" w:color="auto" w:fill="E5E5E5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5904"/>
      </w:tblGrid>
      <w:tr w:rsidR="00B156D6" w:rsidRPr="00B156D6" w:rsidTr="001A6C3D">
        <w:trPr>
          <w:cantSplit/>
        </w:trPr>
        <w:tc>
          <w:tcPr>
            <w:tcW w:w="158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56D6" w:rsidRPr="00B156D6" w:rsidRDefault="00B156D6" w:rsidP="001A6C3D">
            <w:pPr>
              <w:keepLines/>
              <w:spacing w:after="0" w:line="160" w:lineRule="atLeast"/>
              <w:ind w:right="80"/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</w:pPr>
            <w:r w:rsidRPr="00B156D6">
              <w:rPr>
                <w:rFonts w:ascii="Arial" w:eastAsia="Calibri" w:hAnsi="Arial" w:cs="Times New Roman"/>
                <w:b/>
                <w:color w:val="008000"/>
                <w:sz w:val="20"/>
                <w:szCs w:val="20"/>
              </w:rPr>
              <w:t>IMPORTANT:</w:t>
            </w:r>
          </w:p>
        </w:tc>
        <w:tc>
          <w:tcPr>
            <w:tcW w:w="5904" w:type="dxa"/>
            <w:shd w:val="clear" w:color="auto" w:fill="E5E5E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56D6" w:rsidRPr="00B156D6" w:rsidRDefault="00B156D6" w:rsidP="001A6C3D">
            <w:pPr>
              <w:keepLines/>
              <w:spacing w:after="0" w:line="160" w:lineRule="atLeast"/>
              <w:ind w:right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56D6">
              <w:rPr>
                <w:rFonts w:ascii="Arial" w:eastAsia="Calibri" w:hAnsi="Arial" w:cs="Times New Roman"/>
                <w:i/>
                <w:color w:val="000000"/>
                <w:sz w:val="20"/>
                <w:szCs w:val="20"/>
              </w:rPr>
              <w:t>Due to the sample pretreatment protocol for urine uric acid analysis, the VITR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OS Integrated System</w:t>
            </w:r>
            <w:r w:rsidRPr="00B156D6">
              <w:rPr>
                <w:rFonts w:ascii="Arial" w:eastAsia="Calibri" w:hAnsi="Arial" w:cs="Times New Roman"/>
                <w:i/>
                <w:color w:val="000000"/>
                <w:sz w:val="20"/>
                <w:szCs w:val="20"/>
              </w:rPr>
              <w:t xml:space="preserve"> will not allow URIC to be programmed with other urine assays.</w:t>
            </w:r>
          </w:p>
        </w:tc>
      </w:tr>
    </w:tbl>
    <w:p w:rsidR="00770DFE" w:rsidRDefault="00770DFE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B12" w:rsidRPr="00380B12" w:rsidRDefault="00380B12" w:rsidP="00380B1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B12">
        <w:rPr>
          <w:rFonts w:ascii="Times New Roman" w:eastAsia="Calibri" w:hAnsi="Times New Roman" w:cs="Times New Roman"/>
          <w:sz w:val="24"/>
          <w:szCs w:val="24"/>
        </w:rPr>
        <w:t>Thoroughly mix the urine specimen.</w:t>
      </w:r>
    </w:p>
    <w:p w:rsidR="00380B12" w:rsidRPr="00380B12" w:rsidRDefault="00380B12" w:rsidP="00380B1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B12">
        <w:rPr>
          <w:rFonts w:ascii="Times New Roman" w:eastAsia="Calibri" w:hAnsi="Times New Roman" w:cs="Times New Roman"/>
          <w:sz w:val="24"/>
          <w:szCs w:val="24"/>
        </w:rPr>
        <w:t xml:space="preserve">Pipette a 5 </w:t>
      </w:r>
      <w:proofErr w:type="spellStart"/>
      <w:r w:rsidRPr="00380B12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380B12">
        <w:rPr>
          <w:rFonts w:ascii="Times New Roman" w:eastAsia="Calibri" w:hAnsi="Times New Roman" w:cs="Times New Roman"/>
          <w:sz w:val="24"/>
          <w:szCs w:val="24"/>
        </w:rPr>
        <w:t xml:space="preserve"> aliquot of urine into a separate test tube.</w:t>
      </w:r>
    </w:p>
    <w:p w:rsidR="00380B12" w:rsidRPr="00380B12" w:rsidRDefault="00380B12" w:rsidP="00380B1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Dropwise</w:t>
      </w:r>
      <w:proofErr w:type="spellEnd"/>
      <w:r>
        <w:rPr>
          <w:rFonts w:ascii="Times New Roman" w:hAnsi="Times New Roman" w:cs="Times New Roman"/>
          <w:sz w:val="24"/>
          <w:szCs w:val="24"/>
        </w:rPr>
        <w:t>, add 1 N K</w:t>
      </w:r>
      <w:r w:rsidRPr="00380B12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380B12">
        <w:rPr>
          <w:rFonts w:ascii="Times New Roman" w:eastAsia="Calibri" w:hAnsi="Times New Roman" w:cs="Times New Roman"/>
          <w:sz w:val="24"/>
          <w:szCs w:val="24"/>
        </w:rPr>
        <w:t xml:space="preserve"> mixing thoroughly after the addition of each drop.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0B12">
        <w:rPr>
          <w:rFonts w:ascii="Times New Roman" w:eastAsia="Calibri" w:hAnsi="Times New Roman" w:cs="Times New Roman"/>
          <w:sz w:val="24"/>
          <w:szCs w:val="24"/>
        </w:rPr>
        <w:t>Check the pH frequently to obtain a pH between 8.5 and 10.0.</w:t>
      </w:r>
    </w:p>
    <w:p w:rsidR="00B156D6" w:rsidRPr="005A3389" w:rsidRDefault="00B156D6" w:rsidP="005A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6D6" w:rsidRPr="005A3389" w:rsidSect="003359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B6" w:rsidRDefault="004E11B6" w:rsidP="004E11B6">
      <w:pPr>
        <w:spacing w:after="0" w:line="240" w:lineRule="auto"/>
      </w:pPr>
      <w:r>
        <w:separator/>
      </w:r>
    </w:p>
  </w:endnote>
  <w:endnote w:type="continuationSeparator" w:id="0">
    <w:p w:rsidR="004E11B6" w:rsidRDefault="004E11B6" w:rsidP="004E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443092"/>
      <w:docPartObj>
        <w:docPartGallery w:val="Page Numbers (Bottom of Page)"/>
        <w:docPartUnique/>
      </w:docPartObj>
    </w:sdtPr>
    <w:sdtContent>
      <w:p w:rsidR="004E11B6" w:rsidRDefault="004E11B6">
        <w:pPr>
          <w:pStyle w:val="Foo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E11B6" w:rsidRDefault="004E11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B6" w:rsidRDefault="004E11B6" w:rsidP="004E11B6">
      <w:pPr>
        <w:spacing w:after="0" w:line="240" w:lineRule="auto"/>
      </w:pPr>
      <w:r>
        <w:separator/>
      </w:r>
    </w:p>
  </w:footnote>
  <w:footnote w:type="continuationSeparator" w:id="0">
    <w:p w:rsidR="004E11B6" w:rsidRDefault="004E11B6" w:rsidP="004E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274"/>
        </w:tabs>
        <w:ind w:left="274" w:firstLine="108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1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</w:abstractNum>
  <w:abstractNum w:abstractNumId="1">
    <w:nsid w:val="08F1456B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274"/>
        </w:tabs>
        <w:ind w:left="274" w:firstLine="108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1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</w:abstractNum>
  <w:abstractNum w:abstractNumId="2">
    <w:nsid w:val="30F021E4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274"/>
        </w:tabs>
        <w:ind w:left="274" w:firstLine="108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1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ascii="Arial" w:eastAsia="ヒラギノ角ゴ Pro W3" w:hAnsi="Arial" w:hint="default"/>
        <w:color w:val="000000"/>
        <w:position w:val="0"/>
        <w:sz w:val="16"/>
      </w:rPr>
    </w:lvl>
  </w:abstractNum>
  <w:abstractNum w:abstractNumId="3">
    <w:nsid w:val="460A375E"/>
    <w:multiLevelType w:val="singleLevel"/>
    <w:tmpl w:val="9BF6B6B2"/>
    <w:lvl w:ilvl="0">
      <w:start w:val="1"/>
      <w:numFmt w:val="decimal"/>
      <w:lvlText w:val="%1."/>
      <w:lvlJc w:val="left"/>
      <w:rPr>
        <w:rFonts w:ascii="Arial" w:hAnsi="Arial"/>
        <w:color w:val="000000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276"/>
    <w:rsid w:val="00044AD0"/>
    <w:rsid w:val="000D1AD6"/>
    <w:rsid w:val="002B7220"/>
    <w:rsid w:val="0033256D"/>
    <w:rsid w:val="003359B1"/>
    <w:rsid w:val="00380B12"/>
    <w:rsid w:val="004210AF"/>
    <w:rsid w:val="004E11B6"/>
    <w:rsid w:val="005A3389"/>
    <w:rsid w:val="00685984"/>
    <w:rsid w:val="007009F1"/>
    <w:rsid w:val="00770DFE"/>
    <w:rsid w:val="00896C40"/>
    <w:rsid w:val="00AD2494"/>
    <w:rsid w:val="00B156D6"/>
    <w:rsid w:val="00BC33EC"/>
    <w:rsid w:val="00C82276"/>
    <w:rsid w:val="00E05EFF"/>
    <w:rsid w:val="00EC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1B6"/>
  </w:style>
  <w:style w:type="paragraph" w:styleId="Footer">
    <w:name w:val="footer"/>
    <w:basedOn w:val="Normal"/>
    <w:link w:val="FooterChar"/>
    <w:uiPriority w:val="99"/>
    <w:unhideWhenUsed/>
    <w:rsid w:val="004E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Crawford</dc:creator>
  <cp:lastModifiedBy>Jan Crawford</cp:lastModifiedBy>
  <cp:revision>3</cp:revision>
  <cp:lastPrinted>2017-07-30T14:06:00Z</cp:lastPrinted>
  <dcterms:created xsi:type="dcterms:W3CDTF">2017-07-30T14:06:00Z</dcterms:created>
  <dcterms:modified xsi:type="dcterms:W3CDTF">2017-07-30T14:11:00Z</dcterms:modified>
</cp:coreProperties>
</file>