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69" w:rsidRDefault="00806D69">
      <w:pPr>
        <w:pStyle w:val="Heading1"/>
      </w:pPr>
    </w:p>
    <w:p w:rsidR="00806D69" w:rsidRDefault="00806D69">
      <w:pPr>
        <w:jc w:val="both"/>
        <w:rPr>
          <w:b/>
          <w:sz w:val="24"/>
        </w:rPr>
      </w:pPr>
    </w:p>
    <w:p w:rsidR="00806D69" w:rsidRDefault="00700C1E">
      <w:pPr>
        <w:pStyle w:val="Heading2"/>
        <w:rPr>
          <w:rFonts w:ascii="Times New Roman" w:hAnsi="Times New Roman"/>
          <w:b w:val="0"/>
          <w:i w:val="0"/>
        </w:rPr>
      </w:pPr>
      <w:r>
        <w:rPr>
          <w:rFonts w:ascii="Times New Roman" w:hAnsi="Times New Roman"/>
          <w:i w:val="0"/>
        </w:rPr>
        <w:t xml:space="preserve">TITLE:   </w:t>
      </w:r>
      <w:r w:rsidR="0075149F">
        <w:rPr>
          <w:rFonts w:ascii="Times New Roman" w:hAnsi="Times New Roman"/>
          <w:i w:val="0"/>
        </w:rPr>
        <w:t>Positive</w:t>
      </w:r>
      <w:r>
        <w:rPr>
          <w:rFonts w:ascii="Times New Roman" w:hAnsi="Times New Roman"/>
          <w:i w:val="0"/>
        </w:rPr>
        <w:t xml:space="preserve"> Antibody Workup</w:t>
      </w:r>
    </w:p>
    <w:p w:rsidR="00806D69" w:rsidRPr="00264DEE" w:rsidRDefault="00700C1E">
      <w:pPr>
        <w:pStyle w:val="Heading2"/>
        <w:rPr>
          <w:rFonts w:ascii="Times New Roman" w:hAnsi="Times New Roman"/>
          <w:i w:val="0"/>
          <w:sz w:val="28"/>
          <w:szCs w:val="28"/>
        </w:rPr>
      </w:pPr>
      <w:r w:rsidRPr="00264DEE">
        <w:rPr>
          <w:rFonts w:ascii="Times New Roman" w:hAnsi="Times New Roman"/>
          <w:i w:val="0"/>
          <w:sz w:val="28"/>
          <w:szCs w:val="28"/>
        </w:rPr>
        <w:t>PRINCIPLE:</w:t>
      </w:r>
    </w:p>
    <w:p w:rsidR="00700C1E" w:rsidRDefault="00700C1E" w:rsidP="00700C1E">
      <w:pPr>
        <w:rPr>
          <w:sz w:val="24"/>
        </w:rPr>
      </w:pPr>
      <w:r>
        <w:rPr>
          <w:sz w:val="24"/>
        </w:rPr>
        <w:t>In vitro antibody identification tests are employed to identify the specificity of these antibodies in patient or donor samples in order to prepare or select donor units for transfusion.  Antibody identification can also aid in the diagnosis and treatment of hemolytic disease of the newborn or autoimmune hemolytic anemia.</w:t>
      </w:r>
    </w:p>
    <w:p w:rsidR="00806D69" w:rsidRDefault="00806D69">
      <w:pPr>
        <w:rPr>
          <w:sz w:val="24"/>
        </w:rPr>
      </w:pPr>
    </w:p>
    <w:p w:rsidR="00806D69" w:rsidRPr="00264DEE" w:rsidRDefault="00700C1E">
      <w:pPr>
        <w:rPr>
          <w:b/>
          <w:sz w:val="28"/>
          <w:szCs w:val="28"/>
        </w:rPr>
      </w:pPr>
      <w:r w:rsidRPr="00264DEE">
        <w:rPr>
          <w:b/>
          <w:sz w:val="28"/>
          <w:szCs w:val="28"/>
        </w:rPr>
        <w:t>CLINCIAL SIGNIFICANCE:</w:t>
      </w:r>
    </w:p>
    <w:p w:rsidR="00806D69" w:rsidRDefault="00700C1E">
      <w:pPr>
        <w:rPr>
          <w:sz w:val="24"/>
        </w:rPr>
      </w:pPr>
      <w:r>
        <w:rPr>
          <w:sz w:val="24"/>
        </w:rPr>
        <w:t xml:space="preserve">Unexpected antibodies are found most frequently in samples </w:t>
      </w:r>
      <w:r w:rsidR="0075149F">
        <w:rPr>
          <w:sz w:val="24"/>
        </w:rPr>
        <w:t>from</w:t>
      </w:r>
      <w:r>
        <w:rPr>
          <w:sz w:val="24"/>
        </w:rPr>
        <w:t xml:space="preserve"> patients who were exposed to foreign red cell antigens through transfusion or pregnancy (approximately 1% of all patient samples).  Less frequently, red cell antibodies are found in samples from blood donors.  Some red cell antibodies are of clinical importance since they may cause decreased red cell survival as the result of hemolytic transfusion reactions, hemolytic disease of the newborn or autoimmune hemolytic anemia.  </w:t>
      </w:r>
    </w:p>
    <w:p w:rsidR="00700C1E" w:rsidRDefault="00700C1E">
      <w:pPr>
        <w:rPr>
          <w:sz w:val="24"/>
        </w:rPr>
      </w:pPr>
    </w:p>
    <w:p w:rsidR="00806D69" w:rsidRPr="00264DEE" w:rsidRDefault="00700C1E">
      <w:pPr>
        <w:pStyle w:val="Heading3"/>
        <w:spacing w:before="0" w:after="0"/>
        <w:rPr>
          <w:sz w:val="28"/>
          <w:szCs w:val="28"/>
        </w:rPr>
      </w:pPr>
      <w:r w:rsidRPr="00264DEE">
        <w:rPr>
          <w:sz w:val="28"/>
          <w:szCs w:val="28"/>
        </w:rPr>
        <w:t>PERSONNEL:</w:t>
      </w:r>
    </w:p>
    <w:p w:rsidR="00806D69" w:rsidRDefault="00700C1E">
      <w:pPr>
        <w:rPr>
          <w:sz w:val="24"/>
        </w:rPr>
      </w:pPr>
      <w:r>
        <w:rPr>
          <w:sz w:val="24"/>
        </w:rPr>
        <w:t>Medical Technologists</w:t>
      </w:r>
    </w:p>
    <w:p w:rsidR="00806D69" w:rsidRDefault="00806D69">
      <w:pPr>
        <w:jc w:val="center"/>
        <w:rPr>
          <w:b/>
          <w:sz w:val="24"/>
          <w:u w:val="single"/>
        </w:rPr>
      </w:pPr>
    </w:p>
    <w:p w:rsidR="00806D69" w:rsidRPr="00264DEE" w:rsidRDefault="00700C1E">
      <w:pPr>
        <w:rPr>
          <w:b/>
          <w:sz w:val="28"/>
          <w:szCs w:val="28"/>
        </w:rPr>
      </w:pPr>
      <w:r w:rsidRPr="00264DEE">
        <w:rPr>
          <w:b/>
          <w:sz w:val="28"/>
          <w:szCs w:val="28"/>
        </w:rPr>
        <w:t>SPECIMEN:</w:t>
      </w:r>
    </w:p>
    <w:p w:rsidR="00806D69" w:rsidRDefault="00F71DFF">
      <w:pPr>
        <w:rPr>
          <w:sz w:val="24"/>
        </w:rPr>
      </w:pPr>
      <w:r>
        <w:rPr>
          <w:sz w:val="24"/>
        </w:rPr>
        <w:t>No special</w:t>
      </w:r>
      <w:r w:rsidR="00700C1E">
        <w:rPr>
          <w:sz w:val="24"/>
        </w:rPr>
        <w:t xml:space="preserve"> preparation of the patient is required prior to specimen collection. Collect 2 10ml red top tubes and two 7ml pink top tubes</w:t>
      </w:r>
      <w:r>
        <w:rPr>
          <w:sz w:val="24"/>
        </w:rPr>
        <w:t xml:space="preserve"> (if indicated)</w:t>
      </w:r>
      <w:r w:rsidR="00700C1E">
        <w:rPr>
          <w:sz w:val="24"/>
        </w:rPr>
        <w:t xml:space="preserve"> in addition to the tube that was collected for crossmatch.   The blood sample should be tested as soon as possible after collection.  If delay occurs, store sample at 2 C to 8 C. Sample can only be used for 3 days from collection time.</w:t>
      </w:r>
    </w:p>
    <w:p w:rsidR="00806D69" w:rsidRDefault="00806D69">
      <w:pPr>
        <w:rPr>
          <w:sz w:val="24"/>
        </w:rPr>
      </w:pPr>
    </w:p>
    <w:p w:rsidR="00806D69" w:rsidRPr="00264DEE" w:rsidRDefault="00700C1E">
      <w:pPr>
        <w:rPr>
          <w:b/>
          <w:sz w:val="28"/>
          <w:szCs w:val="28"/>
        </w:rPr>
      </w:pPr>
      <w:r w:rsidRPr="00264DEE">
        <w:rPr>
          <w:b/>
          <w:sz w:val="28"/>
          <w:szCs w:val="28"/>
        </w:rPr>
        <w:t>REAGENT PREPARATION AND EQUIPMENT:</w:t>
      </w:r>
    </w:p>
    <w:p w:rsidR="00806D69" w:rsidRDefault="00806D69">
      <w:pPr>
        <w:rPr>
          <w:sz w:val="24"/>
        </w:rPr>
      </w:pPr>
    </w:p>
    <w:p w:rsidR="00806D69" w:rsidRDefault="00700C1E" w:rsidP="00264DEE">
      <w:pPr>
        <w:pStyle w:val="ListParagraph"/>
        <w:numPr>
          <w:ilvl w:val="0"/>
          <w:numId w:val="12"/>
        </w:numPr>
        <w:rPr>
          <w:sz w:val="24"/>
        </w:rPr>
      </w:pPr>
      <w:r w:rsidRPr="00264DEE">
        <w:rPr>
          <w:sz w:val="24"/>
        </w:rPr>
        <w:t>Echo instrument and supplies</w:t>
      </w:r>
    </w:p>
    <w:p w:rsidR="00264DEE" w:rsidRPr="00264DEE" w:rsidRDefault="00264DEE" w:rsidP="00264DEE">
      <w:pPr>
        <w:pStyle w:val="ListParagraph"/>
        <w:numPr>
          <w:ilvl w:val="0"/>
          <w:numId w:val="12"/>
        </w:numPr>
        <w:rPr>
          <w:sz w:val="24"/>
        </w:rPr>
      </w:pPr>
      <w:r>
        <w:rPr>
          <w:sz w:val="24"/>
        </w:rPr>
        <w:t>Rush Copley Antibody Identification Front Sheet</w:t>
      </w:r>
    </w:p>
    <w:p w:rsidR="00264DEE" w:rsidRPr="00264DEE" w:rsidRDefault="00264DEE" w:rsidP="00264DEE">
      <w:pPr>
        <w:pStyle w:val="ListParagraph"/>
        <w:numPr>
          <w:ilvl w:val="0"/>
          <w:numId w:val="12"/>
        </w:numPr>
        <w:rPr>
          <w:sz w:val="24"/>
        </w:rPr>
      </w:pPr>
      <w:r>
        <w:rPr>
          <w:sz w:val="24"/>
        </w:rPr>
        <w:t>Heartland Blood Center Immunology Form (if indicated)</w:t>
      </w:r>
    </w:p>
    <w:p w:rsidR="00700C1E" w:rsidRPr="00700C1E" w:rsidRDefault="00700C1E" w:rsidP="00700C1E">
      <w:pPr>
        <w:rPr>
          <w:sz w:val="24"/>
        </w:rPr>
      </w:pPr>
    </w:p>
    <w:p w:rsidR="00806D69" w:rsidRPr="00264DEE" w:rsidRDefault="00700C1E">
      <w:pPr>
        <w:rPr>
          <w:b/>
          <w:sz w:val="28"/>
          <w:szCs w:val="28"/>
        </w:rPr>
      </w:pPr>
      <w:r w:rsidRPr="00264DEE">
        <w:rPr>
          <w:b/>
          <w:sz w:val="28"/>
          <w:szCs w:val="28"/>
        </w:rPr>
        <w:t>CALIBRATION</w:t>
      </w:r>
    </w:p>
    <w:p w:rsidR="00806D69" w:rsidRDefault="00700C1E">
      <w:pPr>
        <w:rPr>
          <w:sz w:val="24"/>
        </w:rPr>
      </w:pPr>
      <w:r>
        <w:rPr>
          <w:sz w:val="24"/>
        </w:rPr>
        <w:t>None necessary</w:t>
      </w:r>
    </w:p>
    <w:p w:rsidR="00806D69" w:rsidRDefault="00806D69">
      <w:pPr>
        <w:rPr>
          <w:b/>
          <w:sz w:val="24"/>
        </w:rPr>
      </w:pPr>
    </w:p>
    <w:p w:rsidR="00806D69" w:rsidRPr="00264DEE" w:rsidRDefault="00700C1E">
      <w:pPr>
        <w:pStyle w:val="Heading3"/>
        <w:spacing w:before="0" w:after="0"/>
        <w:rPr>
          <w:sz w:val="28"/>
          <w:szCs w:val="28"/>
        </w:rPr>
      </w:pPr>
      <w:r w:rsidRPr="00264DEE">
        <w:rPr>
          <w:sz w:val="28"/>
          <w:szCs w:val="28"/>
        </w:rPr>
        <w:t>QUALITY CONTROL</w:t>
      </w:r>
    </w:p>
    <w:p w:rsidR="00540AFB" w:rsidRDefault="00540AFB" w:rsidP="00540AFB">
      <w:pPr>
        <w:rPr>
          <w:sz w:val="24"/>
        </w:rPr>
      </w:pPr>
      <w:r>
        <w:rPr>
          <w:sz w:val="24"/>
        </w:rPr>
        <w:t>WB corQC is run daily to evaluate the performance of Anti-A, Anti-B, Anti-D and the corresponding Rh control material, serum (reverse) grouping red blood cells, red blood cell antibody screening reagents; and Rh and Kell blood grouping reagents by automated me</w:t>
      </w:r>
      <w:r w:rsidR="0075149F">
        <w:rPr>
          <w:sz w:val="24"/>
        </w:rPr>
        <w:t xml:space="preserve">thods.  WB </w:t>
      </w:r>
      <w:proofErr w:type="spellStart"/>
      <w:r w:rsidR="0075149F">
        <w:rPr>
          <w:sz w:val="24"/>
        </w:rPr>
        <w:t>cor</w:t>
      </w:r>
      <w:r>
        <w:rPr>
          <w:sz w:val="24"/>
        </w:rPr>
        <w:t>QC</w:t>
      </w:r>
      <w:proofErr w:type="spellEnd"/>
      <w:r>
        <w:rPr>
          <w:sz w:val="24"/>
        </w:rPr>
        <w:t xml:space="preserve"> should produce visible reactions with reagents where positive results are expected, and negative results where no reaction is expected.  Reasons for false negative reaction with </w:t>
      </w:r>
      <w:r>
        <w:rPr>
          <w:sz w:val="24"/>
        </w:rPr>
        <w:lastRenderedPageBreak/>
        <w:t>reagents where positive results are expected include reagent deterioration or suboptimal performance of test equipment.  Reasons for false positive reactions with reagents where negative results are expected include reagent contamination or suboptimal performance of test equipment.</w:t>
      </w:r>
    </w:p>
    <w:p w:rsidR="00540AFB" w:rsidRDefault="00540AFB" w:rsidP="00540AFB">
      <w:pPr>
        <w:pStyle w:val="Number"/>
        <w:spacing w:before="0" w:after="0"/>
        <w:rPr>
          <w:rFonts w:ascii="Times New Roman" w:hAnsi="Times New Roman"/>
          <w:sz w:val="24"/>
          <w:szCs w:val="20"/>
        </w:rPr>
      </w:pPr>
    </w:p>
    <w:p w:rsidR="00806D69" w:rsidRDefault="00806D69" w:rsidP="00540AFB">
      <w:pPr>
        <w:rPr>
          <w:sz w:val="24"/>
        </w:rPr>
      </w:pPr>
    </w:p>
    <w:p w:rsidR="00806D69" w:rsidRDefault="00806D69">
      <w:pPr>
        <w:jc w:val="center"/>
        <w:rPr>
          <w:b/>
          <w:sz w:val="24"/>
          <w:u w:val="single"/>
        </w:rPr>
      </w:pPr>
    </w:p>
    <w:p w:rsidR="00806D69" w:rsidRPr="00264DEE" w:rsidRDefault="00700C1E">
      <w:pPr>
        <w:rPr>
          <w:b/>
          <w:sz w:val="28"/>
          <w:szCs w:val="28"/>
          <w:u w:val="single"/>
        </w:rPr>
      </w:pPr>
      <w:r w:rsidRPr="00264DEE">
        <w:rPr>
          <w:b/>
          <w:sz w:val="28"/>
          <w:szCs w:val="28"/>
        </w:rPr>
        <w:t>STEPWISE PROCEDURE:</w:t>
      </w:r>
    </w:p>
    <w:p w:rsidR="00264DEE" w:rsidRDefault="00264DEE" w:rsidP="000F323C">
      <w:pPr>
        <w:pStyle w:val="Number"/>
        <w:spacing w:before="0" w:after="0"/>
        <w:rPr>
          <w:rFonts w:ascii="Times New Roman" w:hAnsi="Times New Roman"/>
          <w:b/>
          <w:sz w:val="28"/>
          <w:szCs w:val="28"/>
        </w:rPr>
      </w:pPr>
      <w:r w:rsidRPr="00264DEE">
        <w:rPr>
          <w:rFonts w:ascii="Times New Roman" w:hAnsi="Times New Roman"/>
          <w:b/>
          <w:sz w:val="28"/>
          <w:szCs w:val="28"/>
        </w:rPr>
        <w:t>Preanalytical Considerations</w:t>
      </w:r>
      <w:r>
        <w:rPr>
          <w:rFonts w:ascii="Times New Roman" w:hAnsi="Times New Roman"/>
          <w:b/>
          <w:sz w:val="28"/>
          <w:szCs w:val="28"/>
        </w:rPr>
        <w:t>:</w:t>
      </w:r>
    </w:p>
    <w:p w:rsidR="00264DEE" w:rsidRPr="00F71DFF" w:rsidRDefault="00264DEE" w:rsidP="00264DEE">
      <w:pPr>
        <w:pStyle w:val="Number"/>
        <w:numPr>
          <w:ilvl w:val="0"/>
          <w:numId w:val="13"/>
        </w:numPr>
        <w:spacing w:before="0" w:after="0"/>
        <w:rPr>
          <w:rFonts w:ascii="Times New Roman" w:hAnsi="Times New Roman"/>
          <w:b/>
          <w:sz w:val="24"/>
          <w:highlight w:val="yellow"/>
        </w:rPr>
      </w:pPr>
      <w:r w:rsidRPr="00F71DFF">
        <w:rPr>
          <w:rFonts w:ascii="Times New Roman" w:hAnsi="Times New Roman"/>
          <w:sz w:val="24"/>
          <w:highlight w:val="yellow"/>
        </w:rPr>
        <w:t>Consider patient’s medical history</w:t>
      </w:r>
    </w:p>
    <w:p w:rsidR="00264DEE" w:rsidRPr="00F71DFF" w:rsidRDefault="00264DEE" w:rsidP="00264DEE">
      <w:pPr>
        <w:pStyle w:val="Number"/>
        <w:numPr>
          <w:ilvl w:val="0"/>
          <w:numId w:val="14"/>
        </w:numPr>
        <w:spacing w:before="0" w:after="0"/>
        <w:rPr>
          <w:rFonts w:ascii="Times New Roman" w:hAnsi="Times New Roman"/>
          <w:b/>
          <w:sz w:val="24"/>
          <w:highlight w:val="yellow"/>
        </w:rPr>
      </w:pPr>
      <w:r w:rsidRPr="00F71DFF">
        <w:rPr>
          <w:rFonts w:ascii="Times New Roman" w:hAnsi="Times New Roman"/>
          <w:sz w:val="24"/>
          <w:highlight w:val="yellow"/>
        </w:rPr>
        <w:t>Have they ever been transfused?  Where and When. Most Recent</w:t>
      </w:r>
      <w:r w:rsidR="00F71DFF" w:rsidRPr="00F71DFF">
        <w:rPr>
          <w:rFonts w:ascii="Times New Roman" w:hAnsi="Times New Roman"/>
          <w:sz w:val="24"/>
          <w:highlight w:val="yellow"/>
        </w:rPr>
        <w:t>. Indicate this on the workup form.</w:t>
      </w:r>
    </w:p>
    <w:p w:rsidR="00F71DFF" w:rsidRPr="00F71DFF" w:rsidRDefault="00264DEE" w:rsidP="00264DEE">
      <w:pPr>
        <w:pStyle w:val="Number"/>
        <w:numPr>
          <w:ilvl w:val="0"/>
          <w:numId w:val="14"/>
        </w:numPr>
        <w:spacing w:before="0" w:after="0"/>
        <w:rPr>
          <w:rFonts w:ascii="Times New Roman" w:hAnsi="Times New Roman"/>
          <w:b/>
          <w:sz w:val="24"/>
          <w:highlight w:val="yellow"/>
        </w:rPr>
      </w:pPr>
      <w:r w:rsidRPr="00F71DFF">
        <w:rPr>
          <w:rFonts w:ascii="Times New Roman" w:hAnsi="Times New Roman"/>
          <w:sz w:val="24"/>
          <w:highlight w:val="yellow"/>
        </w:rPr>
        <w:t xml:space="preserve">(Females) </w:t>
      </w:r>
      <w:r w:rsidRPr="00F71DFF">
        <w:rPr>
          <w:rFonts w:ascii="Times New Roman" w:hAnsi="Times New Roman"/>
          <w:sz w:val="24"/>
          <w:highlight w:val="yellow"/>
        </w:rPr>
        <w:tab/>
        <w:t>Pregnancies? How many. Live births</w:t>
      </w:r>
      <w:r w:rsidR="00F71DFF" w:rsidRPr="00F71DFF">
        <w:rPr>
          <w:rFonts w:ascii="Times New Roman" w:hAnsi="Times New Roman"/>
          <w:sz w:val="24"/>
          <w:highlight w:val="yellow"/>
        </w:rPr>
        <w:t>.  Indicated this information on the workup form.</w:t>
      </w:r>
    </w:p>
    <w:p w:rsidR="000F323C" w:rsidRPr="00F71DFF" w:rsidRDefault="00F71DFF" w:rsidP="00264DEE">
      <w:pPr>
        <w:pStyle w:val="Number"/>
        <w:numPr>
          <w:ilvl w:val="0"/>
          <w:numId w:val="14"/>
        </w:numPr>
        <w:spacing w:before="0" w:after="0"/>
        <w:rPr>
          <w:rFonts w:ascii="Times New Roman" w:hAnsi="Times New Roman"/>
          <w:b/>
          <w:sz w:val="24"/>
        </w:rPr>
      </w:pPr>
      <w:r w:rsidRPr="00F71DFF">
        <w:rPr>
          <w:rFonts w:ascii="Times New Roman" w:hAnsi="Times New Roman"/>
          <w:sz w:val="24"/>
          <w:highlight w:val="yellow"/>
        </w:rPr>
        <w:t>Patient history can be vital in antibody identification. Requesting the above information can also lead you to historical antibodies patients may have acquired at other hospitals.</w:t>
      </w:r>
      <w:r w:rsidR="00264DEE" w:rsidRPr="00F71DFF">
        <w:rPr>
          <w:rFonts w:ascii="Times New Roman" w:hAnsi="Times New Roman"/>
          <w:b/>
          <w:sz w:val="24"/>
        </w:rPr>
        <w:tab/>
      </w:r>
    </w:p>
    <w:p w:rsidR="000F323C" w:rsidRPr="00F71DFF" w:rsidRDefault="000F323C" w:rsidP="000F323C">
      <w:pPr>
        <w:pStyle w:val="Number"/>
        <w:spacing w:before="0" w:after="0"/>
        <w:rPr>
          <w:rFonts w:ascii="Times New Roman" w:hAnsi="Times New Roman"/>
          <w:sz w:val="24"/>
        </w:rPr>
      </w:pPr>
    </w:p>
    <w:p w:rsidR="000F323C" w:rsidRPr="00F71DFF" w:rsidRDefault="000F323C" w:rsidP="000F323C">
      <w:pPr>
        <w:pStyle w:val="Number"/>
        <w:spacing w:before="0" w:after="0"/>
        <w:rPr>
          <w:rFonts w:ascii="Times New Roman" w:hAnsi="Times New Roman"/>
          <w:sz w:val="24"/>
        </w:rPr>
      </w:pPr>
      <w:r w:rsidRPr="00F71DFF">
        <w:rPr>
          <w:rFonts w:ascii="Times New Roman" w:hAnsi="Times New Roman"/>
          <w:sz w:val="24"/>
        </w:rPr>
        <w:t xml:space="preserve"> </w:t>
      </w:r>
    </w:p>
    <w:p w:rsidR="00806D69" w:rsidRPr="00F71DFF" w:rsidRDefault="000F323C" w:rsidP="000F323C">
      <w:pPr>
        <w:pStyle w:val="Number"/>
        <w:spacing w:before="0" w:after="0"/>
        <w:rPr>
          <w:rFonts w:ascii="Times New Roman" w:hAnsi="Times New Roman"/>
          <w:sz w:val="24"/>
        </w:rPr>
      </w:pPr>
      <w:r w:rsidRPr="00F71DFF">
        <w:rPr>
          <w:rFonts w:ascii="Times New Roman" w:hAnsi="Times New Roman"/>
          <w:sz w:val="24"/>
        </w:rPr>
        <w:t xml:space="preserve">      Run panel of your choice</w:t>
      </w:r>
    </w:p>
    <w:p w:rsidR="000F323C" w:rsidRPr="00F71DFF" w:rsidRDefault="000F323C" w:rsidP="00476740">
      <w:pPr>
        <w:pStyle w:val="ListParagraph"/>
        <w:numPr>
          <w:ilvl w:val="0"/>
          <w:numId w:val="11"/>
        </w:numPr>
        <w:rPr>
          <w:sz w:val="24"/>
          <w:szCs w:val="24"/>
        </w:rPr>
      </w:pPr>
      <w:r w:rsidRPr="00F71DFF">
        <w:rPr>
          <w:sz w:val="24"/>
          <w:szCs w:val="24"/>
        </w:rPr>
        <w:t>Access the blood sample results at the completion of the Galileo Echo assay.</w:t>
      </w:r>
    </w:p>
    <w:p w:rsidR="000F323C" w:rsidRPr="00F71DFF" w:rsidRDefault="000F323C" w:rsidP="000F323C">
      <w:pPr>
        <w:pStyle w:val="Number"/>
        <w:numPr>
          <w:ilvl w:val="0"/>
          <w:numId w:val="11"/>
        </w:numPr>
        <w:spacing w:before="0" w:after="0"/>
        <w:rPr>
          <w:rFonts w:ascii="Times New Roman" w:hAnsi="Times New Roman"/>
          <w:sz w:val="24"/>
        </w:rPr>
      </w:pPr>
      <w:r w:rsidRPr="00F71DFF">
        <w:rPr>
          <w:rFonts w:ascii="Times New Roman" w:hAnsi="Times New Roman"/>
          <w:sz w:val="24"/>
        </w:rPr>
        <w:t xml:space="preserve">Cross-reference this data with the lot-specific Capture-R® Ready-ID, EXTEND I or </w:t>
      </w:r>
    </w:p>
    <w:p w:rsidR="000F323C" w:rsidRPr="00F71DFF" w:rsidRDefault="000F323C" w:rsidP="00264DEE">
      <w:pPr>
        <w:pStyle w:val="Number"/>
        <w:spacing w:before="0" w:after="0"/>
        <w:ind w:left="360"/>
        <w:rPr>
          <w:rFonts w:ascii="Times New Roman" w:hAnsi="Times New Roman"/>
          <w:sz w:val="24"/>
        </w:rPr>
      </w:pPr>
      <w:r w:rsidRPr="00F71DFF">
        <w:rPr>
          <w:rFonts w:ascii="Times New Roman" w:hAnsi="Times New Roman"/>
          <w:sz w:val="24"/>
        </w:rPr>
        <w:t xml:space="preserve">       EXTEND </w:t>
      </w:r>
      <w:r w:rsidR="0075149F" w:rsidRPr="00F71DFF">
        <w:rPr>
          <w:rFonts w:ascii="Times New Roman" w:hAnsi="Times New Roman"/>
          <w:sz w:val="24"/>
        </w:rPr>
        <w:t>II Master</w:t>
      </w:r>
      <w:r w:rsidRPr="00F71DFF">
        <w:rPr>
          <w:rFonts w:ascii="Times New Roman" w:hAnsi="Times New Roman"/>
          <w:sz w:val="24"/>
        </w:rPr>
        <w:t xml:space="preserve"> List to determine the antibody identification (if any exist)</w:t>
      </w:r>
    </w:p>
    <w:p w:rsidR="00476740" w:rsidRPr="00F71DFF" w:rsidRDefault="0075149F" w:rsidP="00476740">
      <w:pPr>
        <w:pStyle w:val="ListParagraph"/>
        <w:numPr>
          <w:ilvl w:val="0"/>
          <w:numId w:val="11"/>
        </w:numPr>
        <w:rPr>
          <w:sz w:val="24"/>
          <w:szCs w:val="24"/>
        </w:rPr>
      </w:pPr>
      <w:r w:rsidRPr="00F71DFF">
        <w:rPr>
          <w:sz w:val="24"/>
          <w:szCs w:val="24"/>
        </w:rPr>
        <w:t>Interpret</w:t>
      </w:r>
      <w:r w:rsidR="00476740" w:rsidRPr="00F71DFF">
        <w:rPr>
          <w:sz w:val="24"/>
          <w:szCs w:val="24"/>
        </w:rPr>
        <w:t xml:space="preserve"> panel</w:t>
      </w:r>
    </w:p>
    <w:p w:rsidR="00476740" w:rsidRPr="00F71DFF" w:rsidRDefault="00476740" w:rsidP="00476740">
      <w:pPr>
        <w:pStyle w:val="ListParagraph"/>
        <w:numPr>
          <w:ilvl w:val="0"/>
          <w:numId w:val="11"/>
        </w:numPr>
        <w:rPr>
          <w:sz w:val="24"/>
          <w:szCs w:val="24"/>
        </w:rPr>
      </w:pPr>
      <w:r w:rsidRPr="00F71DFF">
        <w:rPr>
          <w:sz w:val="24"/>
          <w:szCs w:val="24"/>
        </w:rPr>
        <w:t>Run additional panels, if necessary</w:t>
      </w:r>
    </w:p>
    <w:p w:rsidR="00476740" w:rsidRPr="00F71DFF" w:rsidRDefault="008B05FC" w:rsidP="00476740">
      <w:pPr>
        <w:pStyle w:val="ListParagraph"/>
        <w:numPr>
          <w:ilvl w:val="0"/>
          <w:numId w:val="11"/>
        </w:numPr>
        <w:rPr>
          <w:sz w:val="24"/>
          <w:szCs w:val="24"/>
        </w:rPr>
      </w:pPr>
      <w:r>
        <w:rPr>
          <w:sz w:val="24"/>
          <w:szCs w:val="24"/>
        </w:rPr>
        <w:t xml:space="preserve">Do Poly Coombs and/or </w:t>
      </w:r>
      <w:proofErr w:type="spellStart"/>
      <w:r>
        <w:rPr>
          <w:sz w:val="24"/>
          <w:szCs w:val="24"/>
        </w:rPr>
        <w:t>IgG</w:t>
      </w:r>
      <w:proofErr w:type="spellEnd"/>
      <w:r>
        <w:rPr>
          <w:sz w:val="24"/>
          <w:szCs w:val="24"/>
        </w:rPr>
        <w:t xml:space="preserve"> </w:t>
      </w:r>
      <w:proofErr w:type="spellStart"/>
      <w:r>
        <w:rPr>
          <w:sz w:val="24"/>
          <w:szCs w:val="24"/>
        </w:rPr>
        <w:t>coombs</w:t>
      </w:r>
      <w:proofErr w:type="spellEnd"/>
      <w:r>
        <w:rPr>
          <w:sz w:val="24"/>
          <w:szCs w:val="24"/>
        </w:rPr>
        <w:t xml:space="preserve"> in test tube</w:t>
      </w:r>
      <w:r w:rsidR="00F71DFF">
        <w:rPr>
          <w:sz w:val="24"/>
          <w:szCs w:val="24"/>
        </w:rPr>
        <w:t xml:space="preserve"> (if indicated)</w:t>
      </w:r>
    </w:p>
    <w:p w:rsidR="00476740" w:rsidRPr="00F71DFF" w:rsidRDefault="00476740" w:rsidP="00476740">
      <w:pPr>
        <w:pStyle w:val="ListParagraph"/>
        <w:numPr>
          <w:ilvl w:val="0"/>
          <w:numId w:val="11"/>
        </w:numPr>
        <w:rPr>
          <w:sz w:val="24"/>
          <w:szCs w:val="24"/>
        </w:rPr>
      </w:pPr>
      <w:r w:rsidRPr="00F71DFF">
        <w:rPr>
          <w:sz w:val="24"/>
          <w:szCs w:val="24"/>
        </w:rPr>
        <w:t>Do Rh antigen typing and any additional antigen typing that are necessary</w:t>
      </w:r>
      <w:r w:rsidR="00F71DFF">
        <w:rPr>
          <w:sz w:val="24"/>
          <w:szCs w:val="24"/>
        </w:rPr>
        <w:t>.</w:t>
      </w:r>
    </w:p>
    <w:p w:rsidR="00806D69" w:rsidRPr="00F71DFF" w:rsidRDefault="00806D69">
      <w:pPr>
        <w:rPr>
          <w:sz w:val="24"/>
          <w:szCs w:val="24"/>
        </w:rPr>
      </w:pPr>
    </w:p>
    <w:p w:rsidR="00806D69" w:rsidRPr="00F71DFF" w:rsidRDefault="00806D69">
      <w:pPr>
        <w:rPr>
          <w:sz w:val="24"/>
          <w:szCs w:val="24"/>
        </w:rPr>
      </w:pPr>
    </w:p>
    <w:p w:rsidR="00806D69" w:rsidRDefault="00806D69">
      <w:pPr>
        <w:rPr>
          <w:sz w:val="24"/>
        </w:rPr>
      </w:pPr>
    </w:p>
    <w:p w:rsidR="00806D69" w:rsidRPr="00264DEE" w:rsidRDefault="00700C1E">
      <w:pPr>
        <w:rPr>
          <w:b/>
          <w:sz w:val="28"/>
          <w:szCs w:val="28"/>
        </w:rPr>
      </w:pPr>
      <w:r w:rsidRPr="00264DEE">
        <w:rPr>
          <w:b/>
          <w:sz w:val="28"/>
          <w:szCs w:val="28"/>
        </w:rPr>
        <w:t>CALCULATIONS</w:t>
      </w:r>
    </w:p>
    <w:p w:rsidR="00806D69" w:rsidRDefault="00700C1E">
      <w:pPr>
        <w:rPr>
          <w:sz w:val="24"/>
        </w:rPr>
      </w:pPr>
      <w:r>
        <w:rPr>
          <w:sz w:val="24"/>
        </w:rPr>
        <w:t>None Necessary</w:t>
      </w:r>
    </w:p>
    <w:p w:rsidR="00806D69" w:rsidRDefault="00806D69">
      <w:pPr>
        <w:rPr>
          <w:sz w:val="24"/>
        </w:rPr>
      </w:pPr>
    </w:p>
    <w:p w:rsidR="00806D69" w:rsidRDefault="00852347">
      <w:pPr>
        <w:rPr>
          <w:b/>
          <w:sz w:val="24"/>
        </w:rPr>
      </w:pPr>
      <w:r>
        <w:rPr>
          <w:b/>
          <w:sz w:val="28"/>
          <w:szCs w:val="28"/>
        </w:rPr>
        <w:t>INTERPREATION OF RESULT</w:t>
      </w:r>
      <w:r w:rsidR="00700C1E" w:rsidRPr="00264DEE">
        <w:rPr>
          <w:b/>
          <w:sz w:val="28"/>
          <w:szCs w:val="28"/>
        </w:rPr>
        <w:t>S</w:t>
      </w:r>
      <w:r w:rsidR="00700C1E">
        <w:rPr>
          <w:b/>
          <w:sz w:val="24"/>
        </w:rPr>
        <w:t>:</w:t>
      </w:r>
    </w:p>
    <w:p w:rsidR="00806D69" w:rsidRDefault="00700C1E">
      <w:pPr>
        <w:ind w:left="1440" w:hanging="1440"/>
        <w:rPr>
          <w:sz w:val="24"/>
        </w:rPr>
      </w:pPr>
      <w:r>
        <w:rPr>
          <w:sz w:val="24"/>
        </w:rPr>
        <w:t>Positive Test:</w:t>
      </w:r>
      <w:r>
        <w:rPr>
          <w:sz w:val="24"/>
        </w:rPr>
        <w:tab/>
        <w:t>Aggl</w:t>
      </w:r>
      <w:r w:rsidR="00F71DFF">
        <w:rPr>
          <w:sz w:val="24"/>
        </w:rPr>
        <w:t>utination of any of the Panel</w:t>
      </w:r>
      <w:r>
        <w:rPr>
          <w:sz w:val="24"/>
        </w:rPr>
        <w:t xml:space="preserve"> cells</w:t>
      </w:r>
      <w:r w:rsidR="00F71DFF">
        <w:rPr>
          <w:sz w:val="24"/>
        </w:rPr>
        <w:t>.</w:t>
      </w:r>
      <w:r>
        <w:rPr>
          <w:sz w:val="24"/>
        </w:rPr>
        <w:t xml:space="preserve"> </w:t>
      </w:r>
    </w:p>
    <w:p w:rsidR="00806D69" w:rsidRDefault="00700C1E">
      <w:pPr>
        <w:rPr>
          <w:sz w:val="24"/>
        </w:rPr>
      </w:pPr>
      <w:r>
        <w:rPr>
          <w:sz w:val="24"/>
        </w:rPr>
        <w:t xml:space="preserve">Negative Test: Absence of agglutination indicates that the test serum does not contain detectable antibodies to any of the antigens </w:t>
      </w:r>
      <w:r w:rsidR="00F71DFF">
        <w:rPr>
          <w:sz w:val="24"/>
        </w:rPr>
        <w:t>present</w:t>
      </w:r>
      <w:r>
        <w:rPr>
          <w:sz w:val="24"/>
        </w:rPr>
        <w:t>.</w:t>
      </w:r>
    </w:p>
    <w:p w:rsidR="00806D69" w:rsidRDefault="00700C1E">
      <w:pPr>
        <w:rPr>
          <w:sz w:val="24"/>
        </w:rPr>
      </w:pPr>
      <w:r>
        <w:rPr>
          <w:sz w:val="24"/>
        </w:rPr>
        <w:t>The following procedure should be followed to identify an unknown antibody:</w:t>
      </w:r>
    </w:p>
    <w:p w:rsidR="00806D69" w:rsidRDefault="00700C1E">
      <w:pPr>
        <w:ind w:left="720" w:hanging="720"/>
        <w:rPr>
          <w:sz w:val="24"/>
        </w:rPr>
      </w:pPr>
      <w:r>
        <w:rPr>
          <w:sz w:val="24"/>
        </w:rPr>
        <w:t>1.</w:t>
      </w:r>
      <w:r>
        <w:rPr>
          <w:sz w:val="24"/>
        </w:rPr>
        <w:tab/>
        <w:t xml:space="preserve">Review the reactions obtained with the autologous control, </w:t>
      </w:r>
      <w:r w:rsidRPr="00F71DFF">
        <w:rPr>
          <w:sz w:val="24"/>
          <w:u w:val="single"/>
        </w:rPr>
        <w:t>if indicated</w:t>
      </w:r>
      <w:r>
        <w:rPr>
          <w:sz w:val="24"/>
        </w:rPr>
        <w:t>, to determine if the antibody is allo or auto in nature.</w:t>
      </w:r>
    </w:p>
    <w:p w:rsidR="00806D69" w:rsidRDefault="00700C1E">
      <w:pPr>
        <w:ind w:left="720" w:hanging="720"/>
        <w:rPr>
          <w:sz w:val="24"/>
        </w:rPr>
      </w:pPr>
      <w:r>
        <w:rPr>
          <w:sz w:val="24"/>
        </w:rPr>
        <w:t>2.</w:t>
      </w:r>
      <w:r>
        <w:rPr>
          <w:sz w:val="24"/>
        </w:rPr>
        <w:tab/>
        <w:t>Delete all antigens present on the red cells that are nonreac</w:t>
      </w:r>
      <w:r w:rsidR="00F71DFF">
        <w:rPr>
          <w:sz w:val="24"/>
        </w:rPr>
        <w:t>tive and HOMOZYGOUS for the antigen being ruled out by</w:t>
      </w:r>
      <w:r>
        <w:rPr>
          <w:sz w:val="24"/>
        </w:rPr>
        <w:t xml:space="preserve"> drawing a slash through the particular antigen at the</w:t>
      </w:r>
      <w:r w:rsidR="00F71DFF">
        <w:rPr>
          <w:sz w:val="24"/>
        </w:rPr>
        <w:t xml:space="preserve"> top of the panel</w:t>
      </w:r>
      <w:r>
        <w:rPr>
          <w:sz w:val="24"/>
        </w:rPr>
        <w:t>.</w:t>
      </w:r>
      <w:r w:rsidR="00F71DFF">
        <w:rPr>
          <w:sz w:val="24"/>
        </w:rPr>
        <w:t xml:space="preserve"> (See ‘Help Sheet for Antibody Workup’ for any exceptions to this rule).</w:t>
      </w:r>
    </w:p>
    <w:p w:rsidR="00806D69" w:rsidRDefault="00700C1E">
      <w:pPr>
        <w:ind w:left="720" w:hanging="720"/>
        <w:rPr>
          <w:sz w:val="24"/>
        </w:rPr>
      </w:pPr>
      <w:r>
        <w:rPr>
          <w:sz w:val="24"/>
        </w:rPr>
        <w:t>3.</w:t>
      </w:r>
      <w:r>
        <w:rPr>
          <w:sz w:val="24"/>
        </w:rPr>
        <w:tab/>
        <w:t xml:space="preserve">Compare the pattern of agglutinated cells with the profiles of antigens not deleted </w:t>
      </w:r>
      <w:r w:rsidR="0075149F">
        <w:rPr>
          <w:sz w:val="24"/>
        </w:rPr>
        <w:t>from</w:t>
      </w:r>
      <w:r>
        <w:rPr>
          <w:sz w:val="24"/>
        </w:rPr>
        <w:t xml:space="preserve"> the Master List in Step 2.</w:t>
      </w:r>
    </w:p>
    <w:p w:rsidR="00806D69" w:rsidRDefault="0075149F">
      <w:pPr>
        <w:tabs>
          <w:tab w:val="left" w:pos="990"/>
        </w:tabs>
        <w:ind w:left="990" w:hanging="270"/>
        <w:rPr>
          <w:sz w:val="24"/>
        </w:rPr>
      </w:pPr>
      <w:r>
        <w:rPr>
          <w:sz w:val="24"/>
        </w:rPr>
        <w:lastRenderedPageBreak/>
        <w:t>a. If</w:t>
      </w:r>
      <w:r w:rsidR="00700C1E">
        <w:rPr>
          <w:sz w:val="24"/>
        </w:rPr>
        <w:t xml:space="preserve"> only one antigen remains after deleting the antigens present on all nonreactive panel cells, and the pattern of the antigen matches the pattern of reactivity obtained, the specificity of the antibody is tentatively identified.</w:t>
      </w:r>
    </w:p>
    <w:p w:rsidR="00806D69" w:rsidRDefault="00700C1E">
      <w:pPr>
        <w:tabs>
          <w:tab w:val="left" w:pos="990"/>
        </w:tabs>
        <w:ind w:left="990" w:hanging="270"/>
        <w:rPr>
          <w:sz w:val="24"/>
        </w:rPr>
      </w:pPr>
      <w:r>
        <w:rPr>
          <w:sz w:val="24"/>
        </w:rPr>
        <w:t>b. If more than one antigen remains following the deletion procedure, steps must be taken to identify the multiple antibodies that might be present. (See Step 4 and 5).</w:t>
      </w:r>
    </w:p>
    <w:p w:rsidR="00806D69" w:rsidRDefault="00700C1E">
      <w:pPr>
        <w:tabs>
          <w:tab w:val="left" w:pos="990"/>
        </w:tabs>
        <w:ind w:left="990" w:hanging="270"/>
        <w:rPr>
          <w:sz w:val="24"/>
        </w:rPr>
      </w:pPr>
      <w:r>
        <w:rPr>
          <w:sz w:val="24"/>
        </w:rPr>
        <w:t>c. Positive and negative results that do not fit any of the established patterns for any antigens may indicate the presence of multiple antibodies, or antibodies to unspecified antigens.</w:t>
      </w:r>
    </w:p>
    <w:p w:rsidR="007C21BB" w:rsidRDefault="00700C1E">
      <w:pPr>
        <w:tabs>
          <w:tab w:val="left" w:pos="360"/>
        </w:tabs>
        <w:ind w:left="720" w:hanging="810"/>
        <w:rPr>
          <w:sz w:val="24"/>
        </w:rPr>
      </w:pPr>
      <w:r>
        <w:rPr>
          <w:sz w:val="24"/>
        </w:rPr>
        <w:t>4.</w:t>
      </w:r>
      <w:r>
        <w:rPr>
          <w:sz w:val="24"/>
        </w:rPr>
        <w:tab/>
        <w:t xml:space="preserve">      If multiple antibodies are suspected, </w:t>
      </w:r>
      <w:r w:rsidR="007C21BB">
        <w:rPr>
          <w:sz w:val="24"/>
        </w:rPr>
        <w:t>run additional panels to identify the antibody.  If unable to identify or rule out all clinically significant antibodies, specimen will need to be sent out to Heartland.</w:t>
      </w:r>
    </w:p>
    <w:p w:rsidR="00806D69" w:rsidRDefault="00700C1E">
      <w:pPr>
        <w:tabs>
          <w:tab w:val="left" w:pos="360"/>
        </w:tabs>
        <w:ind w:left="720" w:hanging="810"/>
        <w:rPr>
          <w:sz w:val="24"/>
        </w:rPr>
      </w:pPr>
      <w:r>
        <w:rPr>
          <w:sz w:val="24"/>
        </w:rPr>
        <w:t>5.</w:t>
      </w:r>
      <w:r>
        <w:rPr>
          <w:sz w:val="24"/>
        </w:rPr>
        <w:tab/>
      </w:r>
      <w:r>
        <w:rPr>
          <w:sz w:val="24"/>
        </w:rPr>
        <w:tab/>
        <w:t>Test the patient’s own red cells for antigens corresponding to antibodies suspected.  If the patient’s red cells posses the antigen, it is unlikely that the corresponding antibody is present unless the autologous control, in addition to reagent panel cells, is agglutinated. See Procedure for Red Cell Antigen T</w:t>
      </w:r>
      <w:r w:rsidR="007C21BB">
        <w:rPr>
          <w:sz w:val="24"/>
        </w:rPr>
        <w:t>esting, No. 4840-BB-306</w:t>
      </w:r>
      <w:r>
        <w:rPr>
          <w:sz w:val="24"/>
        </w:rPr>
        <w:t xml:space="preserve"> for more information.</w:t>
      </w:r>
    </w:p>
    <w:p w:rsidR="00806D69" w:rsidRDefault="00806D69">
      <w:pPr>
        <w:tabs>
          <w:tab w:val="left" w:pos="360"/>
        </w:tabs>
        <w:ind w:left="720" w:hanging="810"/>
        <w:rPr>
          <w:sz w:val="24"/>
        </w:rPr>
      </w:pPr>
    </w:p>
    <w:p w:rsidR="00806D69" w:rsidRDefault="00806D69">
      <w:pPr>
        <w:tabs>
          <w:tab w:val="left" w:pos="270"/>
          <w:tab w:val="num" w:pos="720"/>
          <w:tab w:val="left" w:pos="990"/>
        </w:tabs>
        <w:ind w:hanging="360"/>
        <w:rPr>
          <w:sz w:val="24"/>
        </w:rPr>
      </w:pPr>
    </w:p>
    <w:p w:rsidR="00806D69" w:rsidRDefault="00700C1E">
      <w:pPr>
        <w:tabs>
          <w:tab w:val="left" w:pos="270"/>
          <w:tab w:val="num" w:pos="720"/>
          <w:tab w:val="left" w:pos="990"/>
        </w:tabs>
        <w:ind w:hanging="360"/>
        <w:rPr>
          <w:b/>
          <w:sz w:val="24"/>
        </w:rPr>
      </w:pPr>
      <w:r>
        <w:rPr>
          <w:b/>
          <w:sz w:val="24"/>
        </w:rPr>
        <w:tab/>
        <w:t>PROCEDURAL NOTES:</w:t>
      </w:r>
    </w:p>
    <w:p w:rsidR="00806D69" w:rsidRDefault="00806D69">
      <w:pPr>
        <w:tabs>
          <w:tab w:val="left" w:pos="270"/>
          <w:tab w:val="num" w:pos="720"/>
          <w:tab w:val="left" w:pos="990"/>
        </w:tabs>
        <w:ind w:hanging="360"/>
        <w:rPr>
          <w:b/>
          <w:sz w:val="24"/>
        </w:rPr>
      </w:pPr>
    </w:p>
    <w:p w:rsidR="00806D69" w:rsidRPr="007122A3" w:rsidRDefault="00700C1E" w:rsidP="007122A3">
      <w:pPr>
        <w:pStyle w:val="ListParagraph"/>
        <w:numPr>
          <w:ilvl w:val="0"/>
          <w:numId w:val="15"/>
        </w:numPr>
        <w:tabs>
          <w:tab w:val="left" w:pos="270"/>
          <w:tab w:val="num" w:pos="720"/>
          <w:tab w:val="left" w:pos="990"/>
        </w:tabs>
        <w:rPr>
          <w:bCs/>
          <w:sz w:val="24"/>
        </w:rPr>
      </w:pPr>
      <w:r w:rsidRPr="007122A3">
        <w:rPr>
          <w:sz w:val="24"/>
        </w:rPr>
        <w:t xml:space="preserve"> Antigens reactive with low incidence antibodies may not always be represented on panel </w:t>
      </w:r>
    </w:p>
    <w:p w:rsidR="00806D69" w:rsidRDefault="00700C1E">
      <w:pPr>
        <w:rPr>
          <w:sz w:val="24"/>
        </w:rPr>
      </w:pPr>
      <w:r>
        <w:rPr>
          <w:sz w:val="24"/>
        </w:rPr>
        <w:t xml:space="preserve">      cells; therefore negative reactions with the panel cells do not always indicate the absence of </w:t>
      </w:r>
    </w:p>
    <w:p w:rsidR="00806D69" w:rsidRDefault="00700C1E">
      <w:pPr>
        <w:rPr>
          <w:sz w:val="24"/>
        </w:rPr>
      </w:pPr>
      <w:r>
        <w:rPr>
          <w:sz w:val="24"/>
        </w:rPr>
        <w:t xml:space="preserve">      antibody in the serum under test. If high incidence antibodies or multiple antibodies are </w:t>
      </w:r>
    </w:p>
    <w:p w:rsidR="00806D69" w:rsidRDefault="00700C1E">
      <w:pPr>
        <w:rPr>
          <w:sz w:val="24"/>
        </w:rPr>
      </w:pPr>
      <w:r>
        <w:rPr>
          <w:sz w:val="24"/>
        </w:rPr>
        <w:t xml:space="preserve">      present, all cells may be agglutinated.  A reference lab (Heartland Blood Center) should be </w:t>
      </w:r>
    </w:p>
    <w:p w:rsidR="00806D69" w:rsidRDefault="00700C1E">
      <w:pPr>
        <w:rPr>
          <w:sz w:val="24"/>
        </w:rPr>
      </w:pPr>
      <w:r>
        <w:rPr>
          <w:sz w:val="24"/>
        </w:rPr>
        <w:t xml:space="preserve">      consulted if </w:t>
      </w:r>
      <w:r w:rsidR="007122A3">
        <w:rPr>
          <w:sz w:val="24"/>
        </w:rPr>
        <w:t>this situation occurs.</w:t>
      </w:r>
    </w:p>
    <w:p w:rsidR="00806D69" w:rsidRPr="007122A3" w:rsidRDefault="007122A3" w:rsidP="007122A3">
      <w:pPr>
        <w:pStyle w:val="ListParagraph"/>
        <w:numPr>
          <w:ilvl w:val="0"/>
          <w:numId w:val="15"/>
        </w:numPr>
        <w:rPr>
          <w:sz w:val="24"/>
        </w:rPr>
      </w:pPr>
      <w:r>
        <w:rPr>
          <w:sz w:val="24"/>
        </w:rPr>
        <w:t xml:space="preserve"> </w:t>
      </w:r>
      <w:r w:rsidR="00700C1E" w:rsidRPr="007122A3">
        <w:rPr>
          <w:sz w:val="24"/>
        </w:rPr>
        <w:t xml:space="preserve"> For further workup refer to</w:t>
      </w:r>
      <w:r w:rsidRPr="007122A3">
        <w:rPr>
          <w:sz w:val="24"/>
        </w:rPr>
        <w:t xml:space="preserve"> Antibody Workup Flowchart</w:t>
      </w:r>
      <w:r w:rsidR="00700C1E" w:rsidRPr="007122A3">
        <w:rPr>
          <w:sz w:val="24"/>
        </w:rPr>
        <w:t>.</w:t>
      </w:r>
    </w:p>
    <w:p w:rsidR="00806D69" w:rsidRDefault="00806D69">
      <w:pPr>
        <w:rPr>
          <w:b/>
          <w:sz w:val="24"/>
        </w:rPr>
      </w:pPr>
    </w:p>
    <w:p w:rsidR="00806D69" w:rsidRDefault="00806D69">
      <w:pPr>
        <w:rPr>
          <w:b/>
          <w:sz w:val="24"/>
        </w:rPr>
      </w:pPr>
    </w:p>
    <w:p w:rsidR="00806D69" w:rsidRDefault="00700C1E">
      <w:pPr>
        <w:rPr>
          <w:b/>
          <w:sz w:val="24"/>
        </w:rPr>
      </w:pPr>
      <w:r>
        <w:rPr>
          <w:b/>
          <w:sz w:val="24"/>
        </w:rPr>
        <w:t>REFERENCES:</w:t>
      </w:r>
    </w:p>
    <w:p w:rsidR="00806D69" w:rsidRDefault="00700C1E">
      <w:pPr>
        <w:numPr>
          <w:ilvl w:val="0"/>
          <w:numId w:val="9"/>
        </w:numPr>
        <w:rPr>
          <w:sz w:val="24"/>
        </w:rPr>
      </w:pPr>
      <w:r>
        <w:rPr>
          <w:sz w:val="24"/>
        </w:rPr>
        <w:t>Immucor Gamma, Norcross, GA, 30071.</w:t>
      </w:r>
    </w:p>
    <w:p w:rsidR="00806D69" w:rsidRDefault="00806D69">
      <w:pPr>
        <w:ind w:left="-1080"/>
        <w:rPr>
          <w:sz w:val="24"/>
        </w:rPr>
      </w:pPr>
    </w:p>
    <w:p w:rsidR="00806D69" w:rsidRDefault="00806D69">
      <w:pPr>
        <w:ind w:left="-1080"/>
        <w:rPr>
          <w:sz w:val="24"/>
        </w:rPr>
      </w:pPr>
    </w:p>
    <w:p w:rsidR="00806D69" w:rsidRDefault="00806D69">
      <w:pPr>
        <w:ind w:left="-1080"/>
        <w:rPr>
          <w:sz w:val="24"/>
        </w:rPr>
      </w:pPr>
    </w:p>
    <w:p w:rsidR="00806D69" w:rsidRDefault="00806D69">
      <w:pPr>
        <w:ind w:left="-1080"/>
        <w:rPr>
          <w:sz w:val="24"/>
        </w:rPr>
      </w:pPr>
    </w:p>
    <w:p w:rsidR="00806D69" w:rsidRDefault="00806D69">
      <w:pPr>
        <w:ind w:left="-1080"/>
        <w:rPr>
          <w:sz w:val="24"/>
        </w:rPr>
      </w:pPr>
    </w:p>
    <w:p w:rsidR="00806D69" w:rsidRDefault="00806D69">
      <w:pPr>
        <w:ind w:left="-1080"/>
        <w:rPr>
          <w:sz w:val="24"/>
        </w:rPr>
      </w:pPr>
    </w:p>
    <w:p w:rsidR="00806D69" w:rsidRDefault="00700C1E">
      <w:pPr>
        <w:ind w:left="-1080"/>
        <w:rPr>
          <w:sz w:val="24"/>
        </w:rPr>
      </w:pPr>
      <w:r>
        <w:rPr>
          <w:sz w:val="24"/>
        </w:rPr>
        <w:t xml:space="preserve">  </w:t>
      </w:r>
    </w:p>
    <w:p w:rsidR="00806D69" w:rsidRDefault="00700C1E" w:rsidP="007122A3">
      <w:pPr>
        <w:ind w:left="-1080"/>
        <w:rPr>
          <w:sz w:val="24"/>
        </w:rPr>
      </w:pPr>
      <w:r>
        <w:rPr>
          <w:sz w:val="24"/>
        </w:rPr>
        <w:t xml:space="preserve">                 </w:t>
      </w:r>
      <w:r w:rsidR="007122A3">
        <w:rPr>
          <w:sz w:val="24"/>
        </w:rPr>
        <w:t xml:space="preserve">                            </w:t>
      </w:r>
    </w:p>
    <w:p w:rsidR="00806D69" w:rsidRDefault="00806D69">
      <w:pPr>
        <w:ind w:left="-1080"/>
        <w:rPr>
          <w:sz w:val="24"/>
        </w:rPr>
      </w:pPr>
    </w:p>
    <w:p w:rsidR="00806D69" w:rsidRDefault="00806D69" w:rsidP="000E2A47">
      <w:pPr>
        <w:rPr>
          <w:sz w:val="24"/>
        </w:rPr>
      </w:pPr>
    </w:p>
    <w:sectPr w:rsidR="00806D69" w:rsidSect="00806D6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A47" w:rsidRDefault="000E2A47">
      <w:r>
        <w:separator/>
      </w:r>
    </w:p>
  </w:endnote>
  <w:endnote w:type="continuationSeparator" w:id="0">
    <w:p w:rsidR="000E2A47" w:rsidRDefault="000E2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721 BT">
    <w:altName w:val="Arial"/>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47" w:rsidRDefault="000E2A47">
    <w:pPr>
      <w:ind w:left="-720"/>
      <w:jc w:val="right"/>
      <w:rPr>
        <w:b/>
        <w:sz w:val="24"/>
      </w:rPr>
    </w:pPr>
    <w:r>
      <w:tab/>
    </w:r>
    <w:r>
      <w:tab/>
    </w:r>
    <w:r>
      <w:tab/>
    </w:r>
    <w:r>
      <w:rPr>
        <w:sz w:val="24"/>
      </w:rPr>
      <w:tab/>
      <w:t>Page</w:t>
    </w:r>
    <w:r>
      <w:rPr>
        <w:b/>
        <w:sz w:val="24"/>
      </w:rPr>
      <w:t xml:space="preserve"> </w:t>
    </w:r>
    <w:r w:rsidR="006C78A0">
      <w:rPr>
        <w:rStyle w:val="PageNumber"/>
      </w:rPr>
      <w:fldChar w:fldCharType="begin"/>
    </w:r>
    <w:r>
      <w:rPr>
        <w:rStyle w:val="PageNumber"/>
      </w:rPr>
      <w:instrText xml:space="preserve"> PAGE </w:instrText>
    </w:r>
    <w:r w:rsidR="006C78A0">
      <w:rPr>
        <w:rStyle w:val="PageNumber"/>
      </w:rPr>
      <w:fldChar w:fldCharType="separate"/>
    </w:r>
    <w:r w:rsidR="00C329A1">
      <w:rPr>
        <w:rStyle w:val="PageNumber"/>
        <w:noProof/>
      </w:rPr>
      <w:t>2</w:t>
    </w:r>
    <w:r w:rsidR="006C78A0">
      <w:rPr>
        <w:rStyle w:val="PageNumber"/>
      </w:rPr>
      <w:fldChar w:fldCharType="end"/>
    </w:r>
    <w:r>
      <w:rPr>
        <w:b/>
        <w:sz w:val="24"/>
      </w:rPr>
      <w:t xml:space="preserve"> </w:t>
    </w:r>
    <w:r>
      <w:rPr>
        <w:sz w:val="24"/>
      </w:rPr>
      <w:t xml:space="preserve">of </w:t>
    </w:r>
    <w:r w:rsidR="006C78A0">
      <w:rPr>
        <w:rStyle w:val="PageNumber"/>
      </w:rPr>
      <w:fldChar w:fldCharType="begin"/>
    </w:r>
    <w:r>
      <w:rPr>
        <w:rStyle w:val="PageNumber"/>
      </w:rPr>
      <w:instrText xml:space="preserve"> NUMPAGES </w:instrText>
    </w:r>
    <w:r w:rsidR="006C78A0">
      <w:rPr>
        <w:rStyle w:val="PageNumber"/>
      </w:rPr>
      <w:fldChar w:fldCharType="separate"/>
    </w:r>
    <w:r w:rsidR="00C329A1">
      <w:rPr>
        <w:rStyle w:val="PageNumber"/>
        <w:noProof/>
      </w:rPr>
      <w:t>3</w:t>
    </w:r>
    <w:r w:rsidR="006C78A0">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A47" w:rsidRDefault="000E2A47">
      <w:r>
        <w:separator/>
      </w:r>
    </w:p>
  </w:footnote>
  <w:footnote w:type="continuationSeparator" w:id="0">
    <w:p w:rsidR="000E2A47" w:rsidRDefault="000E2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47" w:rsidRDefault="000E2A47">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#4840-BB-2006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561"/>
    <w:multiLevelType w:val="hybridMultilevel"/>
    <w:tmpl w:val="B4BE9088"/>
    <w:lvl w:ilvl="0" w:tplc="2C426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E2AD2"/>
    <w:multiLevelType w:val="hybridMultilevel"/>
    <w:tmpl w:val="C9E4EA4C"/>
    <w:lvl w:ilvl="0" w:tplc="EAFC58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EE5420"/>
    <w:multiLevelType w:val="hybridMultilevel"/>
    <w:tmpl w:val="3880D17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595C86"/>
    <w:multiLevelType w:val="hybridMultilevel"/>
    <w:tmpl w:val="08888E92"/>
    <w:lvl w:ilvl="0" w:tplc="0409000F">
      <w:start w:val="1"/>
      <w:numFmt w:val="decimal"/>
      <w:lvlText w:val="%1."/>
      <w:lvlJc w:val="left"/>
      <w:pPr>
        <w:tabs>
          <w:tab w:val="num" w:pos="1440"/>
        </w:tabs>
        <w:ind w:left="1440" w:hanging="360"/>
      </w:pPr>
      <w:rPr>
        <w:rFonts w:hint="default"/>
        <w:color w:val="auto"/>
        <w:sz w:val="16"/>
        <w:szCs w:val="16"/>
      </w:rPr>
    </w:lvl>
    <w:lvl w:ilvl="1" w:tplc="EAFC5810">
      <w:start w:val="1"/>
      <w:numFmt w:val="decimal"/>
      <w:lvlText w:val="%2."/>
      <w:lvlJc w:val="left"/>
      <w:pPr>
        <w:tabs>
          <w:tab w:val="num" w:pos="2880"/>
        </w:tabs>
        <w:ind w:left="2880" w:hanging="720"/>
      </w:pPr>
      <w:rPr>
        <w:rFonts w:hint="default"/>
        <w:color w:val="auto"/>
        <w:sz w:val="16"/>
        <w:szCs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2E1F84"/>
    <w:multiLevelType w:val="hybridMultilevel"/>
    <w:tmpl w:val="70F49A52"/>
    <w:lvl w:ilvl="0" w:tplc="2C426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4D6318"/>
    <w:multiLevelType w:val="hybridMultilevel"/>
    <w:tmpl w:val="9F00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85ADE"/>
    <w:multiLevelType w:val="hybridMultilevel"/>
    <w:tmpl w:val="82CE8478"/>
    <w:lvl w:ilvl="0" w:tplc="D360AEF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B2CF1"/>
    <w:multiLevelType w:val="hybridMultilevel"/>
    <w:tmpl w:val="8EE6A1D4"/>
    <w:lvl w:ilvl="0" w:tplc="220CB190">
      <w:start w:val="3"/>
      <w:numFmt w:val="upperRoman"/>
      <w:lvlText w:val="%1."/>
      <w:lvlJc w:val="right"/>
      <w:pPr>
        <w:tabs>
          <w:tab w:val="num" w:pos="1620"/>
        </w:tabs>
        <w:ind w:left="162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5C073E"/>
    <w:multiLevelType w:val="hybridMultilevel"/>
    <w:tmpl w:val="C82E2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F04B0"/>
    <w:multiLevelType w:val="hybridMultilevel"/>
    <w:tmpl w:val="A4027BE2"/>
    <w:lvl w:ilvl="0" w:tplc="2C426FB4">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4BAE107D"/>
    <w:multiLevelType w:val="hybridMultilevel"/>
    <w:tmpl w:val="29888F3A"/>
    <w:lvl w:ilvl="0" w:tplc="C3BA2C5E">
      <w:start w:val="1"/>
      <w:numFmt w:val="upperRoman"/>
      <w:lvlText w:val="%1."/>
      <w:lvlJc w:val="right"/>
      <w:pPr>
        <w:tabs>
          <w:tab w:val="num" w:pos="540"/>
        </w:tabs>
        <w:ind w:left="540" w:hanging="180"/>
      </w:pPr>
      <w:rPr>
        <w:rFonts w:hint="default"/>
      </w:rPr>
    </w:lvl>
    <w:lvl w:ilvl="1" w:tplc="D360AEF6">
      <w:start w:val="1"/>
      <w:numFmt w:val="decimal"/>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904F7B"/>
    <w:multiLevelType w:val="hybridMultilevel"/>
    <w:tmpl w:val="94727432"/>
    <w:lvl w:ilvl="0" w:tplc="F62471C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D543630"/>
    <w:multiLevelType w:val="hybridMultilevel"/>
    <w:tmpl w:val="EA6851D4"/>
    <w:lvl w:ilvl="0" w:tplc="EE0C06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8C0A09"/>
    <w:multiLevelType w:val="hybridMultilevel"/>
    <w:tmpl w:val="4060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276C9"/>
    <w:multiLevelType w:val="hybridMultilevel"/>
    <w:tmpl w:val="B896E8CC"/>
    <w:lvl w:ilvl="0" w:tplc="D4404864">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num w:numId="1">
    <w:abstractNumId w:val="2"/>
  </w:num>
  <w:num w:numId="2">
    <w:abstractNumId w:val="1"/>
  </w:num>
  <w:num w:numId="3">
    <w:abstractNumId w:val="3"/>
  </w:num>
  <w:num w:numId="4">
    <w:abstractNumId w:val="10"/>
  </w:num>
  <w:num w:numId="5">
    <w:abstractNumId w:val="7"/>
  </w:num>
  <w:num w:numId="6">
    <w:abstractNumId w:val="6"/>
  </w:num>
  <w:num w:numId="7">
    <w:abstractNumId w:val="9"/>
  </w:num>
  <w:num w:numId="8">
    <w:abstractNumId w:val="0"/>
  </w:num>
  <w:num w:numId="9">
    <w:abstractNumId w:val="4"/>
  </w:num>
  <w:num w:numId="10">
    <w:abstractNumId w:val="8"/>
  </w:num>
  <w:num w:numId="11">
    <w:abstractNumId w:val="13"/>
  </w:num>
  <w:num w:numId="12">
    <w:abstractNumId w:val="5"/>
  </w:num>
  <w:num w:numId="13">
    <w:abstractNumId w:val="1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00C1E"/>
    <w:rsid w:val="000E2A47"/>
    <w:rsid w:val="000F323C"/>
    <w:rsid w:val="00264DEE"/>
    <w:rsid w:val="0027671F"/>
    <w:rsid w:val="003755F9"/>
    <w:rsid w:val="00476740"/>
    <w:rsid w:val="00540AFB"/>
    <w:rsid w:val="005456A9"/>
    <w:rsid w:val="006C78A0"/>
    <w:rsid w:val="00700C1E"/>
    <w:rsid w:val="007122A3"/>
    <w:rsid w:val="0075149F"/>
    <w:rsid w:val="007C21BB"/>
    <w:rsid w:val="00806D69"/>
    <w:rsid w:val="00852347"/>
    <w:rsid w:val="008B05FC"/>
    <w:rsid w:val="009A0752"/>
    <w:rsid w:val="00A039CA"/>
    <w:rsid w:val="00C329A1"/>
    <w:rsid w:val="00D15D6A"/>
    <w:rsid w:val="00D9551A"/>
    <w:rsid w:val="00DB4FBA"/>
    <w:rsid w:val="00E76E0B"/>
    <w:rsid w:val="00F71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69"/>
  </w:style>
  <w:style w:type="paragraph" w:styleId="Heading1">
    <w:name w:val="heading 1"/>
    <w:basedOn w:val="Normal"/>
    <w:next w:val="Normal"/>
    <w:qFormat/>
    <w:rsid w:val="00806D69"/>
    <w:pPr>
      <w:keepNext/>
      <w:spacing w:before="240" w:after="60"/>
      <w:outlineLvl w:val="0"/>
    </w:pPr>
    <w:rPr>
      <w:rFonts w:ascii="Arial" w:hAnsi="Arial"/>
      <w:b/>
      <w:kern w:val="28"/>
      <w:sz w:val="28"/>
    </w:rPr>
  </w:style>
  <w:style w:type="paragraph" w:styleId="Heading2">
    <w:name w:val="heading 2"/>
    <w:basedOn w:val="Normal"/>
    <w:next w:val="Normal"/>
    <w:qFormat/>
    <w:rsid w:val="00806D69"/>
    <w:pPr>
      <w:keepNext/>
      <w:spacing w:before="240" w:after="60"/>
      <w:outlineLvl w:val="1"/>
    </w:pPr>
    <w:rPr>
      <w:rFonts w:ascii="Arial" w:hAnsi="Arial"/>
      <w:b/>
      <w:i/>
      <w:sz w:val="24"/>
    </w:rPr>
  </w:style>
  <w:style w:type="paragraph" w:styleId="Heading3">
    <w:name w:val="heading 3"/>
    <w:basedOn w:val="Normal"/>
    <w:next w:val="Normal"/>
    <w:qFormat/>
    <w:rsid w:val="00806D69"/>
    <w:pPr>
      <w:keepNext/>
      <w:spacing w:before="240" w:after="60"/>
      <w:outlineLvl w:val="2"/>
    </w:pPr>
    <w:rPr>
      <w:b/>
      <w:sz w:val="24"/>
    </w:rPr>
  </w:style>
  <w:style w:type="paragraph" w:styleId="Heading4">
    <w:name w:val="heading 4"/>
    <w:basedOn w:val="Normal"/>
    <w:next w:val="Normal"/>
    <w:qFormat/>
    <w:rsid w:val="00806D69"/>
    <w:pPr>
      <w:keepNext/>
      <w:spacing w:before="240" w:after="60"/>
      <w:outlineLvl w:val="3"/>
    </w:pPr>
    <w:rPr>
      <w:b/>
      <w:i/>
      <w:sz w:val="24"/>
    </w:rPr>
  </w:style>
  <w:style w:type="paragraph" w:styleId="Heading5">
    <w:name w:val="heading 5"/>
    <w:basedOn w:val="Normal"/>
    <w:next w:val="Normal"/>
    <w:qFormat/>
    <w:rsid w:val="00806D69"/>
    <w:pPr>
      <w:spacing w:before="240" w:after="60"/>
      <w:outlineLvl w:val="4"/>
    </w:pPr>
    <w:rPr>
      <w:rFonts w:ascii="Arial" w:hAnsi="Arial"/>
      <w:sz w:val="22"/>
    </w:rPr>
  </w:style>
  <w:style w:type="paragraph" w:styleId="Heading6">
    <w:name w:val="heading 6"/>
    <w:basedOn w:val="Normal"/>
    <w:next w:val="Normal"/>
    <w:qFormat/>
    <w:rsid w:val="00806D69"/>
    <w:pPr>
      <w:keepNext/>
      <w:outlineLvl w:val="5"/>
    </w:pPr>
    <w:rPr>
      <w:sz w:val="24"/>
    </w:rPr>
  </w:style>
  <w:style w:type="paragraph" w:styleId="Heading7">
    <w:name w:val="heading 7"/>
    <w:basedOn w:val="Normal"/>
    <w:next w:val="Normal"/>
    <w:qFormat/>
    <w:rsid w:val="00806D69"/>
    <w:pPr>
      <w:keepNext/>
      <w:tabs>
        <w:tab w:val="left" w:pos="2160"/>
        <w:tab w:val="left" w:pos="7200"/>
      </w:tabs>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06D69"/>
  </w:style>
  <w:style w:type="paragraph" w:styleId="Footer">
    <w:name w:val="footer"/>
    <w:basedOn w:val="Normal"/>
    <w:semiHidden/>
    <w:rsid w:val="00806D69"/>
    <w:pPr>
      <w:tabs>
        <w:tab w:val="center" w:pos="4320"/>
        <w:tab w:val="right" w:pos="8640"/>
      </w:tabs>
    </w:pPr>
  </w:style>
  <w:style w:type="paragraph" w:styleId="Header">
    <w:name w:val="header"/>
    <w:basedOn w:val="Normal"/>
    <w:semiHidden/>
    <w:rsid w:val="00806D69"/>
    <w:pPr>
      <w:tabs>
        <w:tab w:val="center" w:pos="4320"/>
        <w:tab w:val="right" w:pos="8640"/>
      </w:tabs>
    </w:pPr>
  </w:style>
  <w:style w:type="paragraph" w:styleId="BodyTextIndent">
    <w:name w:val="Body Text Indent"/>
    <w:basedOn w:val="Normal"/>
    <w:semiHidden/>
    <w:rsid w:val="00806D69"/>
    <w:pPr>
      <w:ind w:left="2160" w:hanging="1440"/>
    </w:pPr>
    <w:rPr>
      <w:sz w:val="24"/>
    </w:rPr>
  </w:style>
  <w:style w:type="paragraph" w:styleId="BodyTextIndent2">
    <w:name w:val="Body Text Indent 2"/>
    <w:basedOn w:val="Normal"/>
    <w:semiHidden/>
    <w:rsid w:val="00806D69"/>
    <w:pPr>
      <w:tabs>
        <w:tab w:val="left" w:pos="1440"/>
      </w:tabs>
      <w:ind w:left="1440" w:hanging="720"/>
    </w:pPr>
    <w:rPr>
      <w:sz w:val="24"/>
    </w:rPr>
  </w:style>
  <w:style w:type="paragraph" w:styleId="BodyTextIndent3">
    <w:name w:val="Body Text Indent 3"/>
    <w:basedOn w:val="Normal"/>
    <w:semiHidden/>
    <w:rsid w:val="00806D69"/>
    <w:pPr>
      <w:ind w:left="720" w:hanging="720"/>
    </w:pPr>
    <w:rPr>
      <w:sz w:val="24"/>
    </w:rPr>
  </w:style>
  <w:style w:type="paragraph" w:styleId="BlockText">
    <w:name w:val="Block Text"/>
    <w:basedOn w:val="Normal"/>
    <w:semiHidden/>
    <w:rsid w:val="00806D69"/>
    <w:pPr>
      <w:ind w:left="720" w:right="-270"/>
    </w:pPr>
    <w:rPr>
      <w:sz w:val="24"/>
    </w:rPr>
  </w:style>
  <w:style w:type="character" w:styleId="CommentReference">
    <w:name w:val="annotation reference"/>
    <w:basedOn w:val="DefaultParagraphFont"/>
    <w:semiHidden/>
    <w:rsid w:val="00806D69"/>
    <w:rPr>
      <w:sz w:val="16"/>
      <w:szCs w:val="16"/>
    </w:rPr>
  </w:style>
  <w:style w:type="paragraph" w:styleId="CommentText">
    <w:name w:val="annotation text"/>
    <w:basedOn w:val="Normal"/>
    <w:semiHidden/>
    <w:rsid w:val="00806D69"/>
  </w:style>
  <w:style w:type="paragraph" w:styleId="CommentSubject">
    <w:name w:val="annotation subject"/>
    <w:basedOn w:val="CommentText"/>
    <w:next w:val="CommentText"/>
    <w:semiHidden/>
    <w:rsid w:val="00806D69"/>
    <w:rPr>
      <w:b/>
      <w:bCs/>
    </w:rPr>
  </w:style>
  <w:style w:type="paragraph" w:styleId="BalloonText">
    <w:name w:val="Balloon Text"/>
    <w:basedOn w:val="Normal"/>
    <w:semiHidden/>
    <w:rsid w:val="00806D69"/>
    <w:rPr>
      <w:rFonts w:ascii="Tahoma" w:hAnsi="Tahoma" w:cs="Tahoma"/>
      <w:sz w:val="16"/>
      <w:szCs w:val="16"/>
    </w:rPr>
  </w:style>
  <w:style w:type="paragraph" w:customStyle="1" w:styleId="Number">
    <w:name w:val="Number"/>
    <w:basedOn w:val="BodyText"/>
    <w:rsid w:val="00540AFB"/>
    <w:pPr>
      <w:spacing w:before="120" w:after="40"/>
    </w:pPr>
    <w:rPr>
      <w:rFonts w:ascii="Swis721 BT" w:hAnsi="Swis721 BT"/>
      <w:sz w:val="18"/>
      <w:szCs w:val="24"/>
    </w:rPr>
  </w:style>
  <w:style w:type="paragraph" w:styleId="BodyText">
    <w:name w:val="Body Text"/>
    <w:basedOn w:val="Normal"/>
    <w:link w:val="BodyTextChar"/>
    <w:uiPriority w:val="99"/>
    <w:semiHidden/>
    <w:unhideWhenUsed/>
    <w:rsid w:val="00540AFB"/>
    <w:pPr>
      <w:spacing w:after="120"/>
    </w:pPr>
  </w:style>
  <w:style w:type="character" w:customStyle="1" w:styleId="BodyTextChar">
    <w:name w:val="Body Text Char"/>
    <w:basedOn w:val="DefaultParagraphFont"/>
    <w:link w:val="BodyText"/>
    <w:uiPriority w:val="99"/>
    <w:semiHidden/>
    <w:rsid w:val="00540AFB"/>
  </w:style>
  <w:style w:type="paragraph" w:styleId="ListParagraph">
    <w:name w:val="List Paragraph"/>
    <w:basedOn w:val="Normal"/>
    <w:uiPriority w:val="34"/>
    <w:qFormat/>
    <w:rsid w:val="00476740"/>
    <w:pPr>
      <w:ind w:left="720"/>
      <w:contextualSpacing/>
    </w:pPr>
  </w:style>
</w:styles>
</file>

<file path=word/webSettings.xml><?xml version="1.0" encoding="utf-8"?>
<w:webSettings xmlns:r="http://schemas.openxmlformats.org/officeDocument/2006/relationships" xmlns:w="http://schemas.openxmlformats.org/wordprocessingml/2006/main">
  <w:divs>
    <w:div w:id="13564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33</TotalTime>
  <Pages>3</Pages>
  <Words>876</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5813</CharactersWithSpaces>
  <SharedDoc>false</SharedDoc>
  <HLinks>
    <vt:vector size="18" baseType="variant">
      <vt:variant>
        <vt:i4>6291494</vt:i4>
      </vt:variant>
      <vt:variant>
        <vt:i4>11916</vt:i4>
      </vt:variant>
      <vt:variant>
        <vt:i4>1026</vt:i4>
      </vt:variant>
      <vt:variant>
        <vt:i4>1</vt:i4>
      </vt:variant>
      <vt:variant>
        <vt:lpwstr>..\..\Blood Bank\Scanned images\2000.1.jpg</vt:lpwstr>
      </vt:variant>
      <vt:variant>
        <vt:lpwstr/>
      </vt:variant>
      <vt:variant>
        <vt:i4>6357030</vt:i4>
      </vt:variant>
      <vt:variant>
        <vt:i4>11960</vt:i4>
      </vt:variant>
      <vt:variant>
        <vt:i4>1027</vt:i4>
      </vt:variant>
      <vt:variant>
        <vt:i4>1</vt:i4>
      </vt:variant>
      <vt:variant>
        <vt:lpwstr>..\..\Blood Bank\Scanned images\2001.1.jpg</vt:lpwstr>
      </vt:variant>
      <vt:variant>
        <vt:lpwstr/>
      </vt:variant>
      <vt:variant>
        <vt:i4>131137</vt:i4>
      </vt:variant>
      <vt:variant>
        <vt:i4>11986</vt:i4>
      </vt:variant>
      <vt:variant>
        <vt:i4>1025</vt:i4>
      </vt:variant>
      <vt:variant>
        <vt:i4>1</vt:i4>
      </vt:variant>
      <vt:variant>
        <vt:lpwstr>INTERNAL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10</cp:revision>
  <cp:lastPrinted>2017-08-15T17:49:00Z</cp:lastPrinted>
  <dcterms:created xsi:type="dcterms:W3CDTF">2013-06-25T19:14:00Z</dcterms:created>
  <dcterms:modified xsi:type="dcterms:W3CDTF">2017-08-15T17:50:00Z</dcterms:modified>
</cp:coreProperties>
</file>