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48" w:rsidRPr="00FB2426" w:rsidRDefault="00DF7FF5" w:rsidP="0002714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FB2426">
        <w:rPr>
          <w:rFonts w:ascii="Arial-BoldMT" w:hAnsi="Arial-BoldMT" w:cs="Arial-BoldMT"/>
          <w:b/>
          <w:bCs/>
        </w:rPr>
        <w:t>TITLE:</w:t>
      </w:r>
      <w:r w:rsidR="00027148" w:rsidRPr="00FB2426">
        <w:rPr>
          <w:rFonts w:ascii="Arial-BoldMT" w:hAnsi="Arial-BoldMT" w:cs="Arial-BoldMT"/>
          <w:b/>
          <w:bCs/>
        </w:rPr>
        <w:t xml:space="preserve"> </w:t>
      </w:r>
      <w:proofErr w:type="spellStart"/>
      <w:r w:rsidR="00027148" w:rsidRPr="00FB2426">
        <w:rPr>
          <w:rFonts w:ascii="Arial-BoldMT" w:hAnsi="Arial-BoldMT" w:cs="Arial-BoldMT"/>
          <w:b/>
          <w:bCs/>
        </w:rPr>
        <w:t>Xpert</w:t>
      </w:r>
      <w:proofErr w:type="spellEnd"/>
      <w:r w:rsidR="00027148" w:rsidRPr="00FB2426">
        <w:rPr>
          <w:rFonts w:ascii="Arial-BoldMT" w:hAnsi="Arial-BoldMT" w:cs="Arial-BoldMT"/>
          <w:b/>
          <w:bCs/>
        </w:rPr>
        <w:t>® MTB/RIF Assay</w:t>
      </w:r>
    </w:p>
    <w:p w:rsidR="0002714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FB2426" w:rsidRDefault="00FB2426" w:rsidP="0002714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Principle:</w:t>
      </w:r>
    </w:p>
    <w:p w:rsidR="00FB2426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 xml:space="preserve">The </w:t>
      </w:r>
      <w:proofErr w:type="spellStart"/>
      <w:r w:rsidRPr="00097288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097288">
        <w:rPr>
          <w:rFonts w:ascii="Times New Roman" w:hAnsi="Times New Roman" w:cs="David"/>
          <w:sz w:val="18"/>
          <w:szCs w:val="18"/>
        </w:rPr>
        <w:t xml:space="preserve">® MTB/RIF Assay, performed on the </w:t>
      </w:r>
      <w:proofErr w:type="spellStart"/>
      <w:r w:rsidRPr="00097288">
        <w:rPr>
          <w:rFonts w:ascii="Times New Roman" w:hAnsi="Times New Roman" w:cs="David"/>
          <w:sz w:val="18"/>
          <w:szCs w:val="18"/>
        </w:rPr>
        <w:t>GeneXpert</w:t>
      </w:r>
      <w:proofErr w:type="spellEnd"/>
      <w:r w:rsidRPr="00097288">
        <w:rPr>
          <w:rFonts w:ascii="Times New Roman" w:hAnsi="Times New Roman" w:cs="David"/>
          <w:sz w:val="18"/>
          <w:szCs w:val="18"/>
        </w:rPr>
        <w:t>® Instrument Systems, is a qualitative, nested real-time polymerase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97288">
        <w:rPr>
          <w:rFonts w:ascii="Times New Roman" w:hAnsi="Times New Roman" w:cs="David"/>
          <w:sz w:val="18"/>
          <w:szCs w:val="18"/>
        </w:rPr>
        <w:t>chain</w:t>
      </w:r>
      <w:proofErr w:type="gramEnd"/>
      <w:r w:rsidRPr="00097288">
        <w:rPr>
          <w:rFonts w:ascii="Times New Roman" w:hAnsi="Times New Roman" w:cs="David"/>
          <w:sz w:val="18"/>
          <w:szCs w:val="18"/>
        </w:rPr>
        <w:t xml:space="preserve"> reaction (PCR) in vitro diagnostic test for the detection of Mycobacterium tuberculosis complex DNA in raw sputum or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97288">
        <w:rPr>
          <w:rFonts w:ascii="Times New Roman" w:hAnsi="Times New Roman" w:cs="David"/>
          <w:sz w:val="18"/>
          <w:szCs w:val="18"/>
        </w:rPr>
        <w:t>concentrated</w:t>
      </w:r>
      <w:proofErr w:type="gramEnd"/>
      <w:r w:rsidRPr="00097288">
        <w:rPr>
          <w:rFonts w:ascii="Times New Roman" w:hAnsi="Times New Roman" w:cs="David"/>
          <w:sz w:val="18"/>
          <w:szCs w:val="18"/>
        </w:rPr>
        <w:t xml:space="preserve"> sputum sediment prepared from induced or expectorated sputum. In specimens where Mycobacterium tuberculosis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97288">
        <w:rPr>
          <w:rFonts w:ascii="Times New Roman" w:hAnsi="Times New Roman" w:cs="David"/>
          <w:sz w:val="18"/>
          <w:szCs w:val="18"/>
        </w:rPr>
        <w:t>complex</w:t>
      </w:r>
      <w:proofErr w:type="gramEnd"/>
      <w:r w:rsidRPr="00097288">
        <w:rPr>
          <w:rFonts w:ascii="Times New Roman" w:hAnsi="Times New Roman" w:cs="David"/>
          <w:sz w:val="18"/>
          <w:szCs w:val="18"/>
        </w:rPr>
        <w:t xml:space="preserve"> (MTB-complex) is detected, the </w:t>
      </w:r>
      <w:proofErr w:type="spellStart"/>
      <w:r w:rsidRPr="00097288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097288">
        <w:rPr>
          <w:rFonts w:ascii="Times New Roman" w:hAnsi="Times New Roman" w:cs="David"/>
          <w:sz w:val="18"/>
          <w:szCs w:val="18"/>
        </w:rPr>
        <w:t xml:space="preserve"> MTB/RIF Assay also detects the </w:t>
      </w:r>
      <w:proofErr w:type="spellStart"/>
      <w:r w:rsidRPr="00097288">
        <w:rPr>
          <w:rFonts w:ascii="Times New Roman" w:hAnsi="Times New Roman" w:cs="David"/>
          <w:sz w:val="18"/>
          <w:szCs w:val="18"/>
        </w:rPr>
        <w:t>rifampin</w:t>
      </w:r>
      <w:proofErr w:type="spellEnd"/>
      <w:r w:rsidRPr="00097288">
        <w:rPr>
          <w:rFonts w:ascii="Times New Roman" w:hAnsi="Times New Roman" w:cs="David"/>
          <w:sz w:val="18"/>
          <w:szCs w:val="18"/>
        </w:rPr>
        <w:t>-resistance associated mutations of the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spellStart"/>
      <w:proofErr w:type="gramStart"/>
      <w:r w:rsidRPr="00097288">
        <w:rPr>
          <w:rFonts w:ascii="Times New Roman" w:hAnsi="Times New Roman" w:cs="David"/>
          <w:sz w:val="18"/>
          <w:szCs w:val="18"/>
        </w:rPr>
        <w:t>rpoB</w:t>
      </w:r>
      <w:proofErr w:type="spellEnd"/>
      <w:proofErr w:type="gramEnd"/>
      <w:r w:rsidRPr="00097288">
        <w:rPr>
          <w:rFonts w:ascii="Times New Roman" w:hAnsi="Times New Roman" w:cs="David"/>
          <w:sz w:val="18"/>
          <w:szCs w:val="18"/>
        </w:rPr>
        <w:t xml:space="preserve"> gene.</w:t>
      </w:r>
    </w:p>
    <w:p w:rsidR="00FB2426" w:rsidRPr="00097288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 xml:space="preserve">The </w:t>
      </w:r>
      <w:proofErr w:type="spellStart"/>
      <w:r w:rsidRPr="00097288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097288">
        <w:rPr>
          <w:rFonts w:ascii="Times New Roman" w:hAnsi="Times New Roman" w:cs="David"/>
          <w:sz w:val="18"/>
          <w:szCs w:val="18"/>
        </w:rPr>
        <w:t xml:space="preserve"> MTB/RIF Assay is intended for use with specimens from patients for whom there is clinical suspicion of tuberculosis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 xml:space="preserve">(TB) and who have received no </w:t>
      </w:r>
      <w:proofErr w:type="spellStart"/>
      <w:r w:rsidRPr="00097288">
        <w:rPr>
          <w:rFonts w:ascii="Times New Roman" w:hAnsi="Times New Roman" w:cs="David"/>
          <w:sz w:val="18"/>
          <w:szCs w:val="18"/>
        </w:rPr>
        <w:t>antituberculosis</w:t>
      </w:r>
      <w:proofErr w:type="spellEnd"/>
      <w:r w:rsidRPr="00097288">
        <w:rPr>
          <w:rFonts w:ascii="Times New Roman" w:hAnsi="Times New Roman" w:cs="David"/>
          <w:sz w:val="18"/>
          <w:szCs w:val="18"/>
        </w:rPr>
        <w:t xml:space="preserve"> therapy, or less than three days of therapy. This test is intended as an aid in the</w:t>
      </w:r>
    </w:p>
    <w:p w:rsidR="0002714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  <w:proofErr w:type="gramStart"/>
      <w:r w:rsidRPr="00097288">
        <w:rPr>
          <w:rFonts w:ascii="Times New Roman" w:hAnsi="Times New Roman" w:cs="David"/>
          <w:sz w:val="18"/>
          <w:szCs w:val="18"/>
        </w:rPr>
        <w:t>diagnosis</w:t>
      </w:r>
      <w:proofErr w:type="gramEnd"/>
      <w:r w:rsidRPr="00097288">
        <w:rPr>
          <w:rFonts w:ascii="Times New Roman" w:hAnsi="Times New Roman" w:cs="David"/>
          <w:sz w:val="18"/>
          <w:szCs w:val="18"/>
        </w:rPr>
        <w:t xml:space="preserve"> of pulmonary tuberculosis when used in conjunction with clinical and other laboratory findings</w:t>
      </w:r>
      <w:r>
        <w:rPr>
          <w:rFonts w:ascii="TimesNewRomanPSMT" w:hAnsi="TimesNewRomanPSMT" w:cs="TimesNewRomanPSMT"/>
          <w:sz w:val="18"/>
          <w:szCs w:val="18"/>
        </w:rPr>
        <w:t>.</w:t>
      </w:r>
    </w:p>
    <w:p w:rsidR="00FB2426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97288">
        <w:rPr>
          <w:rFonts w:ascii="Times New Roman" w:hAnsi="Times New Roman" w:cs="David"/>
          <w:sz w:val="18"/>
          <w:szCs w:val="18"/>
        </w:rPr>
        <w:t xml:space="preserve">An </w:t>
      </w:r>
      <w:proofErr w:type="spellStart"/>
      <w:r w:rsidRPr="00097288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097288">
        <w:rPr>
          <w:rFonts w:ascii="Times New Roman" w:hAnsi="Times New Roman" w:cs="David"/>
          <w:sz w:val="18"/>
          <w:szCs w:val="18"/>
        </w:rPr>
        <w:t xml:space="preserve"> MTB/RIF Assay result of “MTB NOT DETECTED” from either one or two sputum specimens is highly predictive of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97288">
        <w:rPr>
          <w:rFonts w:ascii="Times New Roman" w:hAnsi="Times New Roman" w:cs="David"/>
          <w:sz w:val="18"/>
          <w:szCs w:val="18"/>
        </w:rPr>
        <w:t>the</w:t>
      </w:r>
      <w:proofErr w:type="gramEnd"/>
      <w:r w:rsidRPr="00097288">
        <w:rPr>
          <w:rFonts w:ascii="Times New Roman" w:hAnsi="Times New Roman" w:cs="David"/>
          <w:sz w:val="18"/>
          <w:szCs w:val="18"/>
        </w:rPr>
        <w:t xml:space="preserve"> absence of M. tuberculosis complex bacilli on serial fluorescent acid-fast sputum smears from patients with suspected active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97288">
        <w:rPr>
          <w:rFonts w:ascii="Times New Roman" w:hAnsi="Times New Roman" w:cs="David"/>
          <w:sz w:val="18"/>
          <w:szCs w:val="18"/>
        </w:rPr>
        <w:t>pulmonary</w:t>
      </w:r>
      <w:proofErr w:type="gramEnd"/>
      <w:r w:rsidRPr="00097288">
        <w:rPr>
          <w:rFonts w:ascii="Times New Roman" w:hAnsi="Times New Roman" w:cs="David"/>
          <w:sz w:val="18"/>
          <w:szCs w:val="18"/>
        </w:rPr>
        <w:t xml:space="preserve"> tuberculosis and can be used as an aid in the decision of whether continued airborne infection isolation (AII) is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97288">
        <w:rPr>
          <w:rFonts w:ascii="Times New Roman" w:hAnsi="Times New Roman" w:cs="David"/>
          <w:sz w:val="18"/>
          <w:szCs w:val="18"/>
        </w:rPr>
        <w:t>warranted</w:t>
      </w:r>
      <w:proofErr w:type="gramEnd"/>
      <w:r w:rsidRPr="00097288">
        <w:rPr>
          <w:rFonts w:ascii="Times New Roman" w:hAnsi="Times New Roman" w:cs="David"/>
          <w:sz w:val="18"/>
          <w:szCs w:val="18"/>
        </w:rPr>
        <w:t xml:space="preserve"> in patients with suspected pulmonary tuberculosis. The determination of whether testing of either one or two sputum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97288">
        <w:rPr>
          <w:rFonts w:ascii="Times New Roman" w:hAnsi="Times New Roman" w:cs="David"/>
          <w:sz w:val="18"/>
          <w:szCs w:val="18"/>
        </w:rPr>
        <w:t>specimens</w:t>
      </w:r>
      <w:proofErr w:type="gramEnd"/>
      <w:r w:rsidRPr="00097288">
        <w:rPr>
          <w:rFonts w:ascii="Times New Roman" w:hAnsi="Times New Roman" w:cs="David"/>
          <w:sz w:val="18"/>
          <w:szCs w:val="18"/>
        </w:rPr>
        <w:t xml:space="preserve"> is appropriate for decisions regarding removal from AII should be based on specific clinical circumstances and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97288">
        <w:rPr>
          <w:rFonts w:ascii="Times New Roman" w:hAnsi="Times New Roman" w:cs="David"/>
          <w:sz w:val="18"/>
          <w:szCs w:val="18"/>
        </w:rPr>
        <w:t>institutional</w:t>
      </w:r>
      <w:proofErr w:type="gramEnd"/>
      <w:r w:rsidRPr="00097288">
        <w:rPr>
          <w:rFonts w:ascii="Times New Roman" w:hAnsi="Times New Roman" w:cs="David"/>
          <w:sz w:val="18"/>
          <w:szCs w:val="18"/>
        </w:rPr>
        <w:t xml:space="preserve"> guidelines. Clinical decisions regarding the need for continued AII should always occur in conjunction with other</w:t>
      </w:r>
    </w:p>
    <w:p w:rsidR="00027148" w:rsidRPr="00097288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97288">
        <w:rPr>
          <w:rFonts w:ascii="Times New Roman" w:hAnsi="Times New Roman" w:cs="David"/>
          <w:sz w:val="18"/>
          <w:szCs w:val="18"/>
        </w:rPr>
        <w:t>clinical</w:t>
      </w:r>
      <w:proofErr w:type="gramEnd"/>
      <w:r w:rsidRPr="00097288">
        <w:rPr>
          <w:rFonts w:ascii="Times New Roman" w:hAnsi="Times New Roman" w:cs="David"/>
          <w:sz w:val="18"/>
          <w:szCs w:val="18"/>
        </w:rPr>
        <w:t xml:space="preserve"> and laboratory evaluations and </w:t>
      </w:r>
      <w:proofErr w:type="spellStart"/>
      <w:r w:rsidRPr="00097288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097288">
        <w:rPr>
          <w:rFonts w:ascii="Times New Roman" w:hAnsi="Times New Roman" w:cs="David"/>
          <w:sz w:val="18"/>
          <w:szCs w:val="18"/>
        </w:rPr>
        <w:t xml:space="preserve"> MTB/RIF Assay results should not be the sole basis for infection control practices.</w:t>
      </w:r>
    </w:p>
    <w:p w:rsidR="00FB2426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 xml:space="preserve">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must always be used in conjunction with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mycobacterial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culture to address the risk of false negative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results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and to recover organisms when MTB-complex is present for further characterization and drug susceptibility testing.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However, decisions regarding the removal of patients from AII need not wait for culture results. Sputum specimens for TB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culture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, AFB smear microscopy, and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testing should follow CDC recommendations with regard to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collection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methods and time frame between specimen collection.</w:t>
      </w:r>
    </w:p>
    <w:p w:rsidR="00FB2426" w:rsidRPr="005659C3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 xml:space="preserve">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does not provide confirmation of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rifampin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susceptibility since mechanisms of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rifampin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resistance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other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than those detected by this device may exist that may be associated with a lack of clinical response to treatment.</w:t>
      </w:r>
    </w:p>
    <w:p w:rsidR="00A21E07" w:rsidRPr="005659C3" w:rsidRDefault="00A21E07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 xml:space="preserve">Specimens that have both MTB-complex DNA and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rifampin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-resistance associated mutations of 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rpoB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gene detected by the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must have results confirmed by a reference laboratory. If the presence of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rifampin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>-resistance associated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mutations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of 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rpoB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gene is confirmed, specimens should also be tested for the presence of genetic mutations associated with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resistance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to other drugs.</w:t>
      </w:r>
    </w:p>
    <w:p w:rsidR="00FB2426" w:rsidRPr="005659C3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 xml:space="preserve">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should only be performed in laboratories that follow safety practices in accordance with the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 xml:space="preserve">CDC/NIH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Biosafety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in Microbiological and Biomedical Lab</w:t>
      </w:r>
      <w:r w:rsidR="00A21E07" w:rsidRPr="005659C3">
        <w:rPr>
          <w:rFonts w:ascii="Times New Roman" w:hAnsi="Times New Roman" w:cs="David"/>
          <w:sz w:val="18"/>
          <w:szCs w:val="18"/>
        </w:rPr>
        <w:t>oratories publication as a BSL Level 2 Laboratory.</w:t>
      </w:r>
    </w:p>
    <w:p w:rsidR="00FB2426" w:rsidRDefault="00FB2426" w:rsidP="0002714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 xml:space="preserve">Globally, about 2 billion people are infected with MTB.1 </w:t>
      </w:r>
      <w:proofErr w:type="gramStart"/>
      <w:r w:rsidRPr="005659C3">
        <w:rPr>
          <w:rFonts w:ascii="Times New Roman" w:hAnsi="Times New Roman" w:cs="David"/>
          <w:sz w:val="18"/>
          <w:szCs w:val="18"/>
        </w:rPr>
        <w:t>In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2010, 8.8 million people developed active disease and 1.4 million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people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lost their lives to the illness.2 There were 9,951 new cases of tuberculosis reported in the United States in 2012 (a rate of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3.2 cases per 100,000).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In 2011, 536 U.S. deaths were attributed to tuberculosis infections.3</w:t>
      </w:r>
      <w:proofErr w:type="gramStart"/>
      <w:r w:rsidRPr="005659C3">
        <w:rPr>
          <w:rFonts w:ascii="Times New Roman" w:hAnsi="Times New Roman" w:cs="David"/>
          <w:sz w:val="18"/>
          <w:szCs w:val="18"/>
        </w:rPr>
        <w:t>,4</w:t>
      </w:r>
      <w:proofErr w:type="gramEnd"/>
    </w:p>
    <w:p w:rsidR="00A21E07" w:rsidRPr="005659C3" w:rsidRDefault="00A21E07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Standard treatment regimens for tuberculosis involve prolonged administration of multiple drugs and are usually highly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effective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>. However, MTB-complex strains that are resistant to one or more of first line drugs require individualized treatment.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spellStart"/>
      <w:r w:rsidRPr="005659C3">
        <w:rPr>
          <w:rFonts w:ascii="Times New Roman" w:hAnsi="Times New Roman" w:cs="David"/>
          <w:sz w:val="18"/>
          <w:szCs w:val="18"/>
        </w:rPr>
        <w:t>Rifampin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resistance is often an indication of multidrug resistance to tuberculosis (MDR TB), which is defined as resistance to at</w:t>
      </w:r>
    </w:p>
    <w:p w:rsidR="00027148" w:rsidRPr="005659C3" w:rsidRDefault="00027148" w:rsidP="000271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least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rifampin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(RIF) and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isoniazid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(INH). In the United States overall </w:t>
      </w:r>
      <w:proofErr w:type="gramStart"/>
      <w:r w:rsidRPr="005659C3">
        <w:rPr>
          <w:rFonts w:ascii="Times New Roman" w:hAnsi="Times New Roman" w:cs="David"/>
          <w:sz w:val="18"/>
          <w:szCs w:val="18"/>
        </w:rPr>
        <w:t>RIF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resistance is approximately 1.8%, with approximately</w:t>
      </w:r>
    </w:p>
    <w:p w:rsidR="009505CC" w:rsidRPr="005659C3" w:rsidRDefault="00027148" w:rsidP="005659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90% of these strains resistant to at least RIF and INH.5</w:t>
      </w:r>
    </w:p>
    <w:p w:rsidR="005659C3" w:rsidRDefault="005659C3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Active pulmonary TB is a highly infectious airborne disease. All patients in healthcare facilities with suspected TB should be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maintained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in airborne infection isolation (AII) according to recommended infection control guidelines.6 The testing of either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one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or two sputum specimens by 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may serve as an alternative to serial acid-fast stained sputum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smears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as an aid in the decision of whether continued infection control precautions are warranted in patients with suspected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pulmonary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tuberculosis.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Sputum specimens that are AFB smear-negative but subsequently TB culture positive have lower MTB-complex organism loads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than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specimens that are AFB smear-positive. Because of the greater sensitivity of 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for the detection of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lastRenderedPageBreak/>
        <w:t xml:space="preserve">MTB-complex than that of acid-fast microscopy, MTB-complex may be detected by 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in AFB smear</w:t>
      </w:r>
      <w:r w:rsidR="00A21E07" w:rsidRPr="005659C3">
        <w:rPr>
          <w:rFonts w:ascii="Times New Roman" w:hAnsi="Times New Roman" w:cs="David"/>
          <w:sz w:val="18"/>
          <w:szCs w:val="18"/>
        </w:rPr>
        <w:t xml:space="preserve"> </w:t>
      </w:r>
      <w:r w:rsidRPr="005659C3">
        <w:rPr>
          <w:rFonts w:ascii="Times New Roman" w:hAnsi="Times New Roman" w:cs="David"/>
          <w:sz w:val="18"/>
          <w:szCs w:val="18"/>
        </w:rPr>
        <w:t>negative</w:t>
      </w:r>
      <w:r w:rsidR="00A21E07" w:rsidRPr="005659C3">
        <w:rPr>
          <w:rFonts w:ascii="Times New Roman" w:hAnsi="Times New Roman" w:cs="David"/>
          <w:sz w:val="18"/>
          <w:szCs w:val="18"/>
        </w:rPr>
        <w:t xml:space="preserve"> </w:t>
      </w:r>
      <w:r w:rsidRPr="005659C3">
        <w:rPr>
          <w:rFonts w:ascii="Times New Roman" w:hAnsi="Times New Roman" w:cs="David"/>
          <w:sz w:val="18"/>
          <w:szCs w:val="18"/>
        </w:rPr>
        <w:t>samples.</w:t>
      </w:r>
      <w:proofErr w:type="gramEnd"/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Patients with HIV infection and pulmonary TB are known to have lower organism loads of MTB-complex in their sputum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specimens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relative to HIV-uninfected patients, despite more rapid disease progression if untreated. As a consequence, sputum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specimens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from HIV-infected patients with pulmonary TB tend to be AFB smear-negative more frequently than HIV-uninfected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patients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. Overall rates of detection of MTB-complex with 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may be lower in settings with a high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percentage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of HIV-infected patients because these patients are more likely to produce AFB smear-negative specimens with low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organism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loads.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 xml:space="preserve">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is an automated in vitro diagnostic test using nested real-time PCR for the qualitative detection of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 xml:space="preserve">MTB-complex and </w:t>
      </w:r>
      <w:proofErr w:type="gramStart"/>
      <w:r w:rsidRPr="005659C3">
        <w:rPr>
          <w:rFonts w:ascii="Times New Roman" w:hAnsi="Times New Roman" w:cs="David"/>
          <w:sz w:val="18"/>
          <w:szCs w:val="18"/>
        </w:rPr>
        <w:t>RIF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resistance. The primers in this test amplify a portion of 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rpoB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gene containing the 81 base pair core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region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>. The probes are designed to differentiate between the conserved wild-type sequence and mutations in the core region that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are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associated with RIF resistance. This assay can be performed on Cepheid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GeneXpert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>® Instrument Systems.</w:t>
      </w:r>
    </w:p>
    <w:p w:rsidR="00A21E07" w:rsidRPr="005659C3" w:rsidRDefault="00A21E07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spellStart"/>
      <w:r w:rsidRPr="005659C3">
        <w:rPr>
          <w:rFonts w:ascii="Times New Roman" w:hAnsi="Times New Roman" w:cs="David"/>
          <w:sz w:val="18"/>
          <w:szCs w:val="18"/>
        </w:rPr>
        <w:t>GeneXpert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Instrument Systems automate and integrate sample purification, nucleic acid amplification, and detection of the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target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sequence using real- time reverse transcriptase PCR (RT-PCR) and real-time PCR assays. The systems consist of an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instrument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>, personal computer, and preloaded software for running tests and viewing the results. The systems require the use of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single-use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disposable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GeneXpert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cartridges that hold the RT-PCR and PCR reagents and host the RT-PCR and PCR processes.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>Because the cartridges are self-contained, cross-contamination between samples is minimized. For a full description of the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systems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, refer to the appropriate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GeneXpert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Dx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System Operator Manual or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GeneXpert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Infinity System Operator Manual.</w:t>
      </w:r>
    </w:p>
    <w:p w:rsidR="00A21E07" w:rsidRPr="005659C3" w:rsidRDefault="00A21E07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 xml:space="preserve">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includes reagents for the detection of MTB-complex and </w:t>
      </w:r>
      <w:proofErr w:type="gramStart"/>
      <w:r w:rsidRPr="005659C3">
        <w:rPr>
          <w:rFonts w:ascii="Times New Roman" w:hAnsi="Times New Roman" w:cs="David"/>
          <w:sz w:val="18"/>
          <w:szCs w:val="18"/>
        </w:rPr>
        <w:t>RIF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resistance from raw sputum samples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and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in concentrated sputum sediments. A Sample Processing Control (SPC) and a Probe Check Control (PCC) are also included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in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the cartridge. The SPC is present to control for adequate processing of the target bacteria and to monitor the presence of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inhibitors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in the PCR reaction. The Probe Check Control (PCC) verifies reagent rehydration, PCR tube filling in the cartridge,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probe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integrity, and dye stability.</w:t>
      </w:r>
    </w:p>
    <w:p w:rsidR="00A21E07" w:rsidRPr="005659C3" w:rsidRDefault="00A21E07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Times New Roman" w:hAnsi="Times New Roman" w:cs="David"/>
          <w:sz w:val="18"/>
          <w:szCs w:val="18"/>
        </w:rPr>
        <w:t xml:space="preserve">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MTB/RIF Assay simultaneously detects MTB-complex and </w:t>
      </w:r>
      <w:proofErr w:type="gramStart"/>
      <w:r w:rsidRPr="005659C3">
        <w:rPr>
          <w:rFonts w:ascii="Times New Roman" w:hAnsi="Times New Roman" w:cs="David"/>
          <w:sz w:val="18"/>
          <w:szCs w:val="18"/>
        </w:rPr>
        <w:t>RIF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resistance by amplifying a MTB-complex specific</w:t>
      </w:r>
    </w:p>
    <w:p w:rsidR="00A946D2" w:rsidRPr="005659C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5659C3">
        <w:rPr>
          <w:rFonts w:ascii="Times New Roman" w:hAnsi="Times New Roman" w:cs="David"/>
          <w:sz w:val="18"/>
          <w:szCs w:val="18"/>
        </w:rPr>
        <w:t>sequence</w:t>
      </w:r>
      <w:proofErr w:type="gramEnd"/>
      <w:r w:rsidRPr="005659C3">
        <w:rPr>
          <w:rFonts w:ascii="Times New Roman" w:hAnsi="Times New Roman" w:cs="David"/>
          <w:sz w:val="18"/>
          <w:szCs w:val="18"/>
        </w:rPr>
        <w:t xml:space="preserve"> of 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rpoB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 gene, which is probed with five molecular beacons (Probes A – E) for mutations within the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rifampinresistance</w:t>
      </w:r>
      <w:proofErr w:type="spellEnd"/>
      <w:r w:rsidR="00A21E07" w:rsidRPr="005659C3">
        <w:rPr>
          <w:rFonts w:ascii="Times New Roman" w:hAnsi="Times New Roman" w:cs="David"/>
          <w:sz w:val="18"/>
          <w:szCs w:val="18"/>
        </w:rPr>
        <w:t xml:space="preserve"> </w:t>
      </w:r>
      <w:r w:rsidRPr="005659C3">
        <w:rPr>
          <w:rFonts w:ascii="Times New Roman" w:hAnsi="Times New Roman" w:cs="David"/>
          <w:sz w:val="18"/>
          <w:szCs w:val="18"/>
        </w:rPr>
        <w:t xml:space="preserve">determining region (RRDR). Each molecular beacon is labeled with a different </w:t>
      </w:r>
      <w:proofErr w:type="spellStart"/>
      <w:r w:rsidRPr="005659C3">
        <w:rPr>
          <w:rFonts w:ascii="Times New Roman" w:hAnsi="Times New Roman" w:cs="David"/>
          <w:sz w:val="18"/>
          <w:szCs w:val="18"/>
        </w:rPr>
        <w:t>fluorophore</w:t>
      </w:r>
      <w:proofErr w:type="spellEnd"/>
      <w:r w:rsidRPr="005659C3">
        <w:rPr>
          <w:rFonts w:ascii="Times New Roman" w:hAnsi="Times New Roman" w:cs="David"/>
          <w:sz w:val="18"/>
          <w:szCs w:val="18"/>
        </w:rPr>
        <w:t xml:space="preserve">. The valid </w:t>
      </w:r>
      <w:proofErr w:type="gramStart"/>
      <w:r w:rsidRPr="005659C3">
        <w:rPr>
          <w:rFonts w:ascii="Times New Roman" w:hAnsi="Times New Roman" w:cs="David"/>
          <w:sz w:val="18"/>
          <w:szCs w:val="18"/>
        </w:rPr>
        <w:t>maximum</w:t>
      </w:r>
      <w:proofErr w:type="gramEnd"/>
      <w:r w:rsidR="00A21E07" w:rsidRPr="005659C3">
        <w:rPr>
          <w:rFonts w:ascii="Times New Roman" w:hAnsi="Times New Roman" w:cs="David"/>
          <w:sz w:val="18"/>
          <w:szCs w:val="18"/>
        </w:rPr>
        <w:t xml:space="preserve"> </w:t>
      </w:r>
      <w:r w:rsidRPr="005659C3">
        <w:rPr>
          <w:rFonts w:ascii="Times New Roman" w:hAnsi="Times New Roman" w:cs="David"/>
          <w:sz w:val="18"/>
          <w:szCs w:val="18"/>
        </w:rPr>
        <w:t>cycle threshold (Ct) of 39.0 for Probes A, B and C and 36.0 for Probes D and E are set for MTB/RIF data analysis.</w:t>
      </w:r>
    </w:p>
    <w:p w:rsidR="00A21E07" w:rsidRDefault="00A21E07" w:rsidP="00A946D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5659C3">
        <w:rPr>
          <w:rFonts w:ascii="ArialMT" w:hAnsi="ArialMT" w:cs="ArialMT"/>
          <w:sz w:val="18"/>
          <w:szCs w:val="18"/>
        </w:rPr>
        <w:t xml:space="preserve">• </w:t>
      </w:r>
      <w:r w:rsidRPr="00057713">
        <w:rPr>
          <w:rFonts w:ascii="Times New Roman" w:hAnsi="Times New Roman" w:cs="David"/>
          <w:sz w:val="18"/>
          <w:szCs w:val="18"/>
        </w:rPr>
        <w:t>MTB DETECTED is reported when at least two probes result in Ct values within the valid range and a delta Ct min (the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smallest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Ct difference between any pair of probes) of less than 2.0.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Rif Resistance NOT DETECTED is reported if the delta Ct max (the Ct difference between the earliest and latest probe) is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≤4.0.</w:t>
      </w:r>
      <w:proofErr w:type="gramEnd"/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Rif Resistance DETECTED is reported if the delta Ct max is &gt;4.0.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Rif Resistance INDETERMINATE is reported when the following two conditions are met: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1. </w:t>
      </w:r>
      <w:proofErr w:type="gramStart"/>
      <w:r w:rsidRPr="00057713">
        <w:rPr>
          <w:rFonts w:ascii="Times New Roman" w:hAnsi="Times New Roman" w:cs="David"/>
          <w:sz w:val="18"/>
          <w:szCs w:val="18"/>
        </w:rPr>
        <w:t>the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Ct value of any probe exceeds the valid maximum Ct (or is zero, i.e. no threshold crossing); and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2. </w:t>
      </w:r>
      <w:proofErr w:type="gramStart"/>
      <w:r w:rsidRPr="00057713">
        <w:rPr>
          <w:rFonts w:ascii="Times New Roman" w:hAnsi="Times New Roman" w:cs="David"/>
          <w:sz w:val="18"/>
          <w:szCs w:val="18"/>
        </w:rPr>
        <w:t>the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earliest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rpoB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Ct value is greater than: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[(Valid maximum Ct of probe in condition 1) - (delta Ct max cut-off of 4.0)].</w:t>
      </w:r>
    </w:p>
    <w:p w:rsidR="00A946D2" w:rsidRPr="00057713" w:rsidRDefault="00A946D2" w:rsidP="00A9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MTB NOT DETECTED is reported when there is only one or no positive probe.</w:t>
      </w:r>
    </w:p>
    <w:p w:rsidR="00DF7FF5" w:rsidRPr="00057713" w:rsidRDefault="00A946D2" w:rsidP="005659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All assay settings are included as automatic calculations in the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MTB/RIF protocol and cannot be modified by the user.</w:t>
      </w:r>
    </w:p>
    <w:p w:rsidR="005659C3" w:rsidRDefault="005659C3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Reagents and Instruments</w:t>
      </w:r>
    </w:p>
    <w:p w:rsidR="00A21E07" w:rsidRDefault="00A21E07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Materials Provided</w:t>
      </w:r>
    </w:p>
    <w:p w:rsidR="00A946D2" w:rsidRPr="005659C3" w:rsidRDefault="00A946D2" w:rsidP="005659C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5659C3">
        <w:rPr>
          <w:rFonts w:ascii="ArialMT" w:hAnsi="ArialMT" w:cs="ArialMT"/>
          <w:sz w:val="18"/>
          <w:szCs w:val="18"/>
        </w:rPr>
        <w:t xml:space="preserve">The </w:t>
      </w:r>
      <w:proofErr w:type="spellStart"/>
      <w:r w:rsidRPr="005659C3">
        <w:rPr>
          <w:rFonts w:ascii="ArialMT" w:hAnsi="ArialMT" w:cs="ArialMT"/>
          <w:sz w:val="18"/>
          <w:szCs w:val="18"/>
        </w:rPr>
        <w:t>Xpert</w:t>
      </w:r>
      <w:proofErr w:type="spellEnd"/>
      <w:r w:rsidRPr="005659C3">
        <w:rPr>
          <w:rFonts w:ascii="ArialMT" w:hAnsi="ArialMT" w:cs="ArialMT"/>
          <w:sz w:val="18"/>
          <w:szCs w:val="18"/>
        </w:rPr>
        <w:t xml:space="preserve"> MTB/RIF Assay kit contains sufficient reagents to process 10 specimens or quality control samples. The kit contains</w:t>
      </w:r>
      <w:r w:rsidR="005659C3">
        <w:rPr>
          <w:rFonts w:ascii="ArialMT" w:hAnsi="ArialMT" w:cs="ArialMT"/>
          <w:sz w:val="18"/>
          <w:szCs w:val="18"/>
        </w:rPr>
        <w:t xml:space="preserve"> </w:t>
      </w:r>
      <w:r w:rsidRPr="005659C3">
        <w:rPr>
          <w:rFonts w:ascii="ArialMT" w:hAnsi="ArialMT" w:cs="ArialMT"/>
          <w:sz w:val="18"/>
          <w:szCs w:val="18"/>
        </w:rPr>
        <w:t>the following:</w:t>
      </w:r>
    </w:p>
    <w:p w:rsidR="005659C3" w:rsidRDefault="005659C3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proofErr w:type="spellStart"/>
      <w:r>
        <w:rPr>
          <w:rFonts w:ascii="Arial-BoldMT" w:hAnsi="Arial-BoldMT" w:cs="Arial-BoldMT"/>
          <w:b/>
          <w:bCs/>
          <w:sz w:val="18"/>
          <w:szCs w:val="18"/>
        </w:rPr>
        <w:t>Xpert</w:t>
      </w:r>
      <w:proofErr w:type="spellEnd"/>
      <w:r>
        <w:rPr>
          <w:rFonts w:ascii="Arial-BoldMT" w:hAnsi="Arial-BoldMT" w:cs="Arial-BoldMT"/>
          <w:b/>
          <w:bCs/>
          <w:sz w:val="18"/>
          <w:szCs w:val="18"/>
        </w:rPr>
        <w:t xml:space="preserve"> MTB/RIF Assay Cartridges with Integrated Reaction Tubes 10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Bead 1 (freeze-dried)</w:t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 xml:space="preserve"> 2 of each per cartridge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Polymerase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</w:t>
      </w:r>
      <w:proofErr w:type="spellStart"/>
      <w:proofErr w:type="gramStart"/>
      <w:r>
        <w:rPr>
          <w:rFonts w:ascii="ArialMT" w:hAnsi="ArialMT" w:cs="ArialMT"/>
          <w:sz w:val="18"/>
          <w:szCs w:val="18"/>
        </w:rPr>
        <w:t>dNTPs</w:t>
      </w:r>
      <w:proofErr w:type="spellEnd"/>
      <w:proofErr w:type="gramEnd"/>
      <w:r>
        <w:rPr>
          <w:rFonts w:ascii="ArialMT" w:hAnsi="ArialMT" w:cs="ArialMT"/>
          <w:sz w:val="18"/>
          <w:szCs w:val="18"/>
        </w:rPr>
        <w:t xml:space="preserve"> (</w:t>
      </w:r>
      <w:proofErr w:type="spellStart"/>
      <w:r>
        <w:rPr>
          <w:rFonts w:ascii="ArialMT" w:hAnsi="ArialMT" w:cs="ArialMT"/>
          <w:sz w:val="18"/>
          <w:szCs w:val="18"/>
        </w:rPr>
        <w:t>deoxynucleoside</w:t>
      </w:r>
      <w:proofErr w:type="spellEnd"/>
      <w:r>
        <w:rPr>
          <w:rFonts w:ascii="ArialMT" w:hAnsi="ArialMT" w:cs="ArialMT"/>
          <w:sz w:val="18"/>
          <w:szCs w:val="18"/>
        </w:rPr>
        <w:t xml:space="preserve"> </w:t>
      </w:r>
      <w:proofErr w:type="spellStart"/>
      <w:r>
        <w:rPr>
          <w:rFonts w:ascii="ArialMT" w:hAnsi="ArialMT" w:cs="ArialMT"/>
          <w:sz w:val="18"/>
          <w:szCs w:val="18"/>
        </w:rPr>
        <w:t>triphosphates</w:t>
      </w:r>
      <w:proofErr w:type="spellEnd"/>
      <w:r>
        <w:rPr>
          <w:rFonts w:ascii="ArialMT" w:hAnsi="ArialMT" w:cs="ArialMT"/>
          <w:sz w:val="18"/>
          <w:szCs w:val="18"/>
        </w:rPr>
        <w:t>)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BSA (Bovine serum albumin)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Bead 2 (freeze-dried)</w:t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 xml:space="preserve"> 2 of each per cartridge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Primers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lastRenderedPageBreak/>
        <w:t>• Probes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BSA (Bovine serum albumin)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Bead 3 (freeze-dried) 1 per cartridge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Sample Processing Control (SPC) ~6,000 non-infectious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-ItalicMT" w:hAnsi="Arial-ItalicMT" w:cs="Arial-ItalicMT"/>
          <w:i/>
          <w:iCs/>
          <w:sz w:val="18"/>
          <w:szCs w:val="18"/>
        </w:rPr>
        <w:t xml:space="preserve">B. </w:t>
      </w:r>
      <w:proofErr w:type="spellStart"/>
      <w:r>
        <w:rPr>
          <w:rFonts w:ascii="Arial-ItalicMT" w:hAnsi="Arial-ItalicMT" w:cs="Arial-ItalicMT"/>
          <w:i/>
          <w:iCs/>
          <w:sz w:val="18"/>
          <w:szCs w:val="18"/>
        </w:rPr>
        <w:t>globigii</w:t>
      </w:r>
      <w:proofErr w:type="spellEnd"/>
      <w:r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spores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Reagent 1</w:t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 xml:space="preserve"> 4 </w:t>
      </w:r>
      <w:proofErr w:type="spellStart"/>
      <w:r>
        <w:rPr>
          <w:rFonts w:ascii="ArialMT" w:hAnsi="ArialMT" w:cs="ArialMT"/>
          <w:sz w:val="18"/>
          <w:szCs w:val="18"/>
        </w:rPr>
        <w:t>mL</w:t>
      </w:r>
      <w:proofErr w:type="spellEnd"/>
      <w:r>
        <w:rPr>
          <w:rFonts w:ascii="ArialMT" w:hAnsi="ArialMT" w:cs="ArialMT"/>
          <w:sz w:val="18"/>
          <w:szCs w:val="18"/>
        </w:rPr>
        <w:t xml:space="preserve"> per cartridge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</w:t>
      </w:r>
      <w:proofErr w:type="spellStart"/>
      <w:r>
        <w:rPr>
          <w:rFonts w:ascii="ArialMT" w:hAnsi="ArialMT" w:cs="ArialMT"/>
          <w:sz w:val="18"/>
          <w:szCs w:val="18"/>
        </w:rPr>
        <w:t>Tris</w:t>
      </w:r>
      <w:proofErr w:type="spellEnd"/>
      <w:r>
        <w:rPr>
          <w:rFonts w:ascii="ArialMT" w:hAnsi="ArialMT" w:cs="ArialMT"/>
          <w:sz w:val="18"/>
          <w:szCs w:val="18"/>
        </w:rPr>
        <w:t xml:space="preserve"> Buffer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Surfactants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EDTA (</w:t>
      </w:r>
      <w:proofErr w:type="spellStart"/>
      <w:r>
        <w:rPr>
          <w:rFonts w:ascii="ArialMT" w:hAnsi="ArialMT" w:cs="ArialMT"/>
          <w:sz w:val="18"/>
          <w:szCs w:val="18"/>
        </w:rPr>
        <w:t>ethylenediaminetetraacetic</w:t>
      </w:r>
      <w:proofErr w:type="spellEnd"/>
      <w:r>
        <w:rPr>
          <w:rFonts w:ascii="ArialMT" w:hAnsi="ArialMT" w:cs="ArialMT"/>
          <w:sz w:val="18"/>
          <w:szCs w:val="18"/>
        </w:rPr>
        <w:t xml:space="preserve"> acid)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Reagent 2 </w:t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 w:rsidR="00A21E07"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 xml:space="preserve">4 </w:t>
      </w:r>
      <w:proofErr w:type="spellStart"/>
      <w:r>
        <w:rPr>
          <w:rFonts w:ascii="ArialMT" w:hAnsi="ArialMT" w:cs="ArialMT"/>
          <w:sz w:val="18"/>
          <w:szCs w:val="18"/>
        </w:rPr>
        <w:t>mL</w:t>
      </w:r>
      <w:proofErr w:type="spellEnd"/>
      <w:r>
        <w:rPr>
          <w:rFonts w:ascii="ArialMT" w:hAnsi="ArialMT" w:cs="ArialMT"/>
          <w:sz w:val="18"/>
          <w:szCs w:val="18"/>
        </w:rPr>
        <w:t xml:space="preserve"> per cartridge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</w:t>
      </w:r>
      <w:proofErr w:type="spellStart"/>
      <w:r>
        <w:rPr>
          <w:rFonts w:ascii="ArialMT" w:hAnsi="ArialMT" w:cs="ArialMT"/>
          <w:sz w:val="18"/>
          <w:szCs w:val="18"/>
        </w:rPr>
        <w:t>Tris</w:t>
      </w:r>
      <w:proofErr w:type="spellEnd"/>
      <w:r>
        <w:rPr>
          <w:rFonts w:ascii="ArialMT" w:hAnsi="ArialMT" w:cs="ArialMT"/>
          <w:sz w:val="18"/>
          <w:szCs w:val="18"/>
        </w:rPr>
        <w:t xml:space="preserve"> Buffer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Surfactants</w:t>
      </w:r>
    </w:p>
    <w:p w:rsidR="00A946D2" w:rsidRDefault="00A946D2" w:rsidP="00A21E0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EDTA (</w:t>
      </w:r>
      <w:proofErr w:type="spellStart"/>
      <w:r>
        <w:rPr>
          <w:rFonts w:ascii="ArialMT" w:hAnsi="ArialMT" w:cs="ArialMT"/>
          <w:sz w:val="18"/>
          <w:szCs w:val="18"/>
        </w:rPr>
        <w:t>ethylenediaminetetraacetic</w:t>
      </w:r>
      <w:proofErr w:type="spellEnd"/>
      <w:r>
        <w:rPr>
          <w:rFonts w:ascii="ArialMT" w:hAnsi="ArialMT" w:cs="ArialMT"/>
          <w:sz w:val="18"/>
          <w:szCs w:val="18"/>
        </w:rPr>
        <w:t xml:space="preserve"> acid)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Sample Reagent </w:t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 xml:space="preserve">8 </w:t>
      </w:r>
      <w:proofErr w:type="spellStart"/>
      <w:r>
        <w:rPr>
          <w:rFonts w:ascii="Arial-BoldMT" w:hAnsi="Arial-BoldMT" w:cs="Arial-BoldMT"/>
          <w:b/>
          <w:bCs/>
          <w:sz w:val="18"/>
          <w:szCs w:val="18"/>
        </w:rPr>
        <w:t>mL</w:t>
      </w:r>
      <w:proofErr w:type="spellEnd"/>
      <w:r>
        <w:rPr>
          <w:rFonts w:ascii="Arial-BoldMT" w:hAnsi="Arial-BoldMT" w:cs="Arial-BoldMT"/>
          <w:b/>
          <w:bCs/>
          <w:sz w:val="18"/>
          <w:szCs w:val="18"/>
        </w:rPr>
        <w:t xml:space="preserve"> per bottle</w:t>
      </w:r>
    </w:p>
    <w:p w:rsidR="00A946D2" w:rsidRDefault="00A946D2" w:rsidP="003977E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Sodium Hydroxide</w:t>
      </w:r>
    </w:p>
    <w:p w:rsidR="00A946D2" w:rsidRDefault="00A946D2" w:rsidP="003977E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</w:t>
      </w:r>
      <w:proofErr w:type="spellStart"/>
      <w:r>
        <w:rPr>
          <w:rFonts w:ascii="ArialMT" w:hAnsi="ArialMT" w:cs="ArialMT"/>
          <w:sz w:val="18"/>
          <w:szCs w:val="18"/>
        </w:rPr>
        <w:t>Isopropanol</w:t>
      </w:r>
      <w:proofErr w:type="spellEnd"/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Disposable Transfer Pipettes </w:t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>12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CD </w:t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 w:rsidR="003977E7"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>1 per kit</w:t>
      </w:r>
    </w:p>
    <w:p w:rsidR="00A946D2" w:rsidRDefault="00A946D2" w:rsidP="003977E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Assay Definition File (ADF) – ADF for use with both the </w:t>
      </w:r>
      <w:proofErr w:type="spellStart"/>
      <w:r>
        <w:rPr>
          <w:rFonts w:ascii="ArialMT" w:hAnsi="ArialMT" w:cs="ArialMT"/>
          <w:sz w:val="18"/>
          <w:szCs w:val="18"/>
        </w:rPr>
        <w:t>GeneXpert</w:t>
      </w:r>
      <w:proofErr w:type="spellEnd"/>
      <w:r>
        <w:rPr>
          <w:rFonts w:ascii="ArialMT" w:hAnsi="ArialMT" w:cs="ArialMT"/>
          <w:sz w:val="18"/>
          <w:szCs w:val="18"/>
        </w:rPr>
        <w:t xml:space="preserve"> </w:t>
      </w:r>
      <w:proofErr w:type="spellStart"/>
      <w:r>
        <w:rPr>
          <w:rFonts w:ascii="ArialMT" w:hAnsi="ArialMT" w:cs="ArialMT"/>
          <w:sz w:val="18"/>
          <w:szCs w:val="18"/>
        </w:rPr>
        <w:t>Dx</w:t>
      </w:r>
      <w:proofErr w:type="spellEnd"/>
      <w:r>
        <w:rPr>
          <w:rFonts w:ascii="ArialMT" w:hAnsi="ArialMT" w:cs="ArialMT"/>
          <w:sz w:val="18"/>
          <w:szCs w:val="18"/>
        </w:rPr>
        <w:t xml:space="preserve"> and Infinity Systems</w:t>
      </w:r>
    </w:p>
    <w:p w:rsidR="00A946D2" w:rsidRDefault="00A946D2" w:rsidP="003977E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Instructions to import ADF into GX software</w:t>
      </w:r>
    </w:p>
    <w:p w:rsidR="00A946D2" w:rsidRDefault="00A946D2" w:rsidP="003977E7">
      <w:pPr>
        <w:autoSpaceDE w:val="0"/>
        <w:autoSpaceDN w:val="0"/>
        <w:adjustRightInd w:val="0"/>
        <w:spacing w:after="0" w:line="240" w:lineRule="auto"/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Package Insert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>Sample Reagent (SR) can be colorless to yellow to amber. Color may intensify with time, but color has no effect on performance.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 xml:space="preserve">Safety Data Sheets (SDS) </w:t>
      </w:r>
      <w:proofErr w:type="gramStart"/>
      <w:r>
        <w:rPr>
          <w:rFonts w:ascii="ArialMT" w:hAnsi="ArialMT" w:cs="ArialMT"/>
          <w:sz w:val="16"/>
          <w:szCs w:val="16"/>
        </w:rPr>
        <w:t>are</w:t>
      </w:r>
      <w:proofErr w:type="gramEnd"/>
      <w:r>
        <w:rPr>
          <w:rFonts w:ascii="ArialMT" w:hAnsi="ArialMT" w:cs="ArialMT"/>
          <w:sz w:val="16"/>
          <w:szCs w:val="16"/>
        </w:rPr>
        <w:t xml:space="preserve"> available at www.cepheid.com or www.cepheidinternational.com under the </w:t>
      </w:r>
      <w:r>
        <w:rPr>
          <w:rFonts w:ascii="ArialNarrow-Bold" w:hAnsi="ArialNarrow-Bold" w:cs="ArialNarrow-Bold"/>
          <w:b/>
          <w:bCs/>
          <w:sz w:val="19"/>
          <w:szCs w:val="19"/>
        </w:rPr>
        <w:t xml:space="preserve">SUPPORT </w:t>
      </w:r>
      <w:r>
        <w:rPr>
          <w:rFonts w:ascii="ArialMT" w:hAnsi="ArialMT" w:cs="ArialMT"/>
          <w:sz w:val="16"/>
          <w:szCs w:val="16"/>
        </w:rPr>
        <w:t>tab.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P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>The bovine serum albumin (BSA) in the beads within this product was produced and manufactured exclusively from bovine plasma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>
        <w:rPr>
          <w:rFonts w:ascii="ArialMT" w:hAnsi="ArialMT" w:cs="ArialMT"/>
          <w:sz w:val="16"/>
          <w:szCs w:val="16"/>
        </w:rPr>
        <w:t>sourced in the United States. No ruminant protein or other animal protein was fed to the animals; the animals passed ante- and postmortem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>
        <w:rPr>
          <w:rFonts w:ascii="ArialMT" w:hAnsi="ArialMT" w:cs="ArialMT"/>
          <w:sz w:val="16"/>
          <w:szCs w:val="16"/>
        </w:rPr>
        <w:t>testing. During processing, there was no commingling of the material with other animal materials.</w:t>
      </w: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A946D2" w:rsidRDefault="00A946D2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 xml:space="preserve">The transfer pipettes have a single mark representing the minimum volume of sample necessary to transfer the </w:t>
      </w:r>
      <w:proofErr w:type="spellStart"/>
      <w:r>
        <w:rPr>
          <w:rFonts w:ascii="ArialMT" w:hAnsi="ArialMT" w:cs="ArialMT"/>
          <w:sz w:val="16"/>
          <w:szCs w:val="16"/>
        </w:rPr>
        <w:t>GeneXpert</w:t>
      </w:r>
      <w:proofErr w:type="spellEnd"/>
      <w:r>
        <w:rPr>
          <w:rFonts w:ascii="ArialMT" w:hAnsi="ArialMT" w:cs="ArialMT"/>
          <w:sz w:val="16"/>
          <w:szCs w:val="16"/>
        </w:rPr>
        <w:t xml:space="preserve"> cartridge. Use only for this purpose. All other pipettes must be provided by the laboratory.</w:t>
      </w:r>
    </w:p>
    <w:p w:rsidR="00AC24BA" w:rsidRDefault="00AC24BA" w:rsidP="00A946D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57713">
        <w:rPr>
          <w:rFonts w:ascii="Arial-BoldMT" w:hAnsi="Arial-BoldMT" w:cs="Arial-BoldMT"/>
          <w:b/>
          <w:bCs/>
        </w:rPr>
        <w:t>Storage and Handling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• Store the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MTB/RIF Assay cartridges and reagents at 2 – 28 °C.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use reagents or cartridges that have passed the expiration date.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The cartridge is stable up to 6 weeks at 2-45°C after opening the pouch. Do not open a cartridge until ready to test.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• If using a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GeneXpert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Dx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instrument, start the test within four hours of adding the Sample Reagent-treated sample to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the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cartridge.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• If using a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GeneXpert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Infinity system, be sure to start the test and put the cartridge on the conveyor within 30 minutes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of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adding the Sample Reagent-treated sample to the cartridge. Remaining shelf-life is tracked by the system by the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spellStart"/>
      <w:r w:rsidRPr="00057713">
        <w:rPr>
          <w:rFonts w:ascii="Times New Roman" w:hAnsi="Times New Roman" w:cs="David"/>
          <w:sz w:val="18"/>
          <w:szCs w:val="18"/>
        </w:rPr>
        <w:t>Xpertise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Software so that tests </w:t>
      </w:r>
      <w:proofErr w:type="gramStart"/>
      <w:r w:rsidRPr="00057713">
        <w:rPr>
          <w:rFonts w:ascii="Times New Roman" w:hAnsi="Times New Roman" w:cs="David"/>
          <w:sz w:val="18"/>
          <w:szCs w:val="18"/>
        </w:rPr>
        <w:t>are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run prior to the four hour on-board expiration.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use any reagents that have become cloudy or discolored.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 </w:t>
      </w:r>
      <w:r w:rsidRPr="00057713">
        <w:rPr>
          <w:rFonts w:ascii="Arial-BoldMT" w:hAnsi="Arial-BoldMT" w:cs="Arial-BoldMT"/>
          <w:b/>
          <w:bCs/>
        </w:rPr>
        <w:t>Materials Required but Not Provided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•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GeneXpert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Instrument System (catalog number varies by configuration): 6-color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GeneXpert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instrument, computer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with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proprietary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GeneXpert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Software Version 4.3 or higher, barcode scanner, and operator manual.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Printer: If a printer is required, contact Cepheid Technical support to arrange for the purchase of a recommended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printer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>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Leak-proof, sterile, screw-capped specimen collection containers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Disposable gloves, eye protection, laboratory coats, and labels or permanent marking pen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Sterile, single use pipettes with dry-end barrier plugs for sample processing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Timer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 Materials Available but Not Provided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MMQCI (Maine Molecular Quality Controls, Inc.)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INTROL™ External Run Control (catalog # TBNEG-04) as negative control,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and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MMQCI INTROL™ External Run Controls (catalog # TBWT-04 and catalog #TBMDR1-04) as RIF susceptible and RIF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resistant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positive controls.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57713">
        <w:rPr>
          <w:rFonts w:ascii="Arial-BoldMT" w:hAnsi="Arial-BoldMT" w:cs="Arial-BoldMT"/>
          <w:b/>
          <w:bCs/>
        </w:rPr>
        <w:lastRenderedPageBreak/>
        <w:t xml:space="preserve"> Warnings and Precautions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Treat all biological specimens, including used cartridges, as if capable of transmitting infectious agents. Because it is often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impossible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to know which specimens might be infectious, all biological specimens should be treated with standard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precautions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>. Guidelines for specimen handling are available from the U.S. Centers for Disease Control and Prevention7 and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the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Clinical and Laboratory Standards Institute (formerly National Committee for Clinical Laboratory Standards).8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Wear protective disposable gloves, laboratory coats, and eye protection when handling specimens and reagents. Wash hands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thoroughly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after handling specimens and test reagents.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Follow your institution’s safety procedures for working with chemicals and handling biological samples.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• Preparation of digested, decontaminated and concentrated sputum sediments, and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MTB/RIF procedures should be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done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using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Biosafety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Level 2 practices.9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Use only for the detection of members of the M. tuberculosis complex using sediments prepared following the NALC-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NaOH</w:t>
      </w:r>
      <w:proofErr w:type="spellEnd"/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or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NaOH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procedures recommended by the Centers for Disease Control and Prevention (CDC).10 This test may only be used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with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raw sputum samples or concentrated sediments prepared from induced or expectorated sputa.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When processing more than one sample at a time, open only one cartridge; add the Sample Reagent-treated sample and close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the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cartridge before processing the next sample. Change gloves between samples.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• Do not substitute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MTB/RIF Assay reagents with other reagents.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• Do not open the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MTB/RIF Assay cartridge lid except when adding the Sample Reagent-treated sample.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use a cartridge if it appears wet or if the lid seal appears to have been broken.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use a cartridge that has been dropped or shaken.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Do not use a cartridge that has a damaged reaction tube.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 xml:space="preserve">• Each single-use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Xpert</w:t>
      </w:r>
      <w:proofErr w:type="spellEnd"/>
      <w:r w:rsidRPr="00057713">
        <w:rPr>
          <w:rFonts w:ascii="Times New Roman" w:hAnsi="Times New Roman" w:cs="David"/>
          <w:sz w:val="18"/>
          <w:szCs w:val="18"/>
        </w:rPr>
        <w:t xml:space="preserve"> MTB/RIF Assay cartridge is used to process one test. Do not reuse spent cartridges.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Consult your institution’s environmental waste personnel regarding proper disposal of used cartridges and unused reagents.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This material may contain federal EPA Resource Conservation and Recovery Act (RCRA) hazardous waste requiring</w:t>
      </w:r>
    </w:p>
    <w:p w:rsidR="00AC24BA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specific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disposal. Check state and local regulations as they may differ from federal disposal regulations. Institutions should</w:t>
      </w:r>
    </w:p>
    <w:p w:rsidR="009F0551" w:rsidRPr="00057713" w:rsidRDefault="00AC24BA" w:rsidP="00AC24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check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their country hazardous waste disposal requirements.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Sample Reagent contains sodium hydroxide (pH &gt; 12.5); (international chemical safety hazard codes H303, H315, H318),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which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may be irritating to eyes and skin and requires eye and skin protection. Sample reagent also contains </w:t>
      </w:r>
      <w:proofErr w:type="spellStart"/>
      <w:r w:rsidRPr="00057713">
        <w:rPr>
          <w:rFonts w:ascii="Times New Roman" w:hAnsi="Times New Roman" w:cs="David"/>
          <w:sz w:val="18"/>
          <w:szCs w:val="18"/>
        </w:rPr>
        <w:t>isopropanol</w:t>
      </w:r>
      <w:proofErr w:type="spellEnd"/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(</w:t>
      </w:r>
      <w:proofErr w:type="gramStart"/>
      <w:r w:rsidRPr="00057713">
        <w:rPr>
          <w:rFonts w:ascii="Times New Roman" w:hAnsi="Times New Roman" w:cs="David"/>
          <w:sz w:val="18"/>
          <w:szCs w:val="18"/>
        </w:rPr>
        <w:t>international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chemical safety hazard code H225), which is a flammable liquid.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The HIV/MTB co-infected population may contain an increased percentage of patients with smear-negative samples with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MTB-complex levels below the assay’s level of detection.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• Local, state, and federal regulations for notification of reportable diseases are continually updated and include a number of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organisms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for surveillance and outbreak investigations.11,12 Additionally the Centers for Disease Control and Prevention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(CDC) recommends that when pathogens from reportable diseases are detected by a culture independent diagnostic test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r w:rsidRPr="00057713">
        <w:rPr>
          <w:rFonts w:ascii="Times New Roman" w:hAnsi="Times New Roman" w:cs="David"/>
          <w:sz w:val="18"/>
          <w:szCs w:val="18"/>
        </w:rPr>
        <w:t>(CIDT), the laboratory should facilitate obtaining the isolate or clinical materials for submission to the appropriate public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health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laboratory to aid in outbreak and epidemiological investigations. Laboratories are responsible for following their state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and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local regulations and should consult their state and local public health laboratories for isolate and clinical sample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  <w:proofErr w:type="gramStart"/>
      <w:r w:rsidRPr="00057713">
        <w:rPr>
          <w:rFonts w:ascii="Times New Roman" w:hAnsi="Times New Roman" w:cs="David"/>
          <w:sz w:val="18"/>
          <w:szCs w:val="18"/>
        </w:rPr>
        <w:t>submission</w:t>
      </w:r>
      <w:proofErr w:type="gramEnd"/>
      <w:r w:rsidRPr="00057713">
        <w:rPr>
          <w:rFonts w:ascii="Times New Roman" w:hAnsi="Times New Roman" w:cs="David"/>
          <w:sz w:val="18"/>
          <w:szCs w:val="18"/>
        </w:rPr>
        <w:t xml:space="preserve"> guidelines.</w:t>
      </w:r>
    </w:p>
    <w:p w:rsidR="00FE6F3F" w:rsidRPr="00057713" w:rsidRDefault="00FE6F3F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FE6F3F" w:rsidRPr="00057713" w:rsidRDefault="00FE6F3F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57713">
        <w:rPr>
          <w:rFonts w:ascii="Arial-BoldMT" w:hAnsi="Arial-BoldMT" w:cs="Arial-BoldMT"/>
          <w:b/>
          <w:bCs/>
        </w:rPr>
        <w:t>Specimen Collection, Transport and Storage</w:t>
      </w:r>
    </w:p>
    <w:p w:rsidR="00B80AAB" w:rsidRDefault="00B80AAB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57713">
        <w:rPr>
          <w:rFonts w:ascii="Arial-BoldMT" w:hAnsi="Arial-BoldMT" w:cs="Arial-BoldMT"/>
          <w:b/>
          <w:bCs/>
        </w:rPr>
        <w:t>Collection</w:t>
      </w:r>
    </w:p>
    <w:p w:rsidR="009F0551" w:rsidRPr="00B80AAB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80AAB">
        <w:rPr>
          <w:rFonts w:ascii="ArialMT" w:hAnsi="ArialMT" w:cs="ArialMT"/>
          <w:sz w:val="18"/>
          <w:szCs w:val="18"/>
        </w:rPr>
        <w:t xml:space="preserve">Collect raw </w:t>
      </w:r>
      <w:r w:rsidR="00B80AAB">
        <w:rPr>
          <w:rFonts w:ascii="ArialMT" w:hAnsi="ArialMT" w:cs="ArialMT"/>
          <w:sz w:val="18"/>
          <w:szCs w:val="18"/>
        </w:rPr>
        <w:t xml:space="preserve">or induced </w:t>
      </w:r>
      <w:r w:rsidRPr="00B80AAB">
        <w:rPr>
          <w:rFonts w:ascii="ArialMT" w:hAnsi="ArialMT" w:cs="ArialMT"/>
          <w:sz w:val="18"/>
          <w:szCs w:val="18"/>
        </w:rPr>
        <w:t>s</w:t>
      </w:r>
      <w:r w:rsidR="00B80AAB">
        <w:rPr>
          <w:rFonts w:ascii="ArialMT" w:hAnsi="ArialMT" w:cs="ArialMT"/>
          <w:sz w:val="18"/>
          <w:szCs w:val="18"/>
        </w:rPr>
        <w:t xml:space="preserve">putum following </w:t>
      </w:r>
      <w:r w:rsidRPr="00B80AAB">
        <w:rPr>
          <w:rFonts w:ascii="ArialMT" w:hAnsi="ArialMT" w:cs="ArialMT"/>
          <w:sz w:val="18"/>
          <w:szCs w:val="18"/>
        </w:rPr>
        <w:t xml:space="preserve">standard procedures. </w:t>
      </w:r>
      <w:r w:rsidR="00B80AAB">
        <w:rPr>
          <w:rFonts w:ascii="ArialMT" w:hAnsi="ArialMT" w:cs="ArialMT"/>
          <w:sz w:val="18"/>
          <w:szCs w:val="18"/>
        </w:rPr>
        <w:t>At least 1mL is required for testing. Additiona</w:t>
      </w:r>
      <w:r w:rsidR="00921DAB">
        <w:rPr>
          <w:rFonts w:ascii="ArialMT" w:hAnsi="ArialMT" w:cs="ArialMT"/>
          <w:sz w:val="18"/>
          <w:szCs w:val="18"/>
        </w:rPr>
        <w:t>lly,</w:t>
      </w:r>
      <w:r w:rsidR="00B80AAB">
        <w:rPr>
          <w:rFonts w:ascii="ArialMT" w:hAnsi="ArialMT" w:cs="ArialMT"/>
          <w:sz w:val="18"/>
          <w:szCs w:val="18"/>
        </w:rPr>
        <w:t xml:space="preserve"> 5mL of sputum is required for AFB Culture/Smear which must be performed on all specimens tested.</w:t>
      </w:r>
    </w:p>
    <w:p w:rsidR="009F0551" w:rsidRPr="00B80AAB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57713">
        <w:rPr>
          <w:rFonts w:ascii="Arial-BoldMT" w:hAnsi="Arial-BoldMT" w:cs="Arial-BoldMT"/>
          <w:b/>
          <w:bCs/>
        </w:rPr>
        <w:t>Storage and Transport</w:t>
      </w:r>
    </w:p>
    <w:p w:rsidR="009F0551" w:rsidRPr="00B80AAB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80AAB">
        <w:rPr>
          <w:rFonts w:ascii="ArialMT" w:hAnsi="ArialMT" w:cs="ArialMT"/>
          <w:sz w:val="18"/>
          <w:szCs w:val="18"/>
        </w:rPr>
        <w:t>Raw sputum: Transport and store specimens at 2–8 °C before processing whenever possible. If necessary, sputum specimens can</w:t>
      </w:r>
      <w:r w:rsidR="00B80AAB">
        <w:rPr>
          <w:rFonts w:ascii="ArialMT" w:hAnsi="ArialMT" w:cs="ArialMT"/>
          <w:sz w:val="18"/>
          <w:szCs w:val="18"/>
        </w:rPr>
        <w:t xml:space="preserve"> </w:t>
      </w:r>
      <w:r w:rsidRPr="00B80AAB">
        <w:rPr>
          <w:rFonts w:ascii="ArialMT" w:hAnsi="ArialMT" w:cs="ArialMT"/>
          <w:sz w:val="18"/>
          <w:szCs w:val="18"/>
        </w:rPr>
        <w:t>be stored at a maximum of 35 °C for up to three days and then at 2–8 °C for an additional seven days.</w:t>
      </w:r>
    </w:p>
    <w:p w:rsidR="00BF14F4" w:rsidRPr="00057713" w:rsidRDefault="00BF14F4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CE373B" w:rsidRDefault="00CE373B" w:rsidP="00CE373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Specimen Acceptability Screen Stepwise Procedure</w:t>
      </w:r>
      <w:r w:rsidRPr="00CE373B">
        <w:rPr>
          <w:rFonts w:ascii="Arial-BoldMT" w:hAnsi="Arial-BoldMT" w:cs="Arial-BoldMT"/>
          <w:b/>
          <w:bCs/>
        </w:rPr>
        <w:t>:</w:t>
      </w:r>
    </w:p>
    <w:p w:rsidR="00D71BA9" w:rsidRDefault="00D71BA9" w:rsidP="00CE373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D71BA9" w:rsidRDefault="001B4C04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All s</w:t>
      </w:r>
      <w:r w:rsidR="00D71BA9" w:rsidRPr="00D71BA9">
        <w:rPr>
          <w:rFonts w:ascii="ArialMT" w:hAnsi="ArialMT" w:cs="ArialMT"/>
          <w:sz w:val="18"/>
          <w:szCs w:val="18"/>
        </w:rPr>
        <w:t>putum and induced sputum</w:t>
      </w:r>
      <w:r w:rsidR="00D71BA9">
        <w:rPr>
          <w:rFonts w:ascii="ArialMT" w:hAnsi="ArialMT" w:cs="ArialMT"/>
          <w:sz w:val="18"/>
          <w:szCs w:val="18"/>
        </w:rPr>
        <w:t xml:space="preserve"> specimens will be screened</w:t>
      </w:r>
      <w:r w:rsidR="008830FF">
        <w:rPr>
          <w:rFonts w:ascii="ArialMT" w:hAnsi="ArialMT" w:cs="ArialMT"/>
          <w:sz w:val="18"/>
          <w:szCs w:val="18"/>
        </w:rPr>
        <w:t xml:space="preserve"> by Gram s</w:t>
      </w:r>
      <w:r>
        <w:rPr>
          <w:rFonts w:ascii="ArialMT" w:hAnsi="ArialMT" w:cs="ArialMT"/>
          <w:sz w:val="18"/>
          <w:szCs w:val="18"/>
        </w:rPr>
        <w:t>t</w:t>
      </w:r>
      <w:r w:rsidR="008830FF">
        <w:rPr>
          <w:rFonts w:ascii="ArialMT" w:hAnsi="ArialMT" w:cs="ArialMT"/>
          <w:sz w:val="18"/>
          <w:szCs w:val="18"/>
        </w:rPr>
        <w:t>a</w:t>
      </w:r>
      <w:r>
        <w:rPr>
          <w:rFonts w:ascii="ArialMT" w:hAnsi="ArialMT" w:cs="ArialMT"/>
          <w:sz w:val="18"/>
          <w:szCs w:val="18"/>
        </w:rPr>
        <w:t xml:space="preserve">in </w:t>
      </w:r>
      <w:r w:rsidR="00D71BA9">
        <w:rPr>
          <w:rFonts w:ascii="ArialMT" w:hAnsi="ArialMT" w:cs="ArialMT"/>
          <w:sz w:val="18"/>
          <w:szCs w:val="18"/>
        </w:rPr>
        <w:t>for acceptability</w:t>
      </w:r>
      <w:r>
        <w:rPr>
          <w:rFonts w:ascii="ArialMT" w:hAnsi="ArialMT" w:cs="ArialMT"/>
          <w:sz w:val="18"/>
          <w:szCs w:val="18"/>
        </w:rPr>
        <w:t xml:space="preserve"> before TB PCR testing. </w:t>
      </w:r>
    </w:p>
    <w:p w:rsidR="001B4C04" w:rsidRPr="00D71BA9" w:rsidRDefault="001B4C04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CE373B" w:rsidRPr="00CE373B" w:rsidRDefault="00CE373B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CE373B">
        <w:rPr>
          <w:rFonts w:ascii="ArialMT" w:hAnsi="ArialMT" w:cs="ArialMT"/>
          <w:sz w:val="18"/>
          <w:szCs w:val="18"/>
        </w:rPr>
        <w:t>Refer to “Gram Stain” procedure #4840-MB-015 for slide preparation and gram staining.</w:t>
      </w:r>
    </w:p>
    <w:p w:rsidR="00CE373B" w:rsidRPr="00CE373B" w:rsidRDefault="00CE373B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CE373B">
        <w:rPr>
          <w:rFonts w:ascii="ArialMT" w:hAnsi="ArialMT" w:cs="ArialMT"/>
          <w:sz w:val="18"/>
          <w:szCs w:val="18"/>
        </w:rPr>
        <w:t xml:space="preserve">On low power (10X objective) scan approximately 10-20 fields and estimate the average number of </w:t>
      </w:r>
      <w:proofErr w:type="spellStart"/>
      <w:r w:rsidRPr="00CE373B">
        <w:rPr>
          <w:rFonts w:ascii="ArialMT" w:hAnsi="ArialMT" w:cs="ArialMT"/>
          <w:sz w:val="18"/>
          <w:szCs w:val="18"/>
        </w:rPr>
        <w:t>squamous</w:t>
      </w:r>
      <w:proofErr w:type="spellEnd"/>
      <w:r w:rsidRPr="00CE373B">
        <w:rPr>
          <w:rFonts w:ascii="ArialMT" w:hAnsi="ArialMT" w:cs="ArialMT"/>
          <w:sz w:val="18"/>
          <w:szCs w:val="18"/>
        </w:rPr>
        <w:t xml:space="preserve"> epithelial cells and WBC’s (PMN’s) present per field.  Using the chart in “C” decide, based on your observations, whether the specimen is acceptable for TB PCR.</w:t>
      </w:r>
    </w:p>
    <w:p w:rsidR="00CE373B" w:rsidRPr="00CE373B" w:rsidRDefault="00CE373B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CE373B" w:rsidRPr="00CE373B" w:rsidRDefault="00CE373B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CE373B" w:rsidRPr="00CE373B" w:rsidRDefault="00CE373B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CE373B">
        <w:rPr>
          <w:rFonts w:ascii="ArialMT" w:hAnsi="ArialMT" w:cs="ArialMT"/>
          <w:sz w:val="18"/>
          <w:szCs w:val="18"/>
        </w:rPr>
        <w:t>C.  Interpret the sputum screen as follows:</w:t>
      </w:r>
    </w:p>
    <w:p w:rsidR="00CE373B" w:rsidRPr="00CE373B" w:rsidRDefault="00CE373B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94"/>
        <w:gridCol w:w="2394"/>
        <w:gridCol w:w="2520"/>
      </w:tblGrid>
      <w:tr w:rsidR="00CE373B" w:rsidRPr="00CE373B" w:rsidTr="00D71BA9">
        <w:tblPrEx>
          <w:tblCellMar>
            <w:top w:w="0" w:type="dxa"/>
            <w:bottom w:w="0" w:type="dxa"/>
          </w:tblCellMar>
        </w:tblPrEx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 xml:space="preserve">SQUAMOUS </w:t>
            </w:r>
            <w:proofErr w:type="spellStart"/>
            <w:r w:rsidRPr="00CE373B">
              <w:rPr>
                <w:rFonts w:ascii="ArialMT" w:hAnsi="ArialMT" w:cs="ArialMT"/>
                <w:sz w:val="18"/>
                <w:szCs w:val="18"/>
              </w:rPr>
              <w:t>epis</w:t>
            </w:r>
            <w:proofErr w:type="spellEnd"/>
            <w:r w:rsidRPr="00CE373B">
              <w:rPr>
                <w:rFonts w:ascii="ArialMT" w:hAnsi="ArialMT" w:cs="ArialMT"/>
                <w:sz w:val="18"/>
                <w:szCs w:val="18"/>
              </w:rPr>
              <w:t>/LPF</w:t>
            </w:r>
          </w:p>
        </w:tc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PMN’s/LPF</w:t>
            </w:r>
          </w:p>
        </w:tc>
        <w:tc>
          <w:tcPr>
            <w:tcW w:w="2520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INTERPRETATION</w:t>
            </w:r>
          </w:p>
        </w:tc>
      </w:tr>
      <w:tr w:rsidR="00CE373B" w:rsidRPr="00CE373B" w:rsidTr="00D71BA9">
        <w:tblPrEx>
          <w:tblCellMar>
            <w:top w:w="0" w:type="dxa"/>
            <w:bottom w:w="0" w:type="dxa"/>
          </w:tblCellMar>
        </w:tblPrEx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&gt;25</w:t>
            </w:r>
          </w:p>
        </w:tc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&lt;10</w:t>
            </w:r>
          </w:p>
        </w:tc>
        <w:tc>
          <w:tcPr>
            <w:tcW w:w="2520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Reject</w:t>
            </w:r>
          </w:p>
        </w:tc>
      </w:tr>
      <w:tr w:rsidR="00CE373B" w:rsidRPr="00CE373B" w:rsidTr="00D71BA9">
        <w:tblPrEx>
          <w:tblCellMar>
            <w:top w:w="0" w:type="dxa"/>
            <w:bottom w:w="0" w:type="dxa"/>
          </w:tblCellMar>
        </w:tblPrEx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&gt;25</w:t>
            </w:r>
          </w:p>
        </w:tc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10-25</w:t>
            </w:r>
          </w:p>
        </w:tc>
        <w:tc>
          <w:tcPr>
            <w:tcW w:w="2520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Reject</w:t>
            </w:r>
          </w:p>
        </w:tc>
      </w:tr>
      <w:tr w:rsidR="00CE373B" w:rsidRPr="00CE373B" w:rsidTr="00D71BA9">
        <w:tblPrEx>
          <w:tblCellMar>
            <w:top w:w="0" w:type="dxa"/>
            <w:bottom w:w="0" w:type="dxa"/>
          </w:tblCellMar>
        </w:tblPrEx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&gt;25</w:t>
            </w:r>
          </w:p>
        </w:tc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&gt;25</w:t>
            </w:r>
          </w:p>
        </w:tc>
        <w:tc>
          <w:tcPr>
            <w:tcW w:w="2520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Accept if PMN&gt;EPIS</w:t>
            </w:r>
          </w:p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Reject, if EPIS&gt; PMN</w:t>
            </w:r>
          </w:p>
        </w:tc>
      </w:tr>
      <w:tr w:rsidR="00CE373B" w:rsidRPr="00CE373B" w:rsidTr="00D71BA9">
        <w:tblPrEx>
          <w:tblCellMar>
            <w:top w:w="0" w:type="dxa"/>
            <w:bottom w:w="0" w:type="dxa"/>
          </w:tblCellMar>
        </w:tblPrEx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10-25</w:t>
            </w:r>
          </w:p>
        </w:tc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&lt;10</w:t>
            </w:r>
          </w:p>
        </w:tc>
        <w:tc>
          <w:tcPr>
            <w:tcW w:w="2520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Reject</w:t>
            </w:r>
          </w:p>
        </w:tc>
      </w:tr>
      <w:tr w:rsidR="00CE373B" w:rsidRPr="00CE373B" w:rsidTr="00D71BA9">
        <w:tblPrEx>
          <w:tblCellMar>
            <w:top w:w="0" w:type="dxa"/>
            <w:bottom w:w="0" w:type="dxa"/>
          </w:tblCellMar>
        </w:tblPrEx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10-25</w:t>
            </w:r>
          </w:p>
        </w:tc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10-25</w:t>
            </w:r>
          </w:p>
        </w:tc>
        <w:tc>
          <w:tcPr>
            <w:tcW w:w="2520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Accept if PMN&gt; EPIS</w:t>
            </w:r>
          </w:p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Reject if EPIS&gt;PMN</w:t>
            </w:r>
          </w:p>
        </w:tc>
      </w:tr>
      <w:tr w:rsidR="00CE373B" w:rsidRPr="00CE373B" w:rsidTr="00D71BA9">
        <w:tblPrEx>
          <w:tblCellMar>
            <w:top w:w="0" w:type="dxa"/>
            <w:bottom w:w="0" w:type="dxa"/>
          </w:tblCellMar>
        </w:tblPrEx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10-25</w:t>
            </w:r>
          </w:p>
        </w:tc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&gt;25</w:t>
            </w:r>
          </w:p>
        </w:tc>
        <w:tc>
          <w:tcPr>
            <w:tcW w:w="2520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Accept</w:t>
            </w:r>
          </w:p>
        </w:tc>
      </w:tr>
      <w:tr w:rsidR="00CE373B" w:rsidRPr="00CE373B" w:rsidTr="00D71BA9">
        <w:tblPrEx>
          <w:tblCellMar>
            <w:top w:w="0" w:type="dxa"/>
            <w:bottom w:w="0" w:type="dxa"/>
          </w:tblCellMar>
        </w:tblPrEx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&lt;10</w:t>
            </w:r>
          </w:p>
        </w:tc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&lt;10</w:t>
            </w:r>
          </w:p>
        </w:tc>
        <w:tc>
          <w:tcPr>
            <w:tcW w:w="2520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Accept if PMN&gt;EPIS</w:t>
            </w:r>
          </w:p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Reject, if EPIS&gt; PMN</w:t>
            </w:r>
          </w:p>
        </w:tc>
      </w:tr>
      <w:tr w:rsidR="00CE373B" w:rsidRPr="00CE373B" w:rsidTr="00D71BA9">
        <w:tblPrEx>
          <w:tblCellMar>
            <w:top w:w="0" w:type="dxa"/>
            <w:bottom w:w="0" w:type="dxa"/>
          </w:tblCellMar>
        </w:tblPrEx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&lt;10</w:t>
            </w:r>
          </w:p>
        </w:tc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10-25</w:t>
            </w:r>
          </w:p>
        </w:tc>
        <w:tc>
          <w:tcPr>
            <w:tcW w:w="2520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Accept</w:t>
            </w:r>
          </w:p>
        </w:tc>
      </w:tr>
      <w:tr w:rsidR="00CE373B" w:rsidRPr="00CE373B" w:rsidTr="00D71BA9">
        <w:tblPrEx>
          <w:tblCellMar>
            <w:top w:w="0" w:type="dxa"/>
            <w:bottom w:w="0" w:type="dxa"/>
          </w:tblCellMar>
        </w:tblPrEx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&lt;10</w:t>
            </w:r>
          </w:p>
        </w:tc>
        <w:tc>
          <w:tcPr>
            <w:tcW w:w="2394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&gt;25</w:t>
            </w:r>
          </w:p>
        </w:tc>
        <w:tc>
          <w:tcPr>
            <w:tcW w:w="2520" w:type="dxa"/>
          </w:tcPr>
          <w:p w:rsidR="00CE373B" w:rsidRPr="00CE373B" w:rsidRDefault="00CE373B" w:rsidP="00CE37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 w:rsidRPr="00CE373B">
              <w:rPr>
                <w:rFonts w:ascii="ArialMT" w:hAnsi="ArialMT" w:cs="ArialMT"/>
                <w:sz w:val="18"/>
                <w:szCs w:val="18"/>
              </w:rPr>
              <w:t>Accept</w:t>
            </w:r>
          </w:p>
        </w:tc>
      </w:tr>
    </w:tbl>
    <w:p w:rsidR="00CE373B" w:rsidRPr="00CE373B" w:rsidRDefault="00CE373B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CE373B" w:rsidRPr="00CE373B" w:rsidRDefault="00CE373B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CE373B" w:rsidRPr="00CE373B" w:rsidRDefault="00CE373B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CE373B" w:rsidRPr="00CE373B" w:rsidRDefault="00CE373B" w:rsidP="00CE373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CE373B">
        <w:rPr>
          <w:rFonts w:ascii="ArialMT" w:hAnsi="ArialMT" w:cs="ArialMT"/>
          <w:sz w:val="18"/>
          <w:szCs w:val="18"/>
        </w:rPr>
        <w:t>If sputum is unaccept</w:t>
      </w:r>
      <w:r w:rsidR="00D71BA9">
        <w:rPr>
          <w:rFonts w:ascii="ArialMT" w:hAnsi="ArialMT" w:cs="ArialMT"/>
          <w:sz w:val="18"/>
          <w:szCs w:val="18"/>
        </w:rPr>
        <w:t>able for TB PCR</w:t>
      </w:r>
      <w:r w:rsidRPr="00CE373B">
        <w:rPr>
          <w:rFonts w:ascii="ArialMT" w:hAnsi="ArialMT" w:cs="ArialMT"/>
          <w:sz w:val="18"/>
          <w:szCs w:val="18"/>
        </w:rPr>
        <w:t xml:space="preserve"> based on the sputum screen,</w:t>
      </w:r>
      <w:r w:rsidR="00D71BA9">
        <w:rPr>
          <w:rFonts w:ascii="ArialMT" w:hAnsi="ArialMT" w:cs="ArialMT"/>
          <w:sz w:val="18"/>
          <w:szCs w:val="18"/>
        </w:rPr>
        <w:t xml:space="preserve"> call the nursing unit or </w:t>
      </w:r>
      <w:r w:rsidRPr="00CE373B">
        <w:rPr>
          <w:rFonts w:ascii="ArialMT" w:hAnsi="ArialMT" w:cs="ArialMT"/>
          <w:sz w:val="18"/>
          <w:szCs w:val="18"/>
        </w:rPr>
        <w:t xml:space="preserve">doctor’s office (if outpatient) and notify them that the specimen was of </w:t>
      </w:r>
      <w:proofErr w:type="spellStart"/>
      <w:r w:rsidRPr="00CE373B">
        <w:rPr>
          <w:rFonts w:ascii="ArialMT" w:hAnsi="ArialMT" w:cs="ArialMT"/>
          <w:sz w:val="18"/>
          <w:szCs w:val="18"/>
        </w:rPr>
        <w:t>oropharyngeal</w:t>
      </w:r>
      <w:proofErr w:type="spellEnd"/>
      <w:r w:rsidRPr="00CE373B">
        <w:rPr>
          <w:rFonts w:ascii="ArialMT" w:hAnsi="ArialMT" w:cs="ArialMT"/>
          <w:sz w:val="18"/>
          <w:szCs w:val="18"/>
        </w:rPr>
        <w:t xml:space="preserve"> ori</w:t>
      </w:r>
      <w:r w:rsidR="00D71BA9">
        <w:rPr>
          <w:rFonts w:ascii="ArialMT" w:hAnsi="ArialMT" w:cs="ArialMT"/>
          <w:sz w:val="18"/>
          <w:szCs w:val="18"/>
        </w:rPr>
        <w:t>gin</w:t>
      </w:r>
      <w:r w:rsidR="00606775">
        <w:rPr>
          <w:rFonts w:ascii="ArialMT" w:hAnsi="ArialMT" w:cs="ArialMT"/>
          <w:sz w:val="18"/>
          <w:szCs w:val="18"/>
        </w:rPr>
        <w:t xml:space="preserve"> (saliva)</w:t>
      </w:r>
      <w:r w:rsidR="00D71BA9">
        <w:rPr>
          <w:rFonts w:ascii="ArialMT" w:hAnsi="ArialMT" w:cs="ArialMT"/>
          <w:sz w:val="18"/>
          <w:szCs w:val="18"/>
        </w:rPr>
        <w:t>, is unacceptable for TB PCR</w:t>
      </w:r>
      <w:r w:rsidRPr="00CE373B">
        <w:rPr>
          <w:rFonts w:ascii="ArialMT" w:hAnsi="ArialMT" w:cs="ArialMT"/>
          <w:sz w:val="18"/>
          <w:szCs w:val="18"/>
        </w:rPr>
        <w:t xml:space="preserve"> and needs to be </w:t>
      </w:r>
      <w:r w:rsidR="0017560E">
        <w:rPr>
          <w:rFonts w:ascii="ArialMT" w:hAnsi="ArialMT" w:cs="ArialMT"/>
          <w:sz w:val="18"/>
          <w:szCs w:val="18"/>
        </w:rPr>
        <w:t xml:space="preserve">reordered and </w:t>
      </w:r>
      <w:r w:rsidRPr="00CE373B">
        <w:rPr>
          <w:rFonts w:ascii="ArialMT" w:hAnsi="ArialMT" w:cs="ArialMT"/>
          <w:sz w:val="18"/>
          <w:szCs w:val="18"/>
        </w:rPr>
        <w:t>recollect</w:t>
      </w:r>
      <w:r w:rsidR="00D71BA9">
        <w:rPr>
          <w:rFonts w:ascii="ArialMT" w:hAnsi="ArialMT" w:cs="ArialMT"/>
          <w:sz w:val="18"/>
          <w:szCs w:val="18"/>
        </w:rPr>
        <w:t xml:space="preserve">ed.  </w:t>
      </w:r>
      <w:r w:rsidR="0017560E">
        <w:rPr>
          <w:rFonts w:ascii="ArialMT" w:hAnsi="ArialMT" w:cs="ArialMT"/>
          <w:sz w:val="18"/>
          <w:szCs w:val="18"/>
        </w:rPr>
        <w:t>Document in cancel reason “</w:t>
      </w:r>
      <w:proofErr w:type="spellStart"/>
      <w:r w:rsidR="0017560E">
        <w:rPr>
          <w:rFonts w:ascii="ArialMT" w:hAnsi="ArialMT" w:cs="ArialMT"/>
          <w:sz w:val="18"/>
          <w:szCs w:val="18"/>
        </w:rPr>
        <w:t>Oropharyngeal</w:t>
      </w:r>
      <w:proofErr w:type="spellEnd"/>
      <w:r w:rsidR="0017560E">
        <w:rPr>
          <w:rFonts w:ascii="ArialMT" w:hAnsi="ArialMT" w:cs="ArialMT"/>
          <w:sz w:val="18"/>
          <w:szCs w:val="18"/>
        </w:rPr>
        <w:t xml:space="preserve"> contamination, recollection required” and called to info. If sputum sample is acceptable</w:t>
      </w:r>
      <w:r w:rsidR="00606775">
        <w:rPr>
          <w:rFonts w:ascii="ArialMT" w:hAnsi="ArialMT" w:cs="ArialMT"/>
          <w:sz w:val="18"/>
          <w:szCs w:val="18"/>
        </w:rPr>
        <w:t xml:space="preserve"> immediately perform TB PCR testing. Specimen acceptability will be documented in the test result.</w:t>
      </w:r>
    </w:p>
    <w:p w:rsidR="00CE373B" w:rsidRDefault="00CE373B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CE373B" w:rsidRDefault="00CE373B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CE373B" w:rsidRDefault="00CE373B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1F0606" w:rsidRPr="00057713" w:rsidRDefault="002F1D89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Assay Procedure</w:t>
      </w:r>
    </w:p>
    <w:p w:rsidR="009F0551" w:rsidRPr="00057713" w:rsidRDefault="009F0551" w:rsidP="009F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David"/>
          <w:sz w:val="18"/>
          <w:szCs w:val="18"/>
        </w:rPr>
      </w:pPr>
    </w:p>
    <w:p w:rsidR="00057713" w:rsidRDefault="00057713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Table 1.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Required Specimen Volume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9F0551" w:rsidRDefault="009F0551" w:rsidP="0005771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Specimen Type</w:t>
      </w:r>
      <w:r w:rsidR="00057713">
        <w:rPr>
          <w:rFonts w:ascii="Arial-BoldMT" w:hAnsi="Arial-BoldMT" w:cs="Arial-BoldMT"/>
          <w:b/>
          <w:bCs/>
          <w:sz w:val="18"/>
          <w:szCs w:val="18"/>
        </w:rPr>
        <w:t xml:space="preserve">        </w:t>
      </w:r>
      <w:r>
        <w:rPr>
          <w:rFonts w:ascii="Arial-BoldMT" w:hAnsi="Arial-BoldMT" w:cs="Arial-BoldMT"/>
          <w:b/>
          <w:bCs/>
          <w:sz w:val="18"/>
          <w:szCs w:val="18"/>
        </w:rPr>
        <w:t>Minimum Volume for One Test      Minimum Total Volume for Test and Retest – See Section 11.2, Retest Procedure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9F0551" w:rsidRP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Raw sputum          </w:t>
      </w:r>
      <w:r w:rsidR="00057713">
        <w:rPr>
          <w:rFonts w:ascii="Arial-BoldMT" w:hAnsi="Arial-BoldMT" w:cs="Arial-BoldMT"/>
          <w:b/>
          <w:bCs/>
          <w:sz w:val="18"/>
          <w:szCs w:val="18"/>
        </w:rPr>
        <w:t xml:space="preserve">                    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 xml:space="preserve">1 </w:t>
      </w:r>
      <w:proofErr w:type="spellStart"/>
      <w:r>
        <w:rPr>
          <w:rFonts w:ascii="ArialMT" w:hAnsi="ArialMT" w:cs="ArialMT"/>
          <w:sz w:val="18"/>
          <w:szCs w:val="18"/>
        </w:rPr>
        <w:t>mL</w:t>
      </w:r>
      <w:proofErr w:type="spellEnd"/>
      <w:r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ab/>
      </w:r>
      <w:r>
        <w:rPr>
          <w:rFonts w:ascii="ArialMT" w:hAnsi="ArialMT" w:cs="ArialMT"/>
          <w:sz w:val="18"/>
          <w:szCs w:val="18"/>
        </w:rPr>
        <w:tab/>
        <w:t xml:space="preserve"> 2 </w:t>
      </w:r>
      <w:proofErr w:type="spellStart"/>
      <w:r>
        <w:rPr>
          <w:rFonts w:ascii="ArialMT" w:hAnsi="ArialMT" w:cs="ArialMT"/>
          <w:sz w:val="18"/>
          <w:szCs w:val="18"/>
        </w:rPr>
        <w:t>mL</w:t>
      </w:r>
      <w:proofErr w:type="spellEnd"/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>Reject samples with obvious food particles or other solid particulate.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>Write on the sides of the cartridge or affix an ID label. Do not put the label on the lid of the cartridge or cover the existing barcode on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proofErr w:type="gramStart"/>
      <w:r>
        <w:rPr>
          <w:rFonts w:ascii="ArialMT" w:hAnsi="ArialMT" w:cs="ArialMT"/>
          <w:sz w:val="16"/>
          <w:szCs w:val="16"/>
        </w:rPr>
        <w:t>the</w:t>
      </w:r>
      <w:proofErr w:type="gramEnd"/>
      <w:r>
        <w:rPr>
          <w:rFonts w:ascii="ArialMT" w:hAnsi="ArialMT" w:cs="ArialMT"/>
          <w:sz w:val="16"/>
          <w:szCs w:val="16"/>
        </w:rPr>
        <w:t xml:space="preserve"> cartridge.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Note </w:t>
      </w:r>
      <w:r>
        <w:rPr>
          <w:rFonts w:ascii="ArialMT" w:hAnsi="ArialMT" w:cs="ArialMT"/>
          <w:sz w:val="16"/>
          <w:szCs w:val="16"/>
        </w:rPr>
        <w:t xml:space="preserve">Store </w:t>
      </w:r>
      <w:proofErr w:type="spellStart"/>
      <w:r>
        <w:rPr>
          <w:rFonts w:ascii="ArialMT" w:hAnsi="ArialMT" w:cs="ArialMT"/>
          <w:sz w:val="16"/>
          <w:szCs w:val="16"/>
        </w:rPr>
        <w:t>resuspended</w:t>
      </w:r>
      <w:proofErr w:type="spellEnd"/>
      <w:r>
        <w:rPr>
          <w:rFonts w:ascii="ArialMT" w:hAnsi="ArialMT" w:cs="ArialMT"/>
          <w:sz w:val="16"/>
          <w:szCs w:val="16"/>
        </w:rPr>
        <w:t xml:space="preserve"> sediments at 2–8 °C for up to seven days.</w:t>
      </w:r>
    </w:p>
    <w:p w:rsidR="009F0551" w:rsidRDefault="009F0551" w:rsidP="009F055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 Raw Sputum Specimens</w:t>
      </w: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1. Wear protective disposable gloves.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 xml:space="preserve">2. Label each </w:t>
      </w:r>
      <w:proofErr w:type="spellStart"/>
      <w:r w:rsidRPr="00BF14F4">
        <w:rPr>
          <w:rFonts w:ascii="ArialMT" w:hAnsi="ArialMT" w:cs="ArialMT"/>
          <w:sz w:val="18"/>
          <w:szCs w:val="18"/>
        </w:rPr>
        <w:t>Xpert</w:t>
      </w:r>
      <w:proofErr w:type="spellEnd"/>
      <w:r w:rsidRPr="00BF14F4">
        <w:rPr>
          <w:rFonts w:ascii="ArialMT" w:hAnsi="ArialMT" w:cs="ArialMT"/>
          <w:sz w:val="18"/>
          <w:szCs w:val="18"/>
        </w:rPr>
        <w:t xml:space="preserve"> MTB/RIF Assay cartridge with the sample ID. 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3. Carefully open the lid of th</w:t>
      </w:r>
      <w:r w:rsidR="00057713">
        <w:rPr>
          <w:rFonts w:ascii="ArialMT" w:hAnsi="ArialMT" w:cs="ArialMT"/>
          <w:sz w:val="18"/>
          <w:szCs w:val="18"/>
        </w:rPr>
        <w:t>e sputum collection container and transfer 1-</w:t>
      </w:r>
      <w:r w:rsidR="002F1D89">
        <w:rPr>
          <w:rFonts w:ascii="ArialMT" w:hAnsi="ArialMT" w:cs="ArialMT"/>
          <w:sz w:val="18"/>
          <w:szCs w:val="18"/>
        </w:rPr>
        <w:t xml:space="preserve">4mL of sputum to a 15mL conical tube. </w:t>
      </w:r>
    </w:p>
    <w:p w:rsidR="002F1D89" w:rsidRP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18"/>
          <w:szCs w:val="18"/>
        </w:rPr>
      </w:pPr>
      <w:r w:rsidRPr="002F1D89">
        <w:rPr>
          <w:rFonts w:ascii="ArialMT" w:hAnsi="ArialMT" w:cs="ArialMT"/>
          <w:b/>
          <w:sz w:val="18"/>
          <w:szCs w:val="18"/>
        </w:rPr>
        <w:t>**Save an adequate amount of sputum to send out the remaining sample for AFB Culture and Smear.</w:t>
      </w:r>
      <w:r w:rsidR="000762A1">
        <w:rPr>
          <w:rFonts w:ascii="ArialMT" w:hAnsi="ArialMT" w:cs="ArialMT"/>
          <w:b/>
          <w:sz w:val="18"/>
          <w:szCs w:val="18"/>
        </w:rPr>
        <w:t xml:space="preserve"> Add Culture AFB</w:t>
      </w:r>
      <w:r w:rsidR="007A2D7A">
        <w:rPr>
          <w:rFonts w:ascii="ArialMT" w:hAnsi="ArialMT" w:cs="ArialMT"/>
          <w:b/>
          <w:sz w:val="18"/>
          <w:szCs w:val="18"/>
        </w:rPr>
        <w:t>/Smear if not already ordered.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9F0551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4. Pour or pipette (pipette not provided) approximately 2 times the volume of the Sample Reagent into the sputum (2:1 dilution,</w:t>
      </w:r>
      <w:r>
        <w:rPr>
          <w:rFonts w:ascii="ArialMT" w:hAnsi="ArialMT" w:cs="ArialMT"/>
          <w:sz w:val="18"/>
          <w:szCs w:val="18"/>
        </w:rPr>
        <w:t xml:space="preserve"> </w:t>
      </w:r>
      <w:r w:rsidRPr="00BF14F4">
        <w:rPr>
          <w:rFonts w:ascii="ArialMT" w:hAnsi="ArialMT" w:cs="ArialMT"/>
          <w:sz w:val="18"/>
          <w:szCs w:val="18"/>
        </w:rPr>
        <w:t xml:space="preserve">Sample Reagent: sputum). Be careful not to allow the Sample Reagent to touch bare skin. 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Example 1</w:t>
      </w:r>
      <w:r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ab/>
      </w:r>
      <w:r>
        <w:rPr>
          <w:rFonts w:ascii="Arial-BoldMT" w:hAnsi="Arial-BoldMT" w:cs="Arial-BoldMT"/>
          <w:b/>
          <w:bCs/>
          <w:sz w:val="18"/>
          <w:szCs w:val="18"/>
        </w:rPr>
        <w:tab/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8 ml Sample Reagent;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lastRenderedPageBreak/>
        <w:t xml:space="preserve">4 </w:t>
      </w:r>
      <w:proofErr w:type="spellStart"/>
      <w:r>
        <w:rPr>
          <w:rFonts w:ascii="ArialMT" w:hAnsi="ArialMT" w:cs="ArialMT"/>
          <w:sz w:val="18"/>
          <w:szCs w:val="18"/>
        </w:rPr>
        <w:t>mL</w:t>
      </w:r>
      <w:proofErr w:type="spellEnd"/>
      <w:r>
        <w:rPr>
          <w:rFonts w:ascii="ArialMT" w:hAnsi="ArialMT" w:cs="ArialMT"/>
          <w:sz w:val="18"/>
          <w:szCs w:val="18"/>
        </w:rPr>
        <w:t xml:space="preserve"> sputum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Example 2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2 ml Sample Reagent;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1 </w:t>
      </w:r>
      <w:proofErr w:type="spellStart"/>
      <w:r>
        <w:rPr>
          <w:rFonts w:ascii="ArialMT" w:hAnsi="ArialMT" w:cs="ArialMT"/>
          <w:sz w:val="18"/>
          <w:szCs w:val="18"/>
        </w:rPr>
        <w:t>mL</w:t>
      </w:r>
      <w:proofErr w:type="spellEnd"/>
      <w:r>
        <w:rPr>
          <w:rFonts w:ascii="ArialMT" w:hAnsi="ArialMT" w:cs="ArialMT"/>
          <w:sz w:val="18"/>
          <w:szCs w:val="18"/>
        </w:rPr>
        <w:t xml:space="preserve"> sputum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Note: Discard the leftover Sample Reag</w:t>
      </w:r>
      <w:r w:rsidR="00CE6AEC">
        <w:rPr>
          <w:rFonts w:ascii="ArialMT" w:hAnsi="ArialMT" w:cs="ArialMT"/>
          <w:sz w:val="18"/>
          <w:szCs w:val="18"/>
        </w:rPr>
        <w:t xml:space="preserve">ent and the bottle in a hard plastic </w:t>
      </w:r>
      <w:proofErr w:type="gramStart"/>
      <w:r w:rsidR="00CE6AEC">
        <w:rPr>
          <w:rFonts w:ascii="ArialMT" w:hAnsi="ArialMT" w:cs="ArialMT"/>
          <w:sz w:val="18"/>
          <w:szCs w:val="18"/>
        </w:rPr>
        <w:t>biohaz</w:t>
      </w:r>
      <w:r w:rsidR="00F91AB8">
        <w:rPr>
          <w:rFonts w:ascii="ArialMT" w:hAnsi="ArialMT" w:cs="ArialMT"/>
          <w:sz w:val="18"/>
          <w:szCs w:val="18"/>
        </w:rPr>
        <w:t xml:space="preserve">ard </w:t>
      </w:r>
      <w:r>
        <w:rPr>
          <w:rFonts w:ascii="ArialMT" w:hAnsi="ArialMT" w:cs="ArialMT"/>
          <w:sz w:val="18"/>
          <w:szCs w:val="18"/>
        </w:rPr>
        <w:t xml:space="preserve"> waste</w:t>
      </w:r>
      <w:proofErr w:type="gramEnd"/>
      <w:r>
        <w:rPr>
          <w:rFonts w:ascii="ArialMT" w:hAnsi="ArialMT" w:cs="ArialMT"/>
          <w:sz w:val="18"/>
          <w:szCs w:val="18"/>
        </w:rPr>
        <w:t xml:space="preserve"> container.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5. Replace and secure the lid.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6. Shake vigorously 10 to 20 times or vortex for at least 10 seconds.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7. Incubate sample for a total of 15 minutes at 20–30 °C.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F14F4">
        <w:rPr>
          <w:rFonts w:ascii="ArialMT" w:hAnsi="ArialMT" w:cs="ArialMT"/>
          <w:sz w:val="18"/>
          <w:szCs w:val="18"/>
        </w:rPr>
        <w:t>8. Between 5 and 10 minutes into the incubation period, shake vigorously 10 to 20 times or vortex for at least 10 seconds.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Preparing the Cartridge</w:t>
      </w:r>
    </w:p>
    <w:p w:rsidR="00BF14F4" w:rsidRPr="002F1D89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2F1D89">
        <w:rPr>
          <w:rFonts w:ascii="ArialMT" w:hAnsi="ArialMT" w:cs="ArialMT"/>
          <w:sz w:val="18"/>
          <w:szCs w:val="18"/>
        </w:rPr>
        <w:t>To add the sample and reagents into the cartridge: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2F1D89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2F1D89">
        <w:rPr>
          <w:rFonts w:ascii="ArialMT" w:hAnsi="ArialMT" w:cs="ArialMT"/>
          <w:sz w:val="18"/>
          <w:szCs w:val="18"/>
        </w:rPr>
        <w:t>1. Open the cartridge lid, and then open the sample container.</w:t>
      </w:r>
    </w:p>
    <w:p w:rsidR="002F1D89" w:rsidRDefault="002F1D89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BF14F4" w:rsidRPr="002F1D89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2F1D89">
        <w:rPr>
          <w:rFonts w:ascii="ArialMT" w:hAnsi="ArialMT" w:cs="ArialMT"/>
          <w:sz w:val="18"/>
          <w:szCs w:val="18"/>
        </w:rPr>
        <w:t xml:space="preserve">2. </w:t>
      </w:r>
      <w:proofErr w:type="gramStart"/>
      <w:r w:rsidRPr="002F1D89">
        <w:rPr>
          <w:rFonts w:ascii="ArialMT" w:hAnsi="ArialMT" w:cs="ArialMT"/>
          <w:sz w:val="18"/>
          <w:szCs w:val="18"/>
        </w:rPr>
        <w:t>Using</w:t>
      </w:r>
      <w:proofErr w:type="gramEnd"/>
      <w:r w:rsidRPr="002F1D89">
        <w:rPr>
          <w:rFonts w:ascii="ArialMT" w:hAnsi="ArialMT" w:cs="ArialMT"/>
          <w:sz w:val="18"/>
          <w:szCs w:val="18"/>
        </w:rPr>
        <w:t xml:space="preserve"> the provided transfer pipette, aspirate the liquefied sample close to the l</w:t>
      </w:r>
      <w:r w:rsidR="002F1D89">
        <w:rPr>
          <w:rFonts w:ascii="ArialMT" w:hAnsi="ArialMT" w:cs="ArialMT"/>
          <w:sz w:val="18"/>
          <w:szCs w:val="18"/>
        </w:rPr>
        <w:t xml:space="preserve">ine on the pipette. </w:t>
      </w:r>
      <w:r w:rsidRPr="002F1D89">
        <w:rPr>
          <w:rFonts w:ascii="ArialMT" w:hAnsi="ArialMT" w:cs="ArialMT"/>
          <w:sz w:val="18"/>
          <w:szCs w:val="18"/>
        </w:rPr>
        <w:t xml:space="preserve"> If there is</w:t>
      </w:r>
      <w:r w:rsidR="002F1D89">
        <w:rPr>
          <w:rFonts w:ascii="ArialMT" w:hAnsi="ArialMT" w:cs="ArialMT"/>
          <w:sz w:val="18"/>
          <w:szCs w:val="18"/>
        </w:rPr>
        <w:t xml:space="preserve"> </w:t>
      </w:r>
      <w:r w:rsidRPr="002F1D89">
        <w:rPr>
          <w:rFonts w:ascii="ArialMT" w:hAnsi="ArialMT" w:cs="ArialMT"/>
          <w:sz w:val="18"/>
          <w:szCs w:val="18"/>
        </w:rPr>
        <w:t>insufficient sample volume, do not proceed with testing.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Important</w:t>
      </w:r>
    </w:p>
    <w:p w:rsidR="00BF14F4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If using a </w:t>
      </w:r>
      <w:proofErr w:type="spellStart"/>
      <w:r>
        <w:rPr>
          <w:rFonts w:ascii="Arial-BoldMT" w:hAnsi="Arial-BoldMT" w:cs="Arial-BoldMT"/>
          <w:b/>
          <w:bCs/>
          <w:sz w:val="18"/>
          <w:szCs w:val="18"/>
        </w:rPr>
        <w:t>GeneXpert</w:t>
      </w:r>
      <w:proofErr w:type="spellEnd"/>
      <w:r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proofErr w:type="spellStart"/>
      <w:r>
        <w:rPr>
          <w:rFonts w:ascii="Arial-BoldMT" w:hAnsi="Arial-BoldMT" w:cs="Arial-BoldMT"/>
          <w:b/>
          <w:bCs/>
          <w:sz w:val="18"/>
          <w:szCs w:val="18"/>
        </w:rPr>
        <w:t>Dx</w:t>
      </w:r>
      <w:proofErr w:type="spellEnd"/>
      <w:r>
        <w:rPr>
          <w:rFonts w:ascii="Arial-BoldMT" w:hAnsi="Arial-BoldMT" w:cs="Arial-BoldMT"/>
          <w:b/>
          <w:bCs/>
          <w:sz w:val="18"/>
          <w:szCs w:val="18"/>
        </w:rPr>
        <w:t xml:space="preserve"> instrument, start the test within four hours of adding the Sample Reagent-treated</w:t>
      </w:r>
    </w:p>
    <w:p w:rsidR="00BF14F4" w:rsidRDefault="00BF14F4" w:rsidP="002F1D8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sample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to the cartridge. </w:t>
      </w:r>
    </w:p>
    <w:p w:rsidR="009E556D" w:rsidRDefault="009E556D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9E556D" w:rsidRDefault="009E556D" w:rsidP="00BF14F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BF14F4" w:rsidRPr="009E556D" w:rsidRDefault="00BF14F4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9E556D">
        <w:rPr>
          <w:rFonts w:ascii="ArialMT" w:hAnsi="ArialMT" w:cs="ArialMT"/>
          <w:sz w:val="18"/>
          <w:szCs w:val="18"/>
        </w:rPr>
        <w:t xml:space="preserve">Note </w:t>
      </w:r>
      <w:proofErr w:type="gramStart"/>
      <w:r w:rsidRPr="009E556D">
        <w:rPr>
          <w:rFonts w:ascii="ArialMT" w:hAnsi="ArialMT" w:cs="ArialMT"/>
          <w:sz w:val="18"/>
          <w:szCs w:val="18"/>
        </w:rPr>
        <w:t>When</w:t>
      </w:r>
      <w:proofErr w:type="gramEnd"/>
      <w:r w:rsidRPr="009E556D">
        <w:rPr>
          <w:rFonts w:ascii="ArialMT" w:hAnsi="ArialMT" w:cs="ArialMT"/>
          <w:sz w:val="18"/>
          <w:szCs w:val="18"/>
        </w:rPr>
        <w:t xml:space="preserve"> processing more than one sample at a time, open only one cartridge, add the Sample Reagent-treated sample and close the cartridge before moving to the next sample. Change gloves between samples.</w:t>
      </w:r>
    </w:p>
    <w:p w:rsidR="009E556D" w:rsidRPr="009E556D" w:rsidRDefault="009E556D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9E556D" w:rsidRPr="009E556D" w:rsidRDefault="009E556D" w:rsidP="00BF14F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9E556D" w:rsidRPr="009E556D" w:rsidRDefault="009E556D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9E556D">
        <w:rPr>
          <w:rFonts w:ascii="ArialMT" w:hAnsi="ArialMT" w:cs="ArialMT"/>
          <w:sz w:val="18"/>
          <w:szCs w:val="18"/>
        </w:rPr>
        <w:t>To add the sample and reagents into the cartridge:</w:t>
      </w:r>
    </w:p>
    <w:p w:rsidR="002F1D89" w:rsidRDefault="002F1D89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9E556D" w:rsidRPr="009E556D" w:rsidRDefault="009E556D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9E556D">
        <w:rPr>
          <w:rFonts w:ascii="ArialMT" w:hAnsi="ArialMT" w:cs="ArialMT"/>
          <w:sz w:val="18"/>
          <w:szCs w:val="18"/>
        </w:rPr>
        <w:t>1. Open the cartridge lid, and then open the sample container.</w:t>
      </w:r>
    </w:p>
    <w:p w:rsidR="002F1D89" w:rsidRDefault="002F1D89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9E556D" w:rsidRPr="009E556D" w:rsidRDefault="009E556D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9E556D">
        <w:rPr>
          <w:rFonts w:ascii="ArialMT" w:hAnsi="ArialMT" w:cs="ArialMT"/>
          <w:sz w:val="18"/>
          <w:szCs w:val="18"/>
        </w:rPr>
        <w:t xml:space="preserve">2. </w:t>
      </w:r>
      <w:proofErr w:type="gramStart"/>
      <w:r w:rsidRPr="009E556D">
        <w:rPr>
          <w:rFonts w:ascii="ArialMT" w:hAnsi="ArialMT" w:cs="ArialMT"/>
          <w:sz w:val="18"/>
          <w:szCs w:val="18"/>
        </w:rPr>
        <w:t>Using</w:t>
      </w:r>
      <w:proofErr w:type="gramEnd"/>
      <w:r w:rsidRPr="009E556D">
        <w:rPr>
          <w:rFonts w:ascii="ArialMT" w:hAnsi="ArialMT" w:cs="ArialMT"/>
          <w:sz w:val="18"/>
          <w:szCs w:val="18"/>
        </w:rPr>
        <w:t xml:space="preserve"> the provided transfer pipette, aspirate the liquefied sample close to the li</w:t>
      </w:r>
      <w:r>
        <w:rPr>
          <w:rFonts w:ascii="ArialMT" w:hAnsi="ArialMT" w:cs="ArialMT"/>
          <w:sz w:val="18"/>
          <w:szCs w:val="18"/>
        </w:rPr>
        <w:t xml:space="preserve">ne on the pipette. </w:t>
      </w:r>
      <w:r w:rsidRPr="009E556D">
        <w:rPr>
          <w:rFonts w:ascii="ArialMT" w:hAnsi="ArialMT" w:cs="ArialMT"/>
          <w:sz w:val="18"/>
          <w:szCs w:val="18"/>
        </w:rPr>
        <w:t xml:space="preserve"> If there is</w:t>
      </w:r>
    </w:p>
    <w:p w:rsidR="00BF14F4" w:rsidRDefault="009E556D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proofErr w:type="gramStart"/>
      <w:r w:rsidRPr="009E556D">
        <w:rPr>
          <w:rFonts w:ascii="ArialMT" w:hAnsi="ArialMT" w:cs="ArialMT"/>
          <w:sz w:val="18"/>
          <w:szCs w:val="18"/>
        </w:rPr>
        <w:t>insufficient</w:t>
      </w:r>
      <w:proofErr w:type="gramEnd"/>
      <w:r w:rsidRPr="009E556D">
        <w:rPr>
          <w:rFonts w:ascii="ArialMT" w:hAnsi="ArialMT" w:cs="ArialMT"/>
          <w:sz w:val="18"/>
          <w:szCs w:val="18"/>
        </w:rPr>
        <w:t xml:space="preserve"> sample volume, do not proceed with testing.</w:t>
      </w:r>
    </w:p>
    <w:p w:rsidR="00FE7E8B" w:rsidRDefault="00FE7E8B" w:rsidP="009E55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FE7E8B">
        <w:rPr>
          <w:rFonts w:ascii="ArialMT" w:hAnsi="ArialMT" w:cs="ArialMT"/>
          <w:sz w:val="18"/>
          <w:szCs w:val="18"/>
        </w:rPr>
        <w:t>Dispensing the sample slowly to minimize the risk of aerosol formation, transfer the Sample Reagent-treated sample into the</w:t>
      </w:r>
      <w:r w:rsidR="002F1D89">
        <w:rPr>
          <w:rFonts w:ascii="ArialMT" w:hAnsi="ArialMT" w:cs="ArialMT"/>
          <w:sz w:val="18"/>
          <w:szCs w:val="18"/>
        </w:rPr>
        <w:t xml:space="preserve"> </w:t>
      </w:r>
      <w:r w:rsidRPr="00FE7E8B">
        <w:rPr>
          <w:rFonts w:ascii="ArialMT" w:hAnsi="ArialMT" w:cs="ArialMT"/>
          <w:sz w:val="18"/>
          <w:szCs w:val="18"/>
        </w:rPr>
        <w:t xml:space="preserve">sample chamber of the </w:t>
      </w:r>
      <w:proofErr w:type="spellStart"/>
      <w:r w:rsidRPr="00FE7E8B">
        <w:rPr>
          <w:rFonts w:ascii="ArialMT" w:hAnsi="ArialMT" w:cs="ArialMT"/>
          <w:sz w:val="18"/>
          <w:szCs w:val="18"/>
        </w:rPr>
        <w:t>Xpert</w:t>
      </w:r>
      <w:proofErr w:type="spellEnd"/>
      <w:r w:rsidRPr="00FE7E8B">
        <w:rPr>
          <w:rFonts w:ascii="ArialMT" w:hAnsi="ArialMT" w:cs="ArialMT"/>
          <w:sz w:val="18"/>
          <w:szCs w:val="18"/>
        </w:rPr>
        <w:t xml:space="preserve"> MTB/RIF cartridge. See Figure 5.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br/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Figure 5.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Dispensing Decontaminated Liquefied Sample into the Sample Chamber of the Cartridge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2162175" cy="28860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Pr="002F1D89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2F1D89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2F1D89">
        <w:rPr>
          <w:rFonts w:ascii="ArialMT" w:hAnsi="ArialMT" w:cs="ArialMT"/>
          <w:sz w:val="18"/>
          <w:szCs w:val="18"/>
        </w:rPr>
        <w:t>4. Close the cartridge lid firmly. Remaining Sample Reagent-treated sample can be kept for up to four hours at 2–8 ºC in case</w:t>
      </w:r>
      <w:r w:rsidR="002F1D89">
        <w:rPr>
          <w:rFonts w:ascii="ArialMT" w:hAnsi="ArialMT" w:cs="ArialMT"/>
          <w:sz w:val="18"/>
          <w:szCs w:val="18"/>
        </w:rPr>
        <w:t xml:space="preserve"> </w:t>
      </w:r>
      <w:r w:rsidRPr="002F1D89">
        <w:rPr>
          <w:rFonts w:ascii="ArialMT" w:hAnsi="ArialMT" w:cs="ArialMT"/>
          <w:sz w:val="18"/>
          <w:szCs w:val="18"/>
        </w:rPr>
        <w:t>retesting is required.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P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Starting the Test</w:t>
      </w: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 xml:space="preserve">This section lists the basic steps for running the test. For detailed instructions, see the </w:t>
      </w:r>
      <w:proofErr w:type="spellStart"/>
      <w:r w:rsidRPr="007A2D7A">
        <w:rPr>
          <w:rFonts w:ascii="ArialMT" w:hAnsi="ArialMT" w:cs="ArialMT"/>
          <w:sz w:val="18"/>
          <w:szCs w:val="18"/>
        </w:rPr>
        <w:t>GeneXpert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7A2D7A">
        <w:rPr>
          <w:rFonts w:ascii="ArialMT" w:hAnsi="ArialMT" w:cs="ArialMT"/>
          <w:sz w:val="18"/>
          <w:szCs w:val="18"/>
        </w:rPr>
        <w:t>Dx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System Operator Manual or</w:t>
      </w:r>
      <w:r w:rsidR="007A2D7A">
        <w:rPr>
          <w:rFonts w:ascii="ArialMT" w:hAnsi="ArialMT" w:cs="ArialMT"/>
          <w:sz w:val="18"/>
          <w:szCs w:val="18"/>
        </w:rPr>
        <w:t xml:space="preserve"> </w:t>
      </w:r>
      <w:r w:rsidRPr="007A2D7A">
        <w:rPr>
          <w:rFonts w:ascii="ArialMT" w:hAnsi="ArialMT" w:cs="ArialMT"/>
          <w:sz w:val="18"/>
          <w:szCs w:val="18"/>
        </w:rPr>
        <w:t xml:space="preserve">the </w:t>
      </w:r>
      <w:proofErr w:type="spellStart"/>
      <w:r w:rsidRPr="007A2D7A">
        <w:rPr>
          <w:rFonts w:ascii="ArialMT" w:hAnsi="ArialMT" w:cs="ArialMT"/>
          <w:sz w:val="18"/>
          <w:szCs w:val="18"/>
        </w:rPr>
        <w:t>GeneXpert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Infinity System Operator Manual.</w:t>
      </w:r>
    </w:p>
    <w:p w:rsidR="007A2D7A" w:rsidRDefault="007A2D7A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 xml:space="preserve">1. Turn on the </w:t>
      </w:r>
      <w:proofErr w:type="spellStart"/>
      <w:r w:rsidRPr="007A2D7A">
        <w:rPr>
          <w:rFonts w:ascii="ArialMT" w:hAnsi="ArialMT" w:cs="ArialMT"/>
          <w:sz w:val="18"/>
          <w:szCs w:val="18"/>
        </w:rPr>
        <w:t>GeneXpert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Instrument System.</w:t>
      </w: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 xml:space="preserve">• If using the </w:t>
      </w:r>
      <w:proofErr w:type="spellStart"/>
      <w:r w:rsidRPr="007A2D7A">
        <w:rPr>
          <w:rFonts w:ascii="ArialMT" w:hAnsi="ArialMT" w:cs="ArialMT"/>
          <w:sz w:val="18"/>
          <w:szCs w:val="18"/>
        </w:rPr>
        <w:t>GeneXpert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7A2D7A">
        <w:rPr>
          <w:rFonts w:ascii="ArialMT" w:hAnsi="ArialMT" w:cs="ArialMT"/>
          <w:sz w:val="18"/>
          <w:szCs w:val="18"/>
        </w:rPr>
        <w:t>Dx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instrument, first turn on the </w:t>
      </w:r>
      <w:proofErr w:type="spellStart"/>
      <w:r w:rsidRPr="007A2D7A">
        <w:rPr>
          <w:rFonts w:ascii="ArialMT" w:hAnsi="ArialMT" w:cs="ArialMT"/>
          <w:sz w:val="18"/>
          <w:szCs w:val="18"/>
        </w:rPr>
        <w:t>GeneXpert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7A2D7A">
        <w:rPr>
          <w:rFonts w:ascii="ArialMT" w:hAnsi="ArialMT" w:cs="ArialMT"/>
          <w:sz w:val="18"/>
          <w:szCs w:val="18"/>
        </w:rPr>
        <w:t>Dx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instrument and then turn on the computer. The</w:t>
      </w: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proofErr w:type="spellStart"/>
      <w:r w:rsidRPr="007A2D7A">
        <w:rPr>
          <w:rFonts w:ascii="ArialMT" w:hAnsi="ArialMT" w:cs="ArialMT"/>
          <w:sz w:val="18"/>
          <w:szCs w:val="18"/>
        </w:rPr>
        <w:t>GeneXpert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software will launch automatically or may require double-clicking on the </w:t>
      </w:r>
      <w:proofErr w:type="spellStart"/>
      <w:r w:rsidRPr="007A2D7A">
        <w:rPr>
          <w:rFonts w:ascii="ArialMT" w:hAnsi="ArialMT" w:cs="ArialMT"/>
          <w:sz w:val="18"/>
          <w:szCs w:val="18"/>
        </w:rPr>
        <w:t>GeneXpert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7A2D7A">
        <w:rPr>
          <w:rFonts w:ascii="ArialMT" w:hAnsi="ArialMT" w:cs="ArialMT"/>
          <w:sz w:val="18"/>
          <w:szCs w:val="18"/>
        </w:rPr>
        <w:t>Dx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software shortcut</w:t>
      </w: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proofErr w:type="gramStart"/>
      <w:r w:rsidRPr="007A2D7A">
        <w:rPr>
          <w:rFonts w:ascii="ArialMT" w:hAnsi="ArialMT" w:cs="ArialMT"/>
          <w:sz w:val="18"/>
          <w:szCs w:val="18"/>
        </w:rPr>
        <w:t>icon</w:t>
      </w:r>
      <w:proofErr w:type="gramEnd"/>
      <w:r w:rsidRPr="007A2D7A">
        <w:rPr>
          <w:rFonts w:ascii="ArialMT" w:hAnsi="ArialMT" w:cs="ArialMT"/>
          <w:sz w:val="18"/>
          <w:szCs w:val="18"/>
        </w:rPr>
        <w:t xml:space="preserve"> on the Windows® desktop</w:t>
      </w:r>
      <w:r w:rsidR="007A2D7A">
        <w:rPr>
          <w:rFonts w:ascii="ArialMT" w:hAnsi="ArialMT" w:cs="ArialMT"/>
          <w:sz w:val="18"/>
          <w:szCs w:val="18"/>
        </w:rPr>
        <w:t xml:space="preserve"> </w:t>
      </w:r>
      <w:r w:rsidRPr="007A2D7A">
        <w:rPr>
          <w:rFonts w:ascii="ArialMT" w:hAnsi="ArialMT" w:cs="ArialMT"/>
          <w:sz w:val="18"/>
          <w:szCs w:val="18"/>
        </w:rPr>
        <w:t>or</w:t>
      </w:r>
    </w:p>
    <w:p w:rsidR="007A2D7A" w:rsidRDefault="007A2D7A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 xml:space="preserve">2. Log on to the </w:t>
      </w:r>
      <w:proofErr w:type="spellStart"/>
      <w:r w:rsidRPr="007A2D7A">
        <w:rPr>
          <w:rFonts w:ascii="ArialMT" w:hAnsi="ArialMT" w:cs="ArialMT"/>
          <w:sz w:val="18"/>
          <w:szCs w:val="18"/>
        </w:rPr>
        <w:t>GeneXpert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Instrument System software using your user name and password.</w:t>
      </w:r>
    </w:p>
    <w:p w:rsidR="007A2D7A" w:rsidRDefault="007A2D7A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 xml:space="preserve">3. In the </w:t>
      </w:r>
      <w:proofErr w:type="spellStart"/>
      <w:r w:rsidRPr="007A2D7A">
        <w:rPr>
          <w:rFonts w:ascii="ArialMT" w:hAnsi="ArialMT" w:cs="ArialMT"/>
          <w:sz w:val="18"/>
          <w:szCs w:val="18"/>
        </w:rPr>
        <w:t>GeneXpert</w:t>
      </w:r>
      <w:proofErr w:type="spellEnd"/>
      <w:r w:rsidRPr="007A2D7A">
        <w:rPr>
          <w:rFonts w:ascii="ArialMT" w:hAnsi="ArialMT" w:cs="ArialMT"/>
          <w:sz w:val="18"/>
          <w:szCs w:val="18"/>
        </w:rPr>
        <w:t xml:space="preserve"> System window, click Create Test </w:t>
      </w:r>
      <w:r w:rsidR="007A2D7A">
        <w:rPr>
          <w:rFonts w:ascii="ArialMT" w:hAnsi="ArialMT" w:cs="ArialMT"/>
          <w:sz w:val="18"/>
          <w:szCs w:val="18"/>
        </w:rPr>
        <w:t>(</w:t>
      </w:r>
      <w:proofErr w:type="spellStart"/>
      <w:r w:rsidR="007A2D7A">
        <w:rPr>
          <w:rFonts w:ascii="ArialMT" w:hAnsi="ArialMT" w:cs="ArialMT"/>
          <w:sz w:val="18"/>
          <w:szCs w:val="18"/>
        </w:rPr>
        <w:t>GeneXpert</w:t>
      </w:r>
      <w:proofErr w:type="spellEnd"/>
      <w:r w:rsidR="007A2D7A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="007A2D7A">
        <w:rPr>
          <w:rFonts w:ascii="ArialMT" w:hAnsi="ArialMT" w:cs="ArialMT"/>
          <w:sz w:val="18"/>
          <w:szCs w:val="18"/>
        </w:rPr>
        <w:t>Dx</w:t>
      </w:r>
      <w:proofErr w:type="spellEnd"/>
      <w:r w:rsidR="007A2D7A">
        <w:rPr>
          <w:rFonts w:ascii="ArialMT" w:hAnsi="ArialMT" w:cs="ArialMT"/>
          <w:sz w:val="18"/>
          <w:szCs w:val="18"/>
        </w:rPr>
        <w:t xml:space="preserve">) </w:t>
      </w:r>
    </w:p>
    <w:p w:rsidR="007A2D7A" w:rsidRDefault="007A2D7A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7A2D7A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7A2D7A">
        <w:rPr>
          <w:rFonts w:ascii="ArialMT" w:hAnsi="ArialMT" w:cs="ArialMT"/>
          <w:sz w:val="18"/>
          <w:szCs w:val="18"/>
        </w:rPr>
        <w:t>4. Scan or t</w:t>
      </w:r>
      <w:r w:rsidR="007A2D7A">
        <w:rPr>
          <w:rFonts w:ascii="ArialMT" w:hAnsi="ArialMT" w:cs="ArialMT"/>
          <w:sz w:val="18"/>
          <w:szCs w:val="18"/>
        </w:rPr>
        <w:t>ype in the Patient Order #. If typing the Patient Order #</w:t>
      </w:r>
      <w:r w:rsidRPr="007A2D7A">
        <w:rPr>
          <w:rFonts w:ascii="ArialMT" w:hAnsi="ArialMT" w:cs="ArialMT"/>
          <w:sz w:val="18"/>
          <w:szCs w:val="18"/>
        </w:rPr>
        <w:t>, make sure the Patient ID is typed correctly. The Patient ID</w:t>
      </w:r>
      <w:r w:rsidR="007A2D7A">
        <w:rPr>
          <w:rFonts w:ascii="ArialMT" w:hAnsi="ArialMT" w:cs="ArialMT"/>
          <w:sz w:val="18"/>
          <w:szCs w:val="18"/>
        </w:rPr>
        <w:t xml:space="preserve"> </w:t>
      </w:r>
      <w:r w:rsidRPr="007A2D7A">
        <w:rPr>
          <w:rFonts w:ascii="ArialMT" w:hAnsi="ArialMT" w:cs="ArialMT"/>
          <w:sz w:val="18"/>
          <w:szCs w:val="18"/>
        </w:rPr>
        <w:t>is associated with the test results and is shown in the View Results window.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Default="006D5CB8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5</w:t>
      </w:r>
      <w:r w:rsidR="00FE7E8B" w:rsidRPr="007A2D7A">
        <w:rPr>
          <w:rFonts w:ascii="ArialMT" w:hAnsi="ArialMT" w:cs="ArialMT"/>
          <w:sz w:val="18"/>
          <w:szCs w:val="18"/>
        </w:rPr>
        <w:t xml:space="preserve">. Scan the barcode on the </w:t>
      </w:r>
      <w:proofErr w:type="spellStart"/>
      <w:r w:rsidR="00FE7E8B" w:rsidRPr="007A2D7A">
        <w:rPr>
          <w:rFonts w:ascii="ArialMT" w:hAnsi="ArialMT" w:cs="ArialMT"/>
          <w:sz w:val="18"/>
          <w:szCs w:val="18"/>
        </w:rPr>
        <w:t>Xpert</w:t>
      </w:r>
      <w:proofErr w:type="spellEnd"/>
      <w:r w:rsidR="00FE7E8B" w:rsidRPr="007A2D7A">
        <w:rPr>
          <w:rFonts w:ascii="ArialMT" w:hAnsi="ArialMT" w:cs="ArialMT"/>
          <w:sz w:val="18"/>
          <w:szCs w:val="18"/>
        </w:rPr>
        <w:t xml:space="preserve"> MTB/RIF Assay cartridge. The Create Test window appears. Using the barcode information,</w:t>
      </w:r>
      <w:r w:rsidR="007A2D7A">
        <w:rPr>
          <w:rFonts w:ascii="ArialMT" w:hAnsi="ArialMT" w:cs="ArialMT"/>
          <w:sz w:val="18"/>
          <w:szCs w:val="18"/>
        </w:rPr>
        <w:t xml:space="preserve"> </w:t>
      </w:r>
      <w:r w:rsidR="00FE7E8B" w:rsidRPr="007A2D7A">
        <w:rPr>
          <w:rFonts w:ascii="ArialMT" w:hAnsi="ArialMT" w:cs="ArialMT"/>
          <w:sz w:val="18"/>
          <w:szCs w:val="18"/>
        </w:rPr>
        <w:t>the software automatically fills the boxes for the following fields: Select Assay, Reagent Lot ID, Cartridge SN, and</w:t>
      </w:r>
      <w:r w:rsidR="007A2D7A">
        <w:rPr>
          <w:rFonts w:ascii="ArialMT" w:hAnsi="ArialMT" w:cs="ArialMT"/>
          <w:sz w:val="18"/>
          <w:szCs w:val="18"/>
        </w:rPr>
        <w:t xml:space="preserve"> </w:t>
      </w:r>
      <w:r w:rsidR="00FE7E8B" w:rsidRPr="007A2D7A">
        <w:rPr>
          <w:rFonts w:ascii="ArialMT" w:hAnsi="ArialMT" w:cs="ArialMT"/>
          <w:sz w:val="18"/>
          <w:szCs w:val="18"/>
        </w:rPr>
        <w:t>Expiration Date.</w:t>
      </w:r>
    </w:p>
    <w:p w:rsidR="00AF4186" w:rsidRPr="007A2D7A" w:rsidRDefault="00AF4186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AF4186" w:rsidRDefault="006D5CB8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proofErr w:type="gramStart"/>
      <w:r>
        <w:rPr>
          <w:rFonts w:ascii="ArialMT" w:hAnsi="ArialMT" w:cs="ArialMT"/>
          <w:sz w:val="18"/>
          <w:szCs w:val="18"/>
        </w:rPr>
        <w:t>6</w:t>
      </w:r>
      <w:r w:rsidR="00AF4186">
        <w:rPr>
          <w:rFonts w:ascii="ArialMT" w:hAnsi="ArialMT" w:cs="ArialMT"/>
          <w:sz w:val="18"/>
          <w:szCs w:val="18"/>
        </w:rPr>
        <w:t>.Click</w:t>
      </w:r>
      <w:proofErr w:type="gramEnd"/>
      <w:r w:rsidR="00AF4186">
        <w:rPr>
          <w:rFonts w:ascii="ArialMT" w:hAnsi="ArialMT" w:cs="ArialMT"/>
          <w:sz w:val="18"/>
          <w:szCs w:val="18"/>
        </w:rPr>
        <w:t xml:space="preserve"> the Notes box and type in the Patient Name.</w:t>
      </w:r>
    </w:p>
    <w:p w:rsidR="00AF4186" w:rsidRDefault="00AF4186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AF4186" w:rsidRDefault="006D5CB8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7</w:t>
      </w:r>
      <w:r w:rsidR="00FE7E8B" w:rsidRPr="00AF4186">
        <w:rPr>
          <w:rFonts w:ascii="ArialMT" w:hAnsi="ArialMT" w:cs="ArialMT"/>
          <w:sz w:val="18"/>
          <w:szCs w:val="18"/>
        </w:rPr>
        <w:t xml:space="preserve">. Click Start Test </w:t>
      </w:r>
      <w:r w:rsidR="00AF4186">
        <w:rPr>
          <w:rFonts w:ascii="ArialMT" w:hAnsi="ArialMT" w:cs="ArialMT"/>
          <w:sz w:val="18"/>
          <w:szCs w:val="18"/>
        </w:rPr>
        <w:t>(</w:t>
      </w:r>
      <w:proofErr w:type="spellStart"/>
      <w:r w:rsidR="00AF4186">
        <w:rPr>
          <w:rFonts w:ascii="ArialMT" w:hAnsi="ArialMT" w:cs="ArialMT"/>
          <w:sz w:val="18"/>
          <w:szCs w:val="18"/>
        </w:rPr>
        <w:t>GeneXpert</w:t>
      </w:r>
      <w:proofErr w:type="spellEnd"/>
      <w:r w:rsidR="00AF418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="00AF4186">
        <w:rPr>
          <w:rFonts w:ascii="ArialMT" w:hAnsi="ArialMT" w:cs="ArialMT"/>
          <w:sz w:val="18"/>
          <w:szCs w:val="18"/>
        </w:rPr>
        <w:t>Dx</w:t>
      </w:r>
      <w:proofErr w:type="spellEnd"/>
      <w:r w:rsidR="00AF4186">
        <w:rPr>
          <w:rFonts w:ascii="ArialMT" w:hAnsi="ArialMT" w:cs="ArialMT"/>
          <w:sz w:val="18"/>
          <w:szCs w:val="18"/>
        </w:rPr>
        <w:t xml:space="preserve">) </w:t>
      </w:r>
    </w:p>
    <w:p w:rsidR="00AF4186" w:rsidRDefault="00AF4186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 xml:space="preserve">For the </w:t>
      </w:r>
      <w:proofErr w:type="spellStart"/>
      <w:r w:rsidRPr="00AF4186">
        <w:rPr>
          <w:rFonts w:ascii="ArialMT" w:hAnsi="ArialMT" w:cs="ArialMT"/>
          <w:sz w:val="18"/>
          <w:szCs w:val="18"/>
        </w:rPr>
        <w:t>GeneXpert</w:t>
      </w:r>
      <w:proofErr w:type="spellEnd"/>
      <w:r w:rsidRPr="00AF418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AF4186">
        <w:rPr>
          <w:rFonts w:ascii="ArialMT" w:hAnsi="ArialMT" w:cs="ArialMT"/>
          <w:sz w:val="18"/>
          <w:szCs w:val="18"/>
        </w:rPr>
        <w:t>Dx</w:t>
      </w:r>
      <w:proofErr w:type="spellEnd"/>
      <w:r w:rsidRPr="00AF4186">
        <w:rPr>
          <w:rFonts w:ascii="ArialMT" w:hAnsi="ArialMT" w:cs="ArialMT"/>
          <w:sz w:val="18"/>
          <w:szCs w:val="18"/>
        </w:rPr>
        <w:t xml:space="preserve"> Instrument: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A. Open the instrument module door with the blinking green light and load the cartridge.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B. Close the door. The test starts and the blinking green light changes to a solid green light. When the test is finished, the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light turns off.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C. Wait until the system releases the door lock before opening the module door and removing the cartridge.</w:t>
      </w:r>
    </w:p>
    <w:p w:rsidR="00FE7E8B" w:rsidRPr="00AF4186" w:rsidRDefault="00FE7E8B" w:rsidP="00AF418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lastRenderedPageBreak/>
        <w:t>D. The used cartridges should be disposed of in the appropriate</w:t>
      </w:r>
      <w:r w:rsidR="00AF4186">
        <w:rPr>
          <w:rFonts w:ascii="ArialMT" w:hAnsi="ArialMT" w:cs="ArialMT"/>
          <w:sz w:val="18"/>
          <w:szCs w:val="18"/>
        </w:rPr>
        <w:t xml:space="preserve"> biohazard </w:t>
      </w:r>
      <w:r w:rsidRPr="00AF4186">
        <w:rPr>
          <w:rFonts w:ascii="ArialMT" w:hAnsi="ArialMT" w:cs="ArialMT"/>
          <w:sz w:val="18"/>
          <w:szCs w:val="18"/>
        </w:rPr>
        <w:t>specimen was</w:t>
      </w:r>
      <w:r w:rsidR="00AF4186">
        <w:rPr>
          <w:rFonts w:ascii="ArialMT" w:hAnsi="ArialMT" w:cs="ArialMT"/>
          <w:sz w:val="18"/>
          <w:szCs w:val="18"/>
        </w:rPr>
        <w:t>te containers.</w:t>
      </w:r>
    </w:p>
    <w:p w:rsidR="00AF4186" w:rsidRDefault="00AF4186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AF4186">
        <w:rPr>
          <w:rFonts w:ascii="Arial-BoldMT" w:hAnsi="Arial-BoldMT" w:cs="Arial-BoldMT"/>
          <w:b/>
          <w:bCs/>
        </w:rPr>
        <w:t>Viewing and Printing Results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This section lists the basic steps for viewing and printing results. For more detailed instructions on how to view and print the</w:t>
      </w:r>
      <w:r w:rsidR="003A02E8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 xml:space="preserve">results, see the </w:t>
      </w:r>
      <w:proofErr w:type="spellStart"/>
      <w:r w:rsidRPr="00AF4186">
        <w:rPr>
          <w:rFonts w:ascii="ArialMT" w:hAnsi="ArialMT" w:cs="ArialMT"/>
          <w:sz w:val="18"/>
          <w:szCs w:val="18"/>
        </w:rPr>
        <w:t>Gene</w:t>
      </w:r>
      <w:r w:rsidR="00AF4186">
        <w:rPr>
          <w:rFonts w:ascii="ArialMT" w:hAnsi="ArialMT" w:cs="ArialMT"/>
          <w:sz w:val="18"/>
          <w:szCs w:val="18"/>
        </w:rPr>
        <w:t>Xpert</w:t>
      </w:r>
      <w:proofErr w:type="spellEnd"/>
      <w:r w:rsidR="00AF418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="00AF4186">
        <w:rPr>
          <w:rFonts w:ascii="ArialMT" w:hAnsi="ArialMT" w:cs="ArialMT"/>
          <w:sz w:val="18"/>
          <w:szCs w:val="18"/>
        </w:rPr>
        <w:t>Dx</w:t>
      </w:r>
      <w:proofErr w:type="spellEnd"/>
      <w:r w:rsidR="00AF4186">
        <w:rPr>
          <w:rFonts w:ascii="ArialMT" w:hAnsi="ArialMT" w:cs="ArialMT"/>
          <w:sz w:val="18"/>
          <w:szCs w:val="18"/>
        </w:rPr>
        <w:t xml:space="preserve"> System Operator Manual</w:t>
      </w:r>
      <w:r w:rsidRPr="00AF4186">
        <w:rPr>
          <w:rFonts w:ascii="ArialMT" w:hAnsi="ArialMT" w:cs="ArialMT"/>
          <w:sz w:val="18"/>
          <w:szCs w:val="18"/>
        </w:rPr>
        <w:t>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1. Click the View Results icon to view results.</w:t>
      </w:r>
    </w:p>
    <w:p w:rsidR="001F0606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2. Upon completion of the test in approximately two hours, click the Report button of the View Results screen to view and/or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 xml:space="preserve">generate a </w:t>
      </w:r>
      <w:proofErr w:type="spellStart"/>
      <w:r w:rsidRPr="00AF4186">
        <w:rPr>
          <w:rFonts w:ascii="ArialMT" w:hAnsi="ArialMT" w:cs="ArialMT"/>
          <w:sz w:val="18"/>
          <w:szCs w:val="18"/>
        </w:rPr>
        <w:t>pdf</w:t>
      </w:r>
      <w:proofErr w:type="spellEnd"/>
      <w:r w:rsidRPr="00AF4186">
        <w:rPr>
          <w:rFonts w:ascii="ArialMT" w:hAnsi="ArialMT" w:cs="ArialMT"/>
          <w:sz w:val="18"/>
          <w:szCs w:val="18"/>
        </w:rPr>
        <w:t xml:space="preserve"> report file.</w:t>
      </w:r>
    </w:p>
    <w:p w:rsidR="001F0606" w:rsidRDefault="001F0606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Pr="001F060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  <w:r>
        <w:rPr>
          <w:rFonts w:ascii="Arial-BoldMT" w:hAnsi="Arial-BoldMT" w:cs="Arial-BoldMT"/>
          <w:b/>
          <w:bCs/>
        </w:rPr>
        <w:t>Quality Control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Each test includes a Sample Processing Control (SPC) and Probe Check Control (PCC).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Sample Processing Control (SPC) – Ensures the sample was correctly processed. The SPC contains non-infectious spores in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the form of a dry spore cake that is included in each cartridge to verify adequate processing of MTB. The SPC verifies that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 xml:space="preserve">conditions for </w:t>
      </w:r>
      <w:proofErr w:type="spellStart"/>
      <w:r w:rsidRPr="00AF4186">
        <w:rPr>
          <w:rFonts w:ascii="ArialMT" w:hAnsi="ArialMT" w:cs="ArialMT"/>
          <w:sz w:val="18"/>
          <w:szCs w:val="18"/>
        </w:rPr>
        <w:t>lysis</w:t>
      </w:r>
      <w:proofErr w:type="spellEnd"/>
      <w:r w:rsidRPr="00AF4186">
        <w:rPr>
          <w:rFonts w:ascii="ArialMT" w:hAnsi="ArialMT" w:cs="ArialMT"/>
          <w:sz w:val="18"/>
          <w:szCs w:val="18"/>
        </w:rPr>
        <w:t xml:space="preserve"> of MTB have occurred if the organisms are present and verifies that specimen processing is adequate.</w:t>
      </w:r>
      <w:r w:rsidR="003A02E8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 xml:space="preserve">Additionally, this control detects specimen-associated inhibition of the real-time PCR reactions and acts as an internal </w:t>
      </w:r>
      <w:proofErr w:type="spellStart"/>
      <w:r w:rsidRPr="00AF4186">
        <w:rPr>
          <w:rFonts w:ascii="ArialMT" w:hAnsi="ArialMT" w:cs="ArialMT"/>
          <w:sz w:val="18"/>
          <w:szCs w:val="18"/>
        </w:rPr>
        <w:t>positivecontrol</w:t>
      </w:r>
      <w:proofErr w:type="spellEnd"/>
      <w:r w:rsidRPr="00AF4186">
        <w:rPr>
          <w:rFonts w:ascii="ArialMT" w:hAnsi="ArialMT" w:cs="ArialMT"/>
          <w:sz w:val="18"/>
          <w:szCs w:val="18"/>
        </w:rPr>
        <w:t>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The SPC should be positive in a MTB-negative sample and can be negative or positive in a positive sample. The SPC passes if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it meets the validated acceptance criteria. The test result will be Invalid if the SPC is not detected in an MTB-negative sample.</w:t>
      </w:r>
    </w:p>
    <w:p w:rsidR="00FE7E8B" w:rsidRPr="00AF418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Probe Check Control (PCC, QC1, QC2) — Before the start of the first and second reactions of the nested PCR assay, the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AF4186">
        <w:rPr>
          <w:rFonts w:ascii="ArialMT" w:hAnsi="ArialMT" w:cs="ArialMT"/>
          <w:sz w:val="18"/>
          <w:szCs w:val="18"/>
        </w:rPr>
        <w:t>GeneXpert</w:t>
      </w:r>
      <w:proofErr w:type="spellEnd"/>
      <w:r w:rsidRPr="00AF4186">
        <w:rPr>
          <w:rFonts w:ascii="ArialMT" w:hAnsi="ArialMT" w:cs="ArialMT"/>
          <w:sz w:val="18"/>
          <w:szCs w:val="18"/>
        </w:rPr>
        <w:t xml:space="preserve"> Instrument System measures the fluorescence signal from the QC1 and QC2 probes (reaction 1) and the </w:t>
      </w:r>
      <w:proofErr w:type="spellStart"/>
      <w:r w:rsidRPr="00AF4186">
        <w:rPr>
          <w:rFonts w:ascii="ArialMT" w:hAnsi="ArialMT" w:cs="ArialMT"/>
          <w:sz w:val="18"/>
          <w:szCs w:val="18"/>
        </w:rPr>
        <w:t>rpoB</w:t>
      </w:r>
      <w:proofErr w:type="spellEnd"/>
      <w:r w:rsidRPr="00AF4186">
        <w:rPr>
          <w:rFonts w:ascii="ArialMT" w:hAnsi="ArialMT" w:cs="ArialMT"/>
          <w:sz w:val="18"/>
          <w:szCs w:val="18"/>
        </w:rPr>
        <w:t xml:space="preserve"> and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SPC probes (reaction 2) to monitor bead rehydration, reaction-tube filling, probe integrity and dye stability. The PCC passes if it</w:t>
      </w:r>
      <w:r w:rsidR="00AF4186">
        <w:rPr>
          <w:rFonts w:ascii="ArialMT" w:hAnsi="ArialMT" w:cs="ArialMT"/>
          <w:sz w:val="18"/>
          <w:szCs w:val="18"/>
        </w:rPr>
        <w:t xml:space="preserve"> </w:t>
      </w:r>
      <w:r w:rsidRPr="00AF4186">
        <w:rPr>
          <w:rFonts w:ascii="ArialMT" w:hAnsi="ArialMT" w:cs="ArialMT"/>
          <w:sz w:val="18"/>
          <w:szCs w:val="18"/>
        </w:rPr>
        <w:t>meets the assigned acceptance criteria.</w:t>
      </w:r>
    </w:p>
    <w:p w:rsidR="00AF4186" w:rsidRDefault="00AF4186" w:rsidP="00FE7E8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FE7E8B" w:rsidRPr="00972B40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972B40">
        <w:rPr>
          <w:rFonts w:ascii="Arial-BoldMT" w:hAnsi="Arial-BoldMT" w:cs="Arial-BoldMT"/>
          <w:b/>
          <w:bCs/>
        </w:rPr>
        <w:t>External Controls</w:t>
      </w:r>
    </w:p>
    <w:p w:rsidR="00972B40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proofErr w:type="gramStart"/>
      <w:r w:rsidRPr="00AF4186">
        <w:rPr>
          <w:rFonts w:ascii="ArialMT" w:hAnsi="ArialMT" w:cs="ArialMT"/>
          <w:sz w:val="18"/>
          <w:szCs w:val="18"/>
        </w:rPr>
        <w:t>MMQCI (Maine Molecular Quality Controls, Inc.)</w:t>
      </w:r>
      <w:proofErr w:type="gramEnd"/>
      <w:r w:rsidRPr="00AF4186">
        <w:rPr>
          <w:rFonts w:ascii="ArialMT" w:hAnsi="ArialMT" w:cs="ArialMT"/>
          <w:sz w:val="18"/>
          <w:szCs w:val="18"/>
        </w:rPr>
        <w:t xml:space="preserve"> INTROL™ External Run Control</w:t>
      </w:r>
      <w:r w:rsidR="00972B40">
        <w:rPr>
          <w:rFonts w:ascii="ArialMT" w:hAnsi="ArialMT" w:cs="ArialMT"/>
          <w:sz w:val="18"/>
          <w:szCs w:val="18"/>
        </w:rPr>
        <w:t>s are performed with each lot lot/shipment as well as 30 day QC.</w:t>
      </w:r>
    </w:p>
    <w:p w:rsidR="003170DF" w:rsidRDefault="003170DF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Default="00972B40" w:rsidP="00972B4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972B40">
        <w:rPr>
          <w:rFonts w:ascii="ArialMT" w:hAnsi="ArialMT" w:cs="ArialMT"/>
          <w:sz w:val="18"/>
          <w:szCs w:val="18"/>
        </w:rPr>
        <w:t>(catalog # TBNEG</w:t>
      </w:r>
      <w:r w:rsidR="00FE7E8B" w:rsidRPr="00972B40">
        <w:rPr>
          <w:rFonts w:ascii="ArialMT" w:hAnsi="ArialMT" w:cs="ArialMT"/>
          <w:sz w:val="18"/>
          <w:szCs w:val="18"/>
        </w:rPr>
        <w:t>) as negative control</w:t>
      </w:r>
      <w:r w:rsidRPr="00972B40">
        <w:rPr>
          <w:rFonts w:ascii="ArialMT" w:hAnsi="ArialMT" w:cs="ArialMT"/>
          <w:sz w:val="18"/>
          <w:szCs w:val="18"/>
        </w:rPr>
        <w:t xml:space="preserve">  MTB-NEGATIVE</w:t>
      </w:r>
      <w:r w:rsidR="003170DF">
        <w:rPr>
          <w:rFonts w:ascii="ArialMT" w:hAnsi="ArialMT" w:cs="ArialMT"/>
          <w:sz w:val="18"/>
          <w:szCs w:val="18"/>
        </w:rPr>
        <w:t>,</w:t>
      </w:r>
      <w:r w:rsidRPr="00972B40">
        <w:rPr>
          <w:rFonts w:ascii="ArialMT" w:hAnsi="ArialMT" w:cs="ArialMT"/>
          <w:sz w:val="18"/>
          <w:szCs w:val="18"/>
        </w:rPr>
        <w:t xml:space="preserve">  RIFAMPIN RESISTANCE-NEGATIVE</w:t>
      </w:r>
    </w:p>
    <w:p w:rsidR="00972B40" w:rsidRDefault="00972B40" w:rsidP="00972B4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AF4186">
        <w:rPr>
          <w:rFonts w:ascii="ArialMT" w:hAnsi="ArialMT" w:cs="ArialMT"/>
          <w:sz w:val="18"/>
          <w:szCs w:val="18"/>
        </w:rPr>
        <w:t>(catalog # TBWT-04</w:t>
      </w:r>
      <w:r>
        <w:rPr>
          <w:rFonts w:ascii="ArialMT" w:hAnsi="ArialMT" w:cs="ArialMT"/>
          <w:sz w:val="18"/>
          <w:szCs w:val="18"/>
        </w:rPr>
        <w:t>) as positive ctrl 1   MTB-POSITIVE</w:t>
      </w:r>
      <w:r w:rsidR="003170DF">
        <w:rPr>
          <w:rFonts w:ascii="ArialMT" w:hAnsi="ArialMT" w:cs="ArialMT"/>
          <w:sz w:val="18"/>
          <w:szCs w:val="18"/>
        </w:rPr>
        <w:t>,</w:t>
      </w:r>
      <w:r>
        <w:rPr>
          <w:rFonts w:ascii="ArialMT" w:hAnsi="ArialMT" w:cs="ArialMT"/>
          <w:sz w:val="18"/>
          <w:szCs w:val="18"/>
        </w:rPr>
        <w:t xml:space="preserve">  RIFAMPIN RESISTANCE-NEGATIVE</w:t>
      </w:r>
    </w:p>
    <w:p w:rsidR="00FE7E8B" w:rsidRDefault="00972B40" w:rsidP="00FE7E8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(catalog#TBMDR1-04) as positive ctrl 2 MTB-POSITIVE</w:t>
      </w:r>
      <w:r w:rsidR="003170DF">
        <w:rPr>
          <w:rFonts w:ascii="ArialMT" w:hAnsi="ArialMT" w:cs="ArialMT"/>
          <w:sz w:val="18"/>
          <w:szCs w:val="18"/>
        </w:rPr>
        <w:t>,</w:t>
      </w:r>
      <w:r>
        <w:rPr>
          <w:rFonts w:ascii="ArialMT" w:hAnsi="ArialMT" w:cs="ArialMT"/>
          <w:sz w:val="18"/>
          <w:szCs w:val="18"/>
        </w:rPr>
        <w:t xml:space="preserve">  RIFAMPIN RESISTANCE-POSITIVE</w:t>
      </w:r>
    </w:p>
    <w:p w:rsidR="00105CB5" w:rsidRDefault="00105CB5" w:rsidP="00105C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105CB5" w:rsidRPr="00105CB5" w:rsidRDefault="00105CB5" w:rsidP="00105CB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For each external control add 200uL of control to 2mL of sample reagent in a 15mL conical tube and proceed from step 5 of Assay Procedure for raw sputum specimens.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Interpretation of Results</w:t>
      </w:r>
    </w:p>
    <w:p w:rsidR="00FE7E8B" w:rsidRPr="00BD50B9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BD50B9">
        <w:rPr>
          <w:rFonts w:ascii="ArialMT" w:hAnsi="ArialMT" w:cs="ArialMT"/>
          <w:sz w:val="18"/>
          <w:szCs w:val="18"/>
        </w:rPr>
        <w:t xml:space="preserve">The </w:t>
      </w:r>
      <w:proofErr w:type="spellStart"/>
      <w:r w:rsidRPr="00BD50B9">
        <w:rPr>
          <w:rFonts w:ascii="ArialMT" w:hAnsi="ArialMT" w:cs="ArialMT"/>
          <w:sz w:val="18"/>
          <w:szCs w:val="18"/>
        </w:rPr>
        <w:t>GeneXpert</w:t>
      </w:r>
      <w:proofErr w:type="spellEnd"/>
      <w:r w:rsidRPr="00BD50B9">
        <w:rPr>
          <w:rFonts w:ascii="ArialMT" w:hAnsi="ArialMT" w:cs="ArialMT"/>
          <w:sz w:val="18"/>
          <w:szCs w:val="18"/>
        </w:rPr>
        <w:t xml:space="preserve"> Instrument System generates the results from measured fluorescent signals and embedded calculation</w:t>
      </w:r>
      <w:r w:rsidR="00BD50B9">
        <w:rPr>
          <w:rFonts w:ascii="ArialMT" w:hAnsi="ArialMT" w:cs="ArialMT"/>
          <w:sz w:val="18"/>
          <w:szCs w:val="18"/>
        </w:rPr>
        <w:t xml:space="preserve"> </w:t>
      </w:r>
      <w:r w:rsidRPr="00BD50B9">
        <w:rPr>
          <w:rFonts w:ascii="ArialMT" w:hAnsi="ArialMT" w:cs="ArialMT"/>
          <w:sz w:val="18"/>
          <w:szCs w:val="18"/>
        </w:rPr>
        <w:t>algorithms. The results can be seen in the View Results window. See Figure 6, Figure 7, Figure 8, and Figure 9 for specific</w:t>
      </w:r>
      <w:r w:rsidR="00BD50B9">
        <w:rPr>
          <w:rFonts w:ascii="ArialMT" w:hAnsi="ArialMT" w:cs="ArialMT"/>
          <w:sz w:val="18"/>
          <w:szCs w:val="18"/>
        </w:rPr>
        <w:t xml:space="preserve"> </w:t>
      </w:r>
      <w:r w:rsidRPr="00BD50B9">
        <w:rPr>
          <w:rFonts w:ascii="ArialMT" w:hAnsi="ArialMT" w:cs="ArialMT"/>
          <w:sz w:val="18"/>
          <w:szCs w:val="18"/>
        </w:rPr>
        <w:t>examples, and see Table 2 for a list of all possible results.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FE7E8B" w:rsidRPr="001F0606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Result Interpretation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MTB DETECTED</w:t>
      </w:r>
      <w:r>
        <w:rPr>
          <w:rFonts w:ascii="ArialMT" w:hAnsi="ArialMT" w:cs="ArialMT"/>
          <w:sz w:val="18"/>
          <w:szCs w:val="18"/>
        </w:rPr>
        <w:t>;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sz w:val="19"/>
          <w:szCs w:val="19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Rif Resistance DETECTED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(Figure 6)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The MTB target is detected within the sample: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A mutation in the </w:t>
      </w:r>
      <w:proofErr w:type="spellStart"/>
      <w:r>
        <w:rPr>
          <w:rFonts w:ascii="Arial-ItalicMT" w:hAnsi="Arial-ItalicMT" w:cs="Arial-ItalicMT"/>
          <w:i/>
          <w:iCs/>
          <w:sz w:val="18"/>
          <w:szCs w:val="18"/>
        </w:rPr>
        <w:t>rpoB</w:t>
      </w:r>
      <w:proofErr w:type="spellEnd"/>
      <w:r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gene has been detected.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NA (not applicable). An SPC signal is not required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because MTB amplification can compete with this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proofErr w:type="gramStart"/>
      <w:r>
        <w:rPr>
          <w:rFonts w:ascii="ArialMT" w:hAnsi="ArialMT" w:cs="ArialMT"/>
          <w:sz w:val="18"/>
          <w:szCs w:val="18"/>
        </w:rPr>
        <w:t>control</w:t>
      </w:r>
      <w:proofErr w:type="gramEnd"/>
      <w:r>
        <w:rPr>
          <w:rFonts w:ascii="ArialMT" w:hAnsi="ArialMT" w:cs="ArialMT"/>
          <w:sz w:val="18"/>
          <w:szCs w:val="18"/>
        </w:rPr>
        <w:t>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PASS. All probe check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results pass.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MTB DETECTED</w:t>
      </w:r>
      <w:r>
        <w:rPr>
          <w:rFonts w:ascii="ArialMT" w:hAnsi="ArialMT" w:cs="ArialMT"/>
          <w:sz w:val="18"/>
          <w:szCs w:val="18"/>
        </w:rPr>
        <w:t>;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sz w:val="19"/>
          <w:szCs w:val="19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Rif Resistance NOT DETECTED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(Figure 7)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The MTB target is detected within the sample: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A mutation in the </w:t>
      </w:r>
      <w:proofErr w:type="spellStart"/>
      <w:r>
        <w:rPr>
          <w:rFonts w:ascii="Arial-ItalicMT" w:hAnsi="Arial-ItalicMT" w:cs="Arial-ItalicMT"/>
          <w:i/>
          <w:iCs/>
          <w:sz w:val="18"/>
          <w:szCs w:val="18"/>
        </w:rPr>
        <w:t>rpoB</w:t>
      </w:r>
      <w:proofErr w:type="spellEnd"/>
      <w:r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gene has not been detected.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NA (not applicable). An SPC signal is not required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because MTB amplification can compete with this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control.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PASS. All probe check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proofErr w:type="gramStart"/>
      <w:r>
        <w:rPr>
          <w:rFonts w:ascii="ArialMT" w:hAnsi="ArialMT" w:cs="ArialMT"/>
          <w:sz w:val="18"/>
          <w:szCs w:val="18"/>
        </w:rPr>
        <w:t>results</w:t>
      </w:r>
      <w:proofErr w:type="gramEnd"/>
      <w:r>
        <w:rPr>
          <w:rFonts w:ascii="ArialMT" w:hAnsi="ArialMT" w:cs="ArialMT"/>
          <w:sz w:val="18"/>
          <w:szCs w:val="18"/>
        </w:rPr>
        <w:t xml:space="preserve"> pass.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lastRenderedPageBreak/>
        <w:t>MTB DETECTED</w:t>
      </w:r>
      <w:r>
        <w:rPr>
          <w:rFonts w:ascii="ArialMT" w:hAnsi="ArialMT" w:cs="ArialMT"/>
          <w:sz w:val="18"/>
          <w:szCs w:val="18"/>
        </w:rPr>
        <w:t>;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sz w:val="19"/>
          <w:szCs w:val="19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Rif Resistance INDETERMINATE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(Figure 8)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The MTB target is detected within the sample: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A mutation in the </w:t>
      </w:r>
      <w:proofErr w:type="spellStart"/>
      <w:r>
        <w:rPr>
          <w:rFonts w:ascii="Arial-ItalicMT" w:hAnsi="Arial-ItalicMT" w:cs="Arial-ItalicMT"/>
          <w:i/>
          <w:iCs/>
          <w:sz w:val="18"/>
          <w:szCs w:val="18"/>
        </w:rPr>
        <w:t>rpoB</w:t>
      </w:r>
      <w:proofErr w:type="spellEnd"/>
      <w:r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gene could not be determined due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to insufficient signal detection.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NA (not applicable). An SPC signal is not required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because MTB amplification can compete with this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control.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• Probe Check (QC1 and QC2): PASS. All probe </w:t>
      </w:r>
      <w:proofErr w:type="spellStart"/>
      <w:r>
        <w:rPr>
          <w:rFonts w:ascii="ArialMT" w:hAnsi="ArialMT" w:cs="ArialMT"/>
          <w:sz w:val="18"/>
          <w:szCs w:val="18"/>
        </w:rPr>
        <w:t>checkresults</w:t>
      </w:r>
      <w:proofErr w:type="spellEnd"/>
      <w:r>
        <w:rPr>
          <w:rFonts w:ascii="ArialMT" w:hAnsi="ArialMT" w:cs="ArialMT"/>
          <w:sz w:val="18"/>
          <w:szCs w:val="18"/>
        </w:rPr>
        <w:t xml:space="preserve"> pass.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sz w:val="19"/>
          <w:szCs w:val="19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>MTB NOT DETECTED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(Figure 9)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The MTB target is not detected within the sample.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PASS. The SPC met the acceptance criteria.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PASS. All probe check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results pass.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 xml:space="preserve">INVALID </w:t>
      </w:r>
      <w:r>
        <w:rPr>
          <w:rFonts w:ascii="ArialMT" w:hAnsi="ArialMT" w:cs="ArialMT"/>
          <w:sz w:val="18"/>
          <w:szCs w:val="18"/>
        </w:rPr>
        <w:t xml:space="preserve">(Figure 10) </w:t>
      </w:r>
      <w:proofErr w:type="gramStart"/>
      <w:r>
        <w:rPr>
          <w:rFonts w:ascii="ArialMT" w:hAnsi="ArialMT" w:cs="ArialMT"/>
          <w:sz w:val="18"/>
          <w:szCs w:val="18"/>
        </w:rPr>
        <w:t>The</w:t>
      </w:r>
      <w:proofErr w:type="gramEnd"/>
      <w:r>
        <w:rPr>
          <w:rFonts w:ascii="ArialMT" w:hAnsi="ArialMT" w:cs="ArialMT"/>
          <w:sz w:val="18"/>
          <w:szCs w:val="18"/>
        </w:rPr>
        <w:t xml:space="preserve"> presence or absence of MTB cannot be determined.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The SPC does not meet the acceptance criteria, the sample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 xml:space="preserve">was not properly processed, or PCR was inhibited. </w:t>
      </w:r>
      <w:r>
        <w:rPr>
          <w:rFonts w:ascii="Arial-BoldMT" w:hAnsi="Arial-BoldMT" w:cs="Arial-BoldMT"/>
          <w:b/>
          <w:bCs/>
          <w:sz w:val="18"/>
          <w:szCs w:val="18"/>
        </w:rPr>
        <w:t>Repeat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-BoldMT" w:hAnsi="Arial-BoldMT" w:cs="Arial-BoldMT"/>
          <w:b/>
          <w:bCs/>
          <w:sz w:val="18"/>
          <w:szCs w:val="18"/>
        </w:rPr>
        <w:t>the test</w:t>
      </w:r>
      <w:r>
        <w:rPr>
          <w:rFonts w:ascii="ArialMT" w:hAnsi="ArialMT" w:cs="ArialMT"/>
          <w:sz w:val="18"/>
          <w:szCs w:val="18"/>
        </w:rPr>
        <w:t>. See Section 11.2, Retest Procedure.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MTB INVALID: The presence or absence of MTB DNA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cannot be determined.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FAIL. The MTB target result is negative, and the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SPC Ct is not within valid range.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PASS. All probe check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results pass.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Narrow-Bold" w:hAnsi="ArialNarrow-Bold" w:cs="ArialNarrow-Bold"/>
          <w:b/>
          <w:bCs/>
          <w:sz w:val="19"/>
          <w:szCs w:val="19"/>
        </w:rPr>
        <w:t xml:space="preserve">ERROR </w:t>
      </w:r>
      <w:r>
        <w:rPr>
          <w:rFonts w:ascii="ArialMT" w:hAnsi="ArialMT" w:cs="ArialMT"/>
          <w:sz w:val="18"/>
          <w:szCs w:val="18"/>
        </w:rPr>
        <w:t>The presence or absence of MTB cannot be determined.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Repeat the test</w:t>
      </w:r>
      <w:r>
        <w:rPr>
          <w:rFonts w:ascii="ArialMT" w:hAnsi="ArialMT" w:cs="ArialMT"/>
          <w:sz w:val="18"/>
          <w:szCs w:val="18"/>
        </w:rPr>
        <w:t>. See Section 11.2, Retest Procedure.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MTB: NO RESULT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NO RESULT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PASS/FAIL.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Probe check failure can be the source of error but other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errors, such as system component failure, can occur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proofErr w:type="gramStart"/>
      <w:r>
        <w:rPr>
          <w:rFonts w:ascii="ArialMT" w:hAnsi="ArialMT" w:cs="ArialMT"/>
          <w:sz w:val="18"/>
          <w:szCs w:val="18"/>
        </w:rPr>
        <w:t>even</w:t>
      </w:r>
      <w:proofErr w:type="gramEnd"/>
      <w:r>
        <w:rPr>
          <w:rFonts w:ascii="ArialMT" w:hAnsi="ArialMT" w:cs="ArialMT"/>
          <w:sz w:val="18"/>
          <w:szCs w:val="18"/>
        </w:rPr>
        <w:t xml:space="preserve"> if probe check passes.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proofErr w:type="gramStart"/>
      <w:r>
        <w:rPr>
          <w:rFonts w:ascii="ArialNarrow-Bold" w:hAnsi="ArialNarrow-Bold" w:cs="ArialNarrow-Bold"/>
          <w:b/>
          <w:bCs/>
          <w:sz w:val="19"/>
          <w:szCs w:val="19"/>
        </w:rPr>
        <w:t xml:space="preserve">NO RESULT </w:t>
      </w:r>
      <w:r>
        <w:rPr>
          <w:rFonts w:ascii="ArialMT" w:hAnsi="ArialMT" w:cs="ArialMT"/>
          <w:sz w:val="18"/>
          <w:szCs w:val="18"/>
        </w:rPr>
        <w:t>The presence or absence of MTB cannot be determined.</w:t>
      </w:r>
      <w:proofErr w:type="gramEnd"/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Repeat the test</w:t>
      </w:r>
      <w:r>
        <w:rPr>
          <w:rFonts w:ascii="ArialMT" w:hAnsi="ArialMT" w:cs="ArialMT"/>
          <w:sz w:val="18"/>
          <w:szCs w:val="18"/>
        </w:rPr>
        <w:t>. See Section 11.2, Retest Procedure. A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NO RESULT indicates that insufficient data were collected.</w:t>
      </w:r>
      <w:r w:rsidR="001F0606"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18"/>
          <w:szCs w:val="18"/>
        </w:rPr>
        <w:t>For example, the operator stopped a test that was in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proofErr w:type="gramStart"/>
      <w:r>
        <w:rPr>
          <w:rFonts w:ascii="ArialMT" w:hAnsi="ArialMT" w:cs="ArialMT"/>
          <w:sz w:val="18"/>
          <w:szCs w:val="18"/>
        </w:rPr>
        <w:t>progress</w:t>
      </w:r>
      <w:proofErr w:type="gramEnd"/>
      <w:r>
        <w:rPr>
          <w:rFonts w:ascii="ArialMT" w:hAnsi="ArialMT" w:cs="ArialMT"/>
          <w:sz w:val="18"/>
          <w:szCs w:val="18"/>
        </w:rPr>
        <w:t>.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MTB: NO RESULT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SPC: NO RESULT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• Probe Check (QC1 and QC2): NA (not applicable).</w:t>
      </w:r>
    </w:p>
    <w:p w:rsidR="001F0606" w:rsidRDefault="001F0606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380C23" w:rsidRDefault="00380C23" w:rsidP="00380C2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380C23" w:rsidRPr="00380C23" w:rsidRDefault="00BD50B9" w:rsidP="00380C2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 xml:space="preserve">Results will be manually entered </w:t>
      </w:r>
      <w:r w:rsidR="00380C23" w:rsidRPr="00380C23">
        <w:rPr>
          <w:rFonts w:ascii="ArialMT" w:hAnsi="ArialMT" w:cs="ArialMT"/>
          <w:sz w:val="18"/>
          <w:szCs w:val="18"/>
        </w:rPr>
        <w:t xml:space="preserve">into </w:t>
      </w:r>
      <w:proofErr w:type="gramStart"/>
      <w:r w:rsidR="00380C23" w:rsidRPr="00380C23">
        <w:rPr>
          <w:rFonts w:ascii="ArialMT" w:hAnsi="ArialMT" w:cs="ArialMT"/>
          <w:sz w:val="18"/>
          <w:szCs w:val="18"/>
        </w:rPr>
        <w:t>Soft</w:t>
      </w:r>
      <w:proofErr w:type="gramEnd"/>
      <w:r w:rsidR="001304A5">
        <w:rPr>
          <w:rFonts w:ascii="ArialMT" w:hAnsi="ArialMT" w:cs="ArialMT"/>
          <w:sz w:val="18"/>
          <w:szCs w:val="18"/>
        </w:rPr>
        <w:t xml:space="preserve"> using the result keypad</w:t>
      </w:r>
      <w:r w:rsidR="00380C23" w:rsidRPr="00380C23">
        <w:rPr>
          <w:rFonts w:ascii="ArialMT" w:hAnsi="ArialMT" w:cs="ArialMT"/>
          <w:sz w:val="18"/>
          <w:szCs w:val="18"/>
        </w:rPr>
        <w:t xml:space="preserve">.  Use the </w:t>
      </w:r>
      <w:proofErr w:type="spellStart"/>
      <w:r w:rsidR="00380C23" w:rsidRPr="00380C23">
        <w:rPr>
          <w:rFonts w:ascii="ArialMT" w:hAnsi="ArialMT" w:cs="ArialMT"/>
          <w:sz w:val="18"/>
          <w:szCs w:val="18"/>
        </w:rPr>
        <w:t>Genexpert</w:t>
      </w:r>
      <w:proofErr w:type="spellEnd"/>
      <w:r w:rsidR="00380C23" w:rsidRPr="00380C23">
        <w:rPr>
          <w:rFonts w:ascii="ArialMT" w:hAnsi="ArialMT" w:cs="ArialMT"/>
          <w:sz w:val="18"/>
          <w:szCs w:val="18"/>
        </w:rPr>
        <w:t xml:space="preserve"> resulting </w:t>
      </w:r>
      <w:proofErr w:type="spellStart"/>
      <w:r w:rsidR="00380C23" w:rsidRPr="00380C23">
        <w:rPr>
          <w:rFonts w:ascii="ArialMT" w:hAnsi="ArialMT" w:cs="ArialMT"/>
          <w:sz w:val="18"/>
          <w:szCs w:val="18"/>
        </w:rPr>
        <w:t>worklist</w:t>
      </w:r>
      <w:proofErr w:type="spellEnd"/>
      <w:r w:rsidR="00380C23" w:rsidRPr="00380C23">
        <w:rPr>
          <w:rFonts w:ascii="ArialMT" w:hAnsi="ArialMT" w:cs="ArialMT"/>
          <w:sz w:val="18"/>
          <w:szCs w:val="18"/>
        </w:rPr>
        <w:t xml:space="preserve"> for resul</w:t>
      </w:r>
      <w:r w:rsidR="003A02E8">
        <w:rPr>
          <w:rFonts w:ascii="ArialMT" w:hAnsi="ArialMT" w:cs="ArialMT"/>
          <w:sz w:val="18"/>
          <w:szCs w:val="18"/>
        </w:rPr>
        <w:t xml:space="preserve">t entry/finalization. </w:t>
      </w:r>
      <w:r w:rsidR="00380C23" w:rsidRPr="00380C23">
        <w:rPr>
          <w:rFonts w:ascii="ArialMT" w:hAnsi="ArialMT" w:cs="ArialMT"/>
          <w:sz w:val="18"/>
          <w:szCs w:val="18"/>
        </w:rPr>
        <w:t>See Soft LIS Micro Procedure Manual for further details.</w:t>
      </w:r>
    </w:p>
    <w:p w:rsidR="00380C23" w:rsidRPr="00380C23" w:rsidRDefault="00380C23" w:rsidP="00380C2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FE7E8B" w:rsidRPr="00380C23" w:rsidRDefault="00380C23" w:rsidP="00380C2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380C23">
        <w:rPr>
          <w:rFonts w:ascii="ArialMT" w:hAnsi="ArialMT" w:cs="ArialMT"/>
          <w:sz w:val="18"/>
          <w:szCs w:val="18"/>
        </w:rPr>
        <w:t xml:space="preserve">The results are interpolated by </w:t>
      </w:r>
      <w:proofErr w:type="spellStart"/>
      <w:r w:rsidRPr="00380C23">
        <w:rPr>
          <w:rFonts w:ascii="ArialMT" w:hAnsi="ArialMT" w:cs="ArialMT"/>
          <w:sz w:val="18"/>
          <w:szCs w:val="18"/>
        </w:rPr>
        <w:t>GeneXpert</w:t>
      </w:r>
      <w:proofErr w:type="spellEnd"/>
      <w:r w:rsidRPr="00380C23">
        <w:rPr>
          <w:rFonts w:ascii="ArialMT" w:hAnsi="ArialMT" w:cs="ArialMT"/>
          <w:sz w:val="18"/>
          <w:szCs w:val="18"/>
        </w:rPr>
        <w:t xml:space="preserve">® </w:t>
      </w:r>
      <w:proofErr w:type="spellStart"/>
      <w:r w:rsidRPr="00380C23">
        <w:rPr>
          <w:rFonts w:ascii="ArialMT" w:hAnsi="ArialMT" w:cs="ArialMT"/>
          <w:sz w:val="18"/>
          <w:szCs w:val="18"/>
        </w:rPr>
        <w:t>Dx</w:t>
      </w:r>
      <w:proofErr w:type="spellEnd"/>
      <w:r w:rsidRPr="00380C23">
        <w:rPr>
          <w:rFonts w:ascii="ArialMT" w:hAnsi="ArialMT" w:cs="ArialMT"/>
          <w:sz w:val="18"/>
          <w:szCs w:val="18"/>
        </w:rPr>
        <w:t xml:space="preserve"> System from measured fluorescent signals and embedded calculation algorithms and will be shown in the View Results window.  Possible results are:</w:t>
      </w: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FE7E8B" w:rsidRDefault="00FE7E8B" w:rsidP="00FE7E8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</w:p>
    <w:p w:rsidR="00CE0BD0" w:rsidRDefault="00CE0BD0" w:rsidP="00FE7E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lastRenderedPageBreak/>
        <w:drawing>
          <wp:inline distT="0" distB="0" distL="0" distR="0">
            <wp:extent cx="5943600" cy="449580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D0" w:rsidRDefault="00CE0BD0" w:rsidP="00CE0BD0">
      <w:pPr>
        <w:rPr>
          <w:rFonts w:ascii="ArialMT" w:hAnsi="ArialMT" w:cs="ArialMT"/>
          <w:sz w:val="18"/>
          <w:szCs w:val="18"/>
        </w:rPr>
      </w:pPr>
    </w:p>
    <w:p w:rsidR="00380C23" w:rsidRDefault="00CE0BD0" w:rsidP="000179DD">
      <w:pPr>
        <w:ind w:firstLine="720"/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Figure 6.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An Example of a MTB DETECTED; Rif Resistance DETECTED Result</w:t>
      </w:r>
    </w:p>
    <w:p w:rsidR="001F0606" w:rsidRDefault="00BD440F" w:rsidP="00CE0BD0">
      <w:pPr>
        <w:ind w:firstLine="720"/>
        <w:rPr>
          <w:rFonts w:ascii="Arial-BoldMT" w:hAnsi="Arial-BoldMT" w:cs="Arial-BoldMT"/>
          <w:bCs/>
          <w:sz w:val="18"/>
          <w:szCs w:val="18"/>
        </w:rPr>
      </w:pPr>
      <w:r>
        <w:rPr>
          <w:rFonts w:ascii="Arial-BoldMT" w:hAnsi="Arial-BoldMT" w:cs="Arial-BoldMT"/>
          <w:bCs/>
          <w:sz w:val="18"/>
          <w:szCs w:val="18"/>
        </w:rPr>
        <w:t>Choose following results from the keypad:</w:t>
      </w:r>
    </w:p>
    <w:p w:rsidR="00BD440F" w:rsidRDefault="00BD440F" w:rsidP="00BD440F">
      <w:pPr>
        <w:pStyle w:val="ListParagraph"/>
        <w:numPr>
          <w:ilvl w:val="0"/>
          <w:numId w:val="2"/>
        </w:num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 xml:space="preserve">}PMTB ?Pos MTB – “Mycobacterium tuberculosis </w:t>
      </w:r>
      <w:r w:rsidR="00DB68C7">
        <w:rPr>
          <w:rFonts w:ascii="Arial-BoldMT" w:hAnsi="Arial-BoldMT" w:cs="Arial-BoldMT"/>
          <w:b/>
          <w:bCs/>
          <w:sz w:val="18"/>
          <w:szCs w:val="18"/>
        </w:rPr>
        <w:t xml:space="preserve">complex </w:t>
      </w:r>
      <w:r>
        <w:rPr>
          <w:rFonts w:ascii="Arial-BoldMT" w:hAnsi="Arial-BoldMT" w:cs="Arial-BoldMT"/>
          <w:b/>
          <w:bCs/>
          <w:sz w:val="18"/>
          <w:szCs w:val="18"/>
        </w:rPr>
        <w:t>DNA DETECTED”</w:t>
      </w:r>
    </w:p>
    <w:p w:rsidR="004D3470" w:rsidRDefault="004D3470" w:rsidP="004D3470">
      <w:pPr>
        <w:pStyle w:val="ListParagraph"/>
        <w:ind w:left="1080"/>
        <w:rPr>
          <w:rFonts w:ascii="Arial-BoldMT" w:hAnsi="Arial-BoldMT" w:cs="Arial-BoldMT"/>
          <w:b/>
          <w:bCs/>
          <w:sz w:val="18"/>
          <w:szCs w:val="18"/>
        </w:rPr>
      </w:pPr>
    </w:p>
    <w:p w:rsidR="00BD440F" w:rsidRDefault="00BD440F" w:rsidP="00BD440F">
      <w:pPr>
        <w:pStyle w:val="ListParagraph"/>
        <w:numPr>
          <w:ilvl w:val="0"/>
          <w:numId w:val="2"/>
        </w:num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}PRIF ?Pos Rif Resistance – “</w:t>
      </w:r>
      <w:proofErr w:type="spellStart"/>
      <w:r>
        <w:rPr>
          <w:rFonts w:ascii="Arial-BoldMT" w:hAnsi="Arial-BoldMT" w:cs="Arial-BoldMT"/>
          <w:b/>
          <w:bCs/>
          <w:sz w:val="18"/>
          <w:szCs w:val="18"/>
        </w:rPr>
        <w:t>Rifampin</w:t>
      </w:r>
      <w:proofErr w:type="spellEnd"/>
      <w:r>
        <w:rPr>
          <w:rFonts w:ascii="Arial-BoldMT" w:hAnsi="Arial-BoldMT" w:cs="Arial-BoldMT"/>
          <w:b/>
          <w:bCs/>
          <w:sz w:val="18"/>
          <w:szCs w:val="18"/>
        </w:rPr>
        <w:t xml:space="preserve"> Resistance DETECTED”</w:t>
      </w:r>
    </w:p>
    <w:p w:rsidR="004A6D50" w:rsidRDefault="004A6D50" w:rsidP="00BD440F">
      <w:pPr>
        <w:pStyle w:val="ListParagraph"/>
        <w:ind w:left="3600"/>
        <w:rPr>
          <w:rFonts w:ascii="Arial-BoldMT" w:hAnsi="Arial-BoldMT" w:cs="Arial-BoldMT"/>
          <w:b/>
          <w:bCs/>
          <w:sz w:val="18"/>
          <w:szCs w:val="18"/>
        </w:rPr>
      </w:pPr>
      <w:r w:rsidRPr="004A6D50">
        <w:rPr>
          <w:rFonts w:ascii="Arial-BoldMT" w:hAnsi="Arial-BoldMT" w:cs="Arial-BoldMT"/>
          <w:b/>
          <w:bCs/>
          <w:sz w:val="18"/>
          <w:szCs w:val="18"/>
        </w:rPr>
        <w:t>Specimen Quality Screen: Acceptable</w:t>
      </w:r>
    </w:p>
    <w:p w:rsidR="00BD440F" w:rsidRDefault="00BD440F" w:rsidP="00BD440F">
      <w:pPr>
        <w:pStyle w:val="ListParagraph"/>
        <w:ind w:left="3600"/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?Internal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QC acceptable.</w:t>
      </w:r>
    </w:p>
    <w:p w:rsidR="000179DD" w:rsidRPr="000471C1" w:rsidRDefault="000471C1" w:rsidP="000179DD">
      <w:pPr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Document critical call.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Caregiver and Infection Prevention must be immediately notified.</w:t>
      </w:r>
      <w:r w:rsidR="000179DD" w:rsidRPr="000179DD"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 w:rsidR="000179DD">
        <w:rPr>
          <w:rFonts w:ascii="Arial-BoldMT" w:hAnsi="Arial-BoldMT" w:cs="Arial-BoldMT"/>
          <w:b/>
          <w:bCs/>
          <w:sz w:val="18"/>
          <w:szCs w:val="18"/>
        </w:rPr>
        <w:t>Order AFB Cu</w:t>
      </w:r>
      <w:r w:rsidR="0054256D">
        <w:rPr>
          <w:rFonts w:ascii="Arial-BoldMT" w:hAnsi="Arial-BoldMT" w:cs="Arial-BoldMT"/>
          <w:b/>
          <w:bCs/>
          <w:sz w:val="18"/>
          <w:szCs w:val="18"/>
        </w:rPr>
        <w:t>lture/Smear on remaining sample if not already ordered.</w:t>
      </w:r>
    </w:p>
    <w:p w:rsidR="00CE0BD0" w:rsidRDefault="00CE0BD0" w:rsidP="000179DD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5901ED" w:rsidRDefault="005901ED" w:rsidP="00CE0BD0">
      <w:pPr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lastRenderedPageBreak/>
        <w:drawing>
          <wp:inline distT="0" distB="0" distL="0" distR="0">
            <wp:extent cx="5162550" cy="480060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39" cy="480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DD" w:rsidRDefault="005901ED" w:rsidP="000179DD">
      <w:pPr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ab/>
      </w: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Figure 7.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An Example of a MTB DETECTED; Rif Resistance NOT DETECTED Result</w:t>
      </w:r>
    </w:p>
    <w:p w:rsidR="004D3470" w:rsidRPr="000179DD" w:rsidRDefault="004D3470" w:rsidP="000179DD">
      <w:pPr>
        <w:ind w:firstLine="720"/>
        <w:rPr>
          <w:rFonts w:ascii="ArialMT" w:hAnsi="ArialMT" w:cs="ArialMT"/>
          <w:sz w:val="18"/>
          <w:szCs w:val="18"/>
        </w:rPr>
      </w:pPr>
      <w:r>
        <w:rPr>
          <w:rFonts w:ascii="Arial-BoldMT" w:hAnsi="Arial-BoldMT" w:cs="Arial-BoldMT"/>
          <w:bCs/>
          <w:sz w:val="18"/>
          <w:szCs w:val="18"/>
        </w:rPr>
        <w:t>Choose following results from the keypad:</w:t>
      </w:r>
    </w:p>
    <w:p w:rsidR="004D3470" w:rsidRPr="004D3470" w:rsidRDefault="004D3470" w:rsidP="004D3470">
      <w:pPr>
        <w:ind w:left="720"/>
        <w:rPr>
          <w:rFonts w:ascii="Arial-BoldMT" w:hAnsi="Arial-BoldMT" w:cs="Arial-BoldMT"/>
          <w:b/>
          <w:bCs/>
          <w:sz w:val="18"/>
          <w:szCs w:val="18"/>
        </w:rPr>
      </w:pPr>
      <w:r w:rsidRPr="004D3470">
        <w:rPr>
          <w:rFonts w:ascii="Arial-BoldMT" w:hAnsi="Arial-BoldMT" w:cs="Arial-BoldMT"/>
          <w:bCs/>
          <w:sz w:val="18"/>
          <w:szCs w:val="18"/>
        </w:rPr>
        <w:t>1.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  </w:t>
      </w:r>
      <w:proofErr w:type="gramStart"/>
      <w:r w:rsidRPr="004D3470">
        <w:rPr>
          <w:rFonts w:ascii="Arial-BoldMT" w:hAnsi="Arial-BoldMT" w:cs="Arial-BoldMT"/>
          <w:b/>
          <w:bCs/>
          <w:sz w:val="18"/>
          <w:szCs w:val="18"/>
        </w:rPr>
        <w:t>}PMTB</w:t>
      </w:r>
      <w:proofErr w:type="gramEnd"/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?Pos MTB – “Mycobacterium tuberculosis </w:t>
      </w:r>
      <w:r w:rsidR="00DB68C7">
        <w:rPr>
          <w:rFonts w:ascii="Arial-BoldMT" w:hAnsi="Arial-BoldMT" w:cs="Arial-BoldMT"/>
          <w:b/>
          <w:bCs/>
          <w:sz w:val="18"/>
          <w:szCs w:val="18"/>
        </w:rPr>
        <w:t xml:space="preserve">complex 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>DNA DETECTED”</w:t>
      </w:r>
    </w:p>
    <w:p w:rsidR="000179DD" w:rsidRDefault="004D3470" w:rsidP="000179DD">
      <w:pPr>
        <w:ind w:left="720"/>
        <w:rPr>
          <w:rFonts w:ascii="Arial-BoldMT" w:hAnsi="Arial-BoldMT" w:cs="Arial-BoldMT"/>
          <w:b/>
          <w:bCs/>
          <w:sz w:val="18"/>
          <w:szCs w:val="18"/>
        </w:rPr>
      </w:pPr>
      <w:r w:rsidRPr="004D3470">
        <w:rPr>
          <w:rFonts w:ascii="Arial-BoldMT" w:hAnsi="Arial-BoldMT" w:cs="Arial-BoldMT"/>
          <w:bCs/>
          <w:sz w:val="18"/>
          <w:szCs w:val="18"/>
        </w:rPr>
        <w:t>2.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  </w:t>
      </w:r>
      <w:proofErr w:type="gramStart"/>
      <w:r w:rsidRPr="004D3470">
        <w:rPr>
          <w:rFonts w:ascii="Arial-BoldMT" w:hAnsi="Arial-BoldMT" w:cs="Arial-BoldMT"/>
          <w:b/>
          <w:bCs/>
          <w:sz w:val="18"/>
          <w:szCs w:val="18"/>
        </w:rPr>
        <w:t>}</w:t>
      </w:r>
      <w:r>
        <w:rPr>
          <w:rFonts w:ascii="Arial-BoldMT" w:hAnsi="Arial-BoldMT" w:cs="Arial-BoldMT"/>
          <w:b/>
          <w:bCs/>
          <w:sz w:val="18"/>
          <w:szCs w:val="18"/>
        </w:rPr>
        <w:t>N</w:t>
      </w:r>
      <w:r w:rsidR="00AA59E6">
        <w:rPr>
          <w:rFonts w:ascii="Arial-BoldMT" w:hAnsi="Arial-BoldMT" w:cs="Arial-BoldMT"/>
          <w:b/>
          <w:bCs/>
          <w:sz w:val="18"/>
          <w:szCs w:val="18"/>
        </w:rPr>
        <w:t>RIF</w:t>
      </w:r>
      <w:proofErr w:type="gramEnd"/>
      <w:r w:rsidR="00AA59E6">
        <w:rPr>
          <w:rFonts w:ascii="Arial-BoldMT" w:hAnsi="Arial-BoldMT" w:cs="Arial-BoldMT"/>
          <w:b/>
          <w:bCs/>
          <w:sz w:val="18"/>
          <w:szCs w:val="18"/>
        </w:rPr>
        <w:t xml:space="preserve"> ?</w:t>
      </w:r>
      <w:proofErr w:type="spellStart"/>
      <w:r w:rsidR="00AA59E6">
        <w:rPr>
          <w:rFonts w:ascii="Arial-BoldMT" w:hAnsi="Arial-BoldMT" w:cs="Arial-BoldMT"/>
          <w:b/>
          <w:bCs/>
          <w:sz w:val="18"/>
          <w:szCs w:val="18"/>
        </w:rPr>
        <w:t>Neg</w:t>
      </w:r>
      <w:proofErr w:type="spellEnd"/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Rif Resistance – “</w:t>
      </w:r>
      <w:proofErr w:type="spellStart"/>
      <w:r w:rsidRPr="004D3470">
        <w:rPr>
          <w:rFonts w:ascii="Arial-BoldMT" w:hAnsi="Arial-BoldMT" w:cs="Arial-BoldMT"/>
          <w:b/>
          <w:bCs/>
          <w:sz w:val="18"/>
          <w:szCs w:val="18"/>
        </w:rPr>
        <w:t>Rifampin</w:t>
      </w:r>
      <w:proofErr w:type="spellEnd"/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Resistance 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NOT 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>DETECTED”</w:t>
      </w:r>
    </w:p>
    <w:p w:rsidR="004A6D50" w:rsidRDefault="004A6D50" w:rsidP="000179DD">
      <w:pPr>
        <w:ind w:left="2880" w:firstLine="720"/>
        <w:rPr>
          <w:rFonts w:ascii="Arial-BoldMT" w:hAnsi="Arial-BoldMT" w:cs="Arial-BoldMT"/>
          <w:b/>
          <w:bCs/>
          <w:sz w:val="18"/>
          <w:szCs w:val="18"/>
        </w:rPr>
      </w:pPr>
      <w:r w:rsidRPr="004A6D50">
        <w:rPr>
          <w:rFonts w:ascii="Arial-BoldMT" w:hAnsi="Arial-BoldMT" w:cs="Arial-BoldMT"/>
          <w:b/>
          <w:bCs/>
          <w:sz w:val="18"/>
          <w:szCs w:val="18"/>
        </w:rPr>
        <w:t>Specimen Quality Screen: Acceptable</w:t>
      </w:r>
    </w:p>
    <w:p w:rsidR="004D3470" w:rsidRPr="004D3470" w:rsidRDefault="004D3470" w:rsidP="000179DD">
      <w:pPr>
        <w:ind w:left="2880" w:firstLine="720"/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 w:rsidRPr="004D3470">
        <w:rPr>
          <w:rFonts w:ascii="Arial-BoldMT" w:hAnsi="Arial-BoldMT" w:cs="Arial-BoldMT"/>
          <w:b/>
          <w:bCs/>
          <w:sz w:val="18"/>
          <w:szCs w:val="18"/>
        </w:rPr>
        <w:t>?Internal</w:t>
      </w:r>
      <w:proofErr w:type="gramEnd"/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QC acceptable.</w:t>
      </w:r>
    </w:p>
    <w:p w:rsidR="004D3470" w:rsidRPr="000471C1" w:rsidRDefault="004D3470" w:rsidP="004D3470">
      <w:pPr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Document critical call.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Caregiver and Infection Prevention must be immediately notified.</w:t>
      </w:r>
      <w:r w:rsidR="000179DD">
        <w:rPr>
          <w:rFonts w:ascii="Arial-BoldMT" w:hAnsi="Arial-BoldMT" w:cs="Arial-BoldMT"/>
          <w:b/>
          <w:bCs/>
          <w:sz w:val="18"/>
          <w:szCs w:val="18"/>
        </w:rPr>
        <w:t xml:space="preserve"> Order AFB Culture/Smear on remaining sample</w:t>
      </w:r>
      <w:r w:rsidR="0054256D" w:rsidRPr="0054256D"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 w:rsidR="0054256D">
        <w:rPr>
          <w:rFonts w:ascii="Arial-BoldMT" w:hAnsi="Arial-BoldMT" w:cs="Arial-BoldMT"/>
          <w:b/>
          <w:bCs/>
          <w:sz w:val="18"/>
          <w:szCs w:val="18"/>
        </w:rPr>
        <w:t xml:space="preserve">if not already </w:t>
      </w:r>
      <w:proofErr w:type="gramStart"/>
      <w:r w:rsidR="0054256D">
        <w:rPr>
          <w:rFonts w:ascii="Arial-BoldMT" w:hAnsi="Arial-BoldMT" w:cs="Arial-BoldMT"/>
          <w:b/>
          <w:bCs/>
          <w:sz w:val="18"/>
          <w:szCs w:val="18"/>
        </w:rPr>
        <w:t xml:space="preserve">ordered </w:t>
      </w:r>
      <w:r w:rsidR="000179DD">
        <w:rPr>
          <w:rFonts w:ascii="Arial-BoldMT" w:hAnsi="Arial-BoldMT" w:cs="Arial-BoldMT"/>
          <w:b/>
          <w:bCs/>
          <w:sz w:val="18"/>
          <w:szCs w:val="18"/>
        </w:rPr>
        <w:t>.</w:t>
      </w:r>
      <w:proofErr w:type="gramEnd"/>
    </w:p>
    <w:p w:rsidR="005901ED" w:rsidRDefault="005901ED" w:rsidP="005901ED">
      <w:pPr>
        <w:rPr>
          <w:rFonts w:ascii="ArialMT" w:hAnsi="ArialMT" w:cs="ArialMT"/>
          <w:sz w:val="18"/>
          <w:szCs w:val="18"/>
        </w:rPr>
      </w:pPr>
    </w:p>
    <w:p w:rsidR="00767D3C" w:rsidRPr="00767D3C" w:rsidRDefault="005901ED" w:rsidP="000179DD">
      <w:pPr>
        <w:tabs>
          <w:tab w:val="left" w:pos="1440"/>
        </w:tabs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lastRenderedPageBreak/>
        <w:drawing>
          <wp:inline distT="0" distB="0" distL="0" distR="0">
            <wp:extent cx="5942181" cy="4829175"/>
            <wp:effectExtent l="19050" t="0" r="1419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sz w:val="18"/>
          <w:szCs w:val="18"/>
        </w:rPr>
        <w:tab/>
      </w:r>
      <w:proofErr w:type="gramStart"/>
      <w:r w:rsidR="00CE27F2">
        <w:rPr>
          <w:rFonts w:ascii="Arial-BoldMT" w:hAnsi="Arial-BoldMT" w:cs="Arial-BoldMT"/>
          <w:b/>
          <w:bCs/>
          <w:sz w:val="18"/>
          <w:szCs w:val="18"/>
        </w:rPr>
        <w:t>Figure 8.</w:t>
      </w:r>
      <w:proofErr w:type="gramEnd"/>
      <w:r w:rsidR="00CE27F2">
        <w:rPr>
          <w:rFonts w:ascii="Arial-BoldMT" w:hAnsi="Arial-BoldMT" w:cs="Arial-BoldMT"/>
          <w:b/>
          <w:bCs/>
          <w:sz w:val="18"/>
          <w:szCs w:val="18"/>
        </w:rPr>
        <w:t xml:space="preserve"> An Example of a MTB DETECTED; Rif Resistance INDETERMINATE Result</w:t>
      </w:r>
    </w:p>
    <w:p w:rsidR="00767D3C" w:rsidRPr="00767D3C" w:rsidRDefault="00767D3C" w:rsidP="00767D3C">
      <w:pPr>
        <w:rPr>
          <w:rFonts w:ascii="ArialMT" w:hAnsi="ArialMT" w:cs="ArialMT"/>
          <w:sz w:val="18"/>
          <w:szCs w:val="18"/>
        </w:rPr>
      </w:pPr>
    </w:p>
    <w:p w:rsidR="000179DD" w:rsidRDefault="000179DD" w:rsidP="000179DD">
      <w:pPr>
        <w:ind w:firstLine="720"/>
        <w:rPr>
          <w:rFonts w:ascii="Arial-BoldMT" w:hAnsi="Arial-BoldMT" w:cs="Arial-BoldMT"/>
          <w:bCs/>
          <w:sz w:val="18"/>
          <w:szCs w:val="18"/>
        </w:rPr>
      </w:pPr>
      <w:r>
        <w:rPr>
          <w:rFonts w:ascii="Arial-BoldMT" w:hAnsi="Arial-BoldMT" w:cs="Arial-BoldMT"/>
          <w:bCs/>
          <w:sz w:val="18"/>
          <w:szCs w:val="18"/>
        </w:rPr>
        <w:t>Choose following results from the keypad:</w:t>
      </w:r>
    </w:p>
    <w:p w:rsidR="000179DD" w:rsidRPr="004D3470" w:rsidRDefault="000179DD" w:rsidP="000179DD">
      <w:pPr>
        <w:ind w:left="720"/>
        <w:rPr>
          <w:rFonts w:ascii="Arial-BoldMT" w:hAnsi="Arial-BoldMT" w:cs="Arial-BoldMT"/>
          <w:b/>
          <w:bCs/>
          <w:sz w:val="18"/>
          <w:szCs w:val="18"/>
        </w:rPr>
      </w:pPr>
      <w:r w:rsidRPr="004D3470">
        <w:rPr>
          <w:rFonts w:ascii="Arial-BoldMT" w:hAnsi="Arial-BoldMT" w:cs="Arial-BoldMT"/>
          <w:bCs/>
          <w:sz w:val="18"/>
          <w:szCs w:val="18"/>
        </w:rPr>
        <w:t>1.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  </w:t>
      </w:r>
      <w:proofErr w:type="gramStart"/>
      <w:r w:rsidRPr="004D3470">
        <w:rPr>
          <w:rFonts w:ascii="Arial-BoldMT" w:hAnsi="Arial-BoldMT" w:cs="Arial-BoldMT"/>
          <w:b/>
          <w:bCs/>
          <w:sz w:val="18"/>
          <w:szCs w:val="18"/>
        </w:rPr>
        <w:t>}PMTB</w:t>
      </w:r>
      <w:proofErr w:type="gramEnd"/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?Pos MTB – “Mycobacterium tuberculosis</w:t>
      </w:r>
      <w:r w:rsidR="00DB68C7">
        <w:rPr>
          <w:rFonts w:ascii="Arial-BoldMT" w:hAnsi="Arial-BoldMT" w:cs="Arial-BoldMT"/>
          <w:b/>
          <w:bCs/>
          <w:sz w:val="18"/>
          <w:szCs w:val="18"/>
        </w:rPr>
        <w:t xml:space="preserve"> complex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DNA DETECTED”</w:t>
      </w:r>
    </w:p>
    <w:p w:rsidR="000179DD" w:rsidRDefault="000179DD" w:rsidP="000179DD">
      <w:pPr>
        <w:ind w:left="720"/>
        <w:rPr>
          <w:rFonts w:ascii="Arial-BoldMT" w:hAnsi="Arial-BoldMT" w:cs="Arial-BoldMT"/>
          <w:b/>
          <w:bCs/>
          <w:sz w:val="18"/>
          <w:szCs w:val="18"/>
        </w:rPr>
      </w:pPr>
      <w:r w:rsidRPr="004D3470">
        <w:rPr>
          <w:rFonts w:ascii="Arial-BoldMT" w:hAnsi="Arial-BoldMT" w:cs="Arial-BoldMT"/>
          <w:bCs/>
          <w:sz w:val="18"/>
          <w:szCs w:val="18"/>
        </w:rPr>
        <w:t>2.</w:t>
      </w:r>
      <w:r>
        <w:rPr>
          <w:rFonts w:ascii="Arial-BoldMT" w:hAnsi="Arial-BoldMT" w:cs="Arial-BoldMT"/>
          <w:b/>
          <w:bCs/>
          <w:sz w:val="18"/>
          <w:szCs w:val="18"/>
        </w:rPr>
        <w:t xml:space="preserve">   </w:t>
      </w:r>
      <w:proofErr w:type="gramStart"/>
      <w:r w:rsidRPr="004D3470">
        <w:rPr>
          <w:rFonts w:ascii="Arial-BoldMT" w:hAnsi="Arial-BoldMT" w:cs="Arial-BoldMT"/>
          <w:b/>
          <w:bCs/>
          <w:sz w:val="18"/>
          <w:szCs w:val="18"/>
        </w:rPr>
        <w:t>}</w:t>
      </w:r>
      <w:r>
        <w:rPr>
          <w:rFonts w:ascii="Arial-BoldMT" w:hAnsi="Arial-BoldMT" w:cs="Arial-BoldMT"/>
          <w:b/>
          <w:bCs/>
          <w:sz w:val="18"/>
          <w:szCs w:val="18"/>
        </w:rPr>
        <w:t>IRIF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?</w:t>
      </w:r>
      <w:proofErr w:type="spellStart"/>
      <w:r>
        <w:rPr>
          <w:rFonts w:ascii="Arial-BoldMT" w:hAnsi="Arial-BoldMT" w:cs="Arial-BoldMT"/>
          <w:b/>
          <w:bCs/>
          <w:sz w:val="18"/>
          <w:szCs w:val="18"/>
        </w:rPr>
        <w:t>Indeterm</w:t>
      </w:r>
      <w:proofErr w:type="spellEnd"/>
      <w:r>
        <w:rPr>
          <w:rFonts w:ascii="Arial-BoldMT" w:hAnsi="Arial-BoldMT" w:cs="Arial-BoldMT"/>
          <w:b/>
          <w:bCs/>
          <w:sz w:val="18"/>
          <w:szCs w:val="18"/>
        </w:rPr>
        <w:t xml:space="preserve"> Rif Resist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–</w:t>
      </w:r>
      <w:r w:rsidR="004A6D50">
        <w:rPr>
          <w:rFonts w:ascii="Arial-BoldMT" w:hAnsi="Arial-BoldMT" w:cs="Arial-BoldMT"/>
          <w:b/>
          <w:bCs/>
          <w:sz w:val="18"/>
          <w:szCs w:val="18"/>
        </w:rPr>
        <w:t xml:space="preserve">  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“</w:t>
      </w:r>
      <w:proofErr w:type="spellStart"/>
      <w:r w:rsidRPr="004D3470">
        <w:rPr>
          <w:rFonts w:ascii="Arial-BoldMT" w:hAnsi="Arial-BoldMT" w:cs="Arial-BoldMT"/>
          <w:b/>
          <w:bCs/>
          <w:sz w:val="18"/>
          <w:szCs w:val="18"/>
        </w:rPr>
        <w:t>Rifampin</w:t>
      </w:r>
      <w:proofErr w:type="spellEnd"/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Resistance </w:t>
      </w:r>
      <w:r>
        <w:rPr>
          <w:rFonts w:ascii="Arial-BoldMT" w:hAnsi="Arial-BoldMT" w:cs="Arial-BoldMT"/>
          <w:b/>
          <w:bCs/>
          <w:sz w:val="18"/>
          <w:szCs w:val="18"/>
        </w:rPr>
        <w:t>INDETERMINAT</w:t>
      </w:r>
      <w:r w:rsidR="00FE7C3E">
        <w:rPr>
          <w:rFonts w:ascii="Arial-BoldMT" w:hAnsi="Arial-BoldMT" w:cs="Arial-BoldMT"/>
          <w:b/>
          <w:bCs/>
          <w:sz w:val="18"/>
          <w:szCs w:val="18"/>
        </w:rPr>
        <w:t>E</w:t>
      </w:r>
      <w:r w:rsidRPr="004D3470">
        <w:rPr>
          <w:rFonts w:ascii="Arial-BoldMT" w:hAnsi="Arial-BoldMT" w:cs="Arial-BoldMT"/>
          <w:b/>
          <w:bCs/>
          <w:sz w:val="18"/>
          <w:szCs w:val="18"/>
        </w:rPr>
        <w:t>”</w:t>
      </w:r>
    </w:p>
    <w:p w:rsidR="004A6D50" w:rsidRDefault="004A6D50" w:rsidP="004A6D50">
      <w:pPr>
        <w:ind w:left="2880" w:firstLine="720"/>
        <w:rPr>
          <w:rFonts w:ascii="Arial-BoldMT" w:hAnsi="Arial-BoldMT" w:cs="Arial-BoldMT"/>
          <w:b/>
          <w:bCs/>
          <w:sz w:val="18"/>
          <w:szCs w:val="18"/>
        </w:rPr>
      </w:pPr>
      <w:r w:rsidRPr="004A6D50">
        <w:rPr>
          <w:rFonts w:ascii="Arial-BoldMT" w:hAnsi="Arial-BoldMT" w:cs="Arial-BoldMT"/>
          <w:b/>
          <w:bCs/>
          <w:sz w:val="18"/>
          <w:szCs w:val="18"/>
        </w:rPr>
        <w:t>Specimen Quality Screen: Acceptable</w:t>
      </w:r>
    </w:p>
    <w:p w:rsidR="000179DD" w:rsidRPr="004D3470" w:rsidRDefault="000179DD" w:rsidP="000179DD">
      <w:pPr>
        <w:ind w:left="2880" w:firstLine="720"/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 w:rsidRPr="004D3470">
        <w:rPr>
          <w:rFonts w:ascii="Arial-BoldMT" w:hAnsi="Arial-BoldMT" w:cs="Arial-BoldMT"/>
          <w:b/>
          <w:bCs/>
          <w:sz w:val="18"/>
          <w:szCs w:val="18"/>
        </w:rPr>
        <w:t>?Internal</w:t>
      </w:r>
      <w:proofErr w:type="gramEnd"/>
      <w:r w:rsidRPr="004D3470">
        <w:rPr>
          <w:rFonts w:ascii="Arial-BoldMT" w:hAnsi="Arial-BoldMT" w:cs="Arial-BoldMT"/>
          <w:b/>
          <w:bCs/>
          <w:sz w:val="18"/>
          <w:szCs w:val="18"/>
        </w:rPr>
        <w:t xml:space="preserve"> QC acceptable.</w:t>
      </w:r>
    </w:p>
    <w:p w:rsidR="000179DD" w:rsidRPr="000471C1" w:rsidRDefault="000179DD" w:rsidP="000179DD">
      <w:pPr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Document critical call.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Caregiver and Infection Prevention must be immediately notified. Order AFB Culture/Smear on remaining sample</w:t>
      </w:r>
      <w:r w:rsidR="0054256D" w:rsidRPr="0054256D"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 w:rsidR="0054256D">
        <w:rPr>
          <w:rFonts w:ascii="Arial-BoldMT" w:hAnsi="Arial-BoldMT" w:cs="Arial-BoldMT"/>
          <w:b/>
          <w:bCs/>
          <w:sz w:val="18"/>
          <w:szCs w:val="18"/>
        </w:rPr>
        <w:t xml:space="preserve">if not already </w:t>
      </w:r>
      <w:proofErr w:type="gramStart"/>
      <w:r w:rsidR="0054256D">
        <w:rPr>
          <w:rFonts w:ascii="Arial-BoldMT" w:hAnsi="Arial-BoldMT" w:cs="Arial-BoldMT"/>
          <w:b/>
          <w:bCs/>
          <w:sz w:val="18"/>
          <w:szCs w:val="18"/>
        </w:rPr>
        <w:t xml:space="preserve">ordered </w:t>
      </w:r>
      <w:r>
        <w:rPr>
          <w:rFonts w:ascii="Arial-BoldMT" w:hAnsi="Arial-BoldMT" w:cs="Arial-BoldMT"/>
          <w:b/>
          <w:bCs/>
          <w:sz w:val="18"/>
          <w:szCs w:val="18"/>
        </w:rPr>
        <w:t>.</w:t>
      </w:r>
      <w:proofErr w:type="gramEnd"/>
    </w:p>
    <w:p w:rsidR="00767D3C" w:rsidRPr="00767D3C" w:rsidRDefault="00767D3C" w:rsidP="00767D3C">
      <w:pPr>
        <w:rPr>
          <w:rFonts w:ascii="ArialMT" w:hAnsi="ArialMT" w:cs="ArialMT"/>
          <w:sz w:val="18"/>
          <w:szCs w:val="18"/>
        </w:rPr>
      </w:pPr>
    </w:p>
    <w:p w:rsidR="00767D3C" w:rsidRPr="00767D3C" w:rsidRDefault="00767D3C" w:rsidP="00767D3C">
      <w:pPr>
        <w:rPr>
          <w:rFonts w:ascii="ArialMT" w:hAnsi="ArialMT" w:cs="ArialMT"/>
          <w:sz w:val="18"/>
          <w:szCs w:val="18"/>
        </w:rPr>
      </w:pPr>
    </w:p>
    <w:p w:rsidR="00767D3C" w:rsidRDefault="00767D3C" w:rsidP="00767D3C">
      <w:pPr>
        <w:rPr>
          <w:rFonts w:ascii="ArialMT" w:hAnsi="ArialMT" w:cs="ArialMT"/>
          <w:sz w:val="18"/>
          <w:szCs w:val="18"/>
        </w:rPr>
      </w:pPr>
    </w:p>
    <w:p w:rsidR="00CE0BD0" w:rsidRDefault="00767D3C" w:rsidP="00767D3C">
      <w:pPr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lastRenderedPageBreak/>
        <w:drawing>
          <wp:inline distT="0" distB="0" distL="0" distR="0">
            <wp:extent cx="5943600" cy="471487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Figure 9.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An Example of a MTB NOT DETECTED Result</w:t>
      </w:r>
    </w:p>
    <w:p w:rsidR="000179DD" w:rsidRDefault="000179DD" w:rsidP="000179DD">
      <w:pPr>
        <w:ind w:firstLine="720"/>
        <w:rPr>
          <w:rFonts w:ascii="Arial-BoldMT" w:hAnsi="Arial-BoldMT" w:cs="Arial-BoldMT"/>
          <w:bCs/>
          <w:sz w:val="18"/>
          <w:szCs w:val="18"/>
        </w:rPr>
      </w:pPr>
      <w:r>
        <w:rPr>
          <w:rFonts w:ascii="Arial-BoldMT" w:hAnsi="Arial-BoldMT" w:cs="Arial-BoldMT"/>
          <w:bCs/>
          <w:sz w:val="18"/>
          <w:szCs w:val="18"/>
        </w:rPr>
        <w:t>Choose following result from the keypad:</w:t>
      </w:r>
    </w:p>
    <w:p w:rsidR="000179DD" w:rsidRPr="000179DD" w:rsidRDefault="000179DD" w:rsidP="000179DD">
      <w:pPr>
        <w:pStyle w:val="ListParagraph"/>
        <w:numPr>
          <w:ilvl w:val="0"/>
          <w:numId w:val="3"/>
        </w:numPr>
        <w:rPr>
          <w:rFonts w:ascii="Arial-BoldMT" w:hAnsi="Arial-BoldMT" w:cs="Arial-BoldMT"/>
          <w:b/>
          <w:bCs/>
          <w:sz w:val="18"/>
          <w:szCs w:val="18"/>
        </w:rPr>
      </w:pPr>
      <w:r w:rsidRPr="000179DD">
        <w:rPr>
          <w:rFonts w:ascii="Arial-BoldMT" w:hAnsi="Arial-BoldMT" w:cs="Arial-BoldMT"/>
          <w:b/>
          <w:bCs/>
          <w:sz w:val="18"/>
          <w:szCs w:val="18"/>
        </w:rPr>
        <w:t>}NMTB ?</w:t>
      </w:r>
      <w:proofErr w:type="spellStart"/>
      <w:r w:rsidRPr="000179DD">
        <w:rPr>
          <w:rFonts w:ascii="Arial-BoldMT" w:hAnsi="Arial-BoldMT" w:cs="Arial-BoldMT"/>
          <w:b/>
          <w:bCs/>
          <w:sz w:val="18"/>
          <w:szCs w:val="18"/>
        </w:rPr>
        <w:t>Neg</w:t>
      </w:r>
      <w:proofErr w:type="spellEnd"/>
      <w:r w:rsidR="00035779"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 w:rsidRPr="000179DD">
        <w:rPr>
          <w:rFonts w:ascii="Arial-BoldMT" w:hAnsi="Arial-BoldMT" w:cs="Arial-BoldMT"/>
          <w:b/>
          <w:bCs/>
          <w:sz w:val="18"/>
          <w:szCs w:val="18"/>
        </w:rPr>
        <w:t xml:space="preserve">MTB – “Mycobacterium tuberculosis </w:t>
      </w:r>
      <w:r w:rsidR="00DB68C7">
        <w:rPr>
          <w:rFonts w:ascii="Arial-BoldMT" w:hAnsi="Arial-BoldMT" w:cs="Arial-BoldMT"/>
          <w:b/>
          <w:bCs/>
          <w:sz w:val="18"/>
          <w:szCs w:val="18"/>
        </w:rPr>
        <w:t xml:space="preserve">complex </w:t>
      </w:r>
      <w:r w:rsidRPr="000179DD">
        <w:rPr>
          <w:rFonts w:ascii="Arial-BoldMT" w:hAnsi="Arial-BoldMT" w:cs="Arial-BoldMT"/>
          <w:b/>
          <w:bCs/>
          <w:sz w:val="18"/>
          <w:szCs w:val="18"/>
        </w:rPr>
        <w:t>DNA NOT DETECTED”</w:t>
      </w:r>
      <w:r w:rsidRPr="000179DD">
        <w:rPr>
          <w:rFonts w:ascii="Arial-BoldMT" w:hAnsi="Arial-BoldMT" w:cs="Arial-BoldMT"/>
          <w:b/>
          <w:bCs/>
          <w:sz w:val="18"/>
          <w:szCs w:val="18"/>
        </w:rPr>
        <w:tab/>
      </w:r>
    </w:p>
    <w:p w:rsidR="004A6D50" w:rsidRDefault="004A6D50" w:rsidP="000179DD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  <w:r w:rsidRPr="004A6D50">
        <w:rPr>
          <w:rFonts w:ascii="Arial-BoldMT" w:hAnsi="Arial-BoldMT" w:cs="Arial-BoldMT"/>
          <w:b/>
          <w:bCs/>
          <w:sz w:val="18"/>
          <w:szCs w:val="18"/>
        </w:rPr>
        <w:t>Specimen Quality Screen: Acceptable</w:t>
      </w:r>
    </w:p>
    <w:p w:rsidR="000179DD" w:rsidRDefault="00A02BD6" w:rsidP="000179DD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?Internal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QC acceptable.</w:t>
      </w:r>
    </w:p>
    <w:p w:rsidR="00A02BD6" w:rsidRDefault="00A02BD6" w:rsidP="000179DD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</w:p>
    <w:p w:rsidR="00A02BD6" w:rsidRPr="000179DD" w:rsidRDefault="00A02BD6" w:rsidP="000179DD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</w:p>
    <w:p w:rsidR="00A02BD6" w:rsidRPr="000471C1" w:rsidRDefault="00A02BD6" w:rsidP="00A02BD6">
      <w:p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Order AFB Culture/Smear on remaining sample</w:t>
      </w:r>
      <w:r w:rsidR="0054256D" w:rsidRPr="0054256D">
        <w:rPr>
          <w:rFonts w:ascii="Arial-BoldMT" w:hAnsi="Arial-BoldMT" w:cs="Arial-BoldMT"/>
          <w:b/>
          <w:bCs/>
          <w:sz w:val="18"/>
          <w:szCs w:val="18"/>
        </w:rPr>
        <w:t xml:space="preserve"> </w:t>
      </w:r>
      <w:r w:rsidR="0054256D">
        <w:rPr>
          <w:rFonts w:ascii="Arial-BoldMT" w:hAnsi="Arial-BoldMT" w:cs="Arial-BoldMT"/>
          <w:b/>
          <w:bCs/>
          <w:sz w:val="18"/>
          <w:szCs w:val="18"/>
        </w:rPr>
        <w:t xml:space="preserve">if not already </w:t>
      </w:r>
      <w:proofErr w:type="gramStart"/>
      <w:r w:rsidR="0054256D">
        <w:rPr>
          <w:rFonts w:ascii="Arial-BoldMT" w:hAnsi="Arial-BoldMT" w:cs="Arial-BoldMT"/>
          <w:b/>
          <w:bCs/>
          <w:sz w:val="18"/>
          <w:szCs w:val="18"/>
        </w:rPr>
        <w:t xml:space="preserve">ordered </w:t>
      </w:r>
      <w:r>
        <w:rPr>
          <w:rFonts w:ascii="Arial-BoldMT" w:hAnsi="Arial-BoldMT" w:cs="Arial-BoldMT"/>
          <w:b/>
          <w:bCs/>
          <w:sz w:val="18"/>
          <w:szCs w:val="18"/>
        </w:rPr>
        <w:t>.</w:t>
      </w:r>
      <w:proofErr w:type="gramEnd"/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lastRenderedPageBreak/>
        <w:drawing>
          <wp:inline distT="0" distB="0" distL="0" distR="0">
            <wp:extent cx="5942346" cy="4533900"/>
            <wp:effectExtent l="19050" t="0" r="1254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Figure 10.</w:t>
      </w:r>
      <w:proofErr w:type="gramEnd"/>
      <w:r>
        <w:rPr>
          <w:rFonts w:ascii="Arial-BoldMT" w:hAnsi="Arial-BoldMT" w:cs="Arial-BoldMT"/>
          <w:b/>
          <w:bCs/>
          <w:sz w:val="18"/>
          <w:szCs w:val="18"/>
        </w:rPr>
        <w:t xml:space="preserve"> An Example of an INVALID Result</w:t>
      </w:r>
      <w:r w:rsidR="00D00409">
        <w:rPr>
          <w:rFonts w:ascii="Arial-BoldMT" w:hAnsi="Arial-BoldMT" w:cs="Arial-BoldMT"/>
          <w:b/>
          <w:bCs/>
          <w:sz w:val="18"/>
          <w:szCs w:val="18"/>
        </w:rPr>
        <w:t xml:space="preserve"> </w:t>
      </w:r>
    </w:p>
    <w:p w:rsidR="00D00409" w:rsidRDefault="00D00409" w:rsidP="00767D3C">
      <w:pPr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If the test has been repeated with the same result:</w:t>
      </w:r>
    </w:p>
    <w:p w:rsidR="00D00409" w:rsidRDefault="00D00409" w:rsidP="00D00409">
      <w:pPr>
        <w:ind w:firstLine="720"/>
        <w:rPr>
          <w:rFonts w:ascii="Arial-BoldMT" w:hAnsi="Arial-BoldMT" w:cs="Arial-BoldMT"/>
          <w:bCs/>
          <w:sz w:val="18"/>
          <w:szCs w:val="18"/>
        </w:rPr>
      </w:pPr>
      <w:r>
        <w:rPr>
          <w:rFonts w:ascii="Arial-BoldMT" w:hAnsi="Arial-BoldMT" w:cs="Arial-BoldMT"/>
          <w:bCs/>
          <w:sz w:val="18"/>
          <w:szCs w:val="18"/>
        </w:rPr>
        <w:t>Choose following result from the keypad:</w:t>
      </w:r>
    </w:p>
    <w:p w:rsidR="00D00409" w:rsidRPr="00D00409" w:rsidRDefault="00D00409" w:rsidP="00D00409">
      <w:pPr>
        <w:pStyle w:val="ListParagraph"/>
        <w:numPr>
          <w:ilvl w:val="0"/>
          <w:numId w:val="4"/>
        </w:numPr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 w:rsidRPr="00D00409">
        <w:rPr>
          <w:rFonts w:ascii="Arial-BoldMT" w:hAnsi="Arial-BoldMT" w:cs="Arial-BoldMT"/>
          <w:b/>
          <w:bCs/>
          <w:sz w:val="18"/>
          <w:szCs w:val="18"/>
        </w:rPr>
        <w:t>}</w:t>
      </w:r>
      <w:r>
        <w:rPr>
          <w:rFonts w:ascii="Arial-BoldMT" w:hAnsi="Arial-BoldMT" w:cs="Arial-BoldMT"/>
          <w:b/>
          <w:bCs/>
          <w:sz w:val="18"/>
          <w:szCs w:val="18"/>
        </w:rPr>
        <w:t>QCFR</w:t>
      </w:r>
      <w:proofErr w:type="gramEnd"/>
      <w:r w:rsidRPr="00D00409">
        <w:rPr>
          <w:rFonts w:ascii="Arial-BoldMT" w:hAnsi="Arial-BoldMT" w:cs="Arial-BoldMT"/>
          <w:b/>
          <w:bCs/>
          <w:sz w:val="18"/>
          <w:szCs w:val="18"/>
        </w:rPr>
        <w:t xml:space="preserve"> ?</w:t>
      </w:r>
      <w:r>
        <w:rPr>
          <w:rFonts w:ascii="Arial-BoldMT" w:hAnsi="Arial-BoldMT" w:cs="Arial-BoldMT"/>
          <w:b/>
          <w:bCs/>
          <w:sz w:val="18"/>
          <w:szCs w:val="18"/>
        </w:rPr>
        <w:t>QC</w:t>
      </w:r>
      <w:r w:rsidR="00CE751F">
        <w:rPr>
          <w:rFonts w:ascii="Arial-BoldMT" w:hAnsi="Arial-BoldMT" w:cs="Arial-BoldMT"/>
          <w:b/>
          <w:bCs/>
          <w:sz w:val="18"/>
          <w:szCs w:val="18"/>
        </w:rPr>
        <w:t xml:space="preserve"> fail. Recollect – “Internal QC failure. Recollection required.”</w:t>
      </w:r>
      <w:r w:rsidRPr="00D00409">
        <w:rPr>
          <w:rFonts w:ascii="Arial-BoldMT" w:hAnsi="Arial-BoldMT" w:cs="Arial-BoldMT"/>
          <w:b/>
          <w:bCs/>
          <w:sz w:val="18"/>
          <w:szCs w:val="18"/>
        </w:rPr>
        <w:tab/>
      </w:r>
    </w:p>
    <w:p w:rsidR="00D00409" w:rsidRDefault="00D00409" w:rsidP="00D00409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</w:p>
    <w:p w:rsidR="00CE751F" w:rsidRDefault="00CE751F" w:rsidP="00D00409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  <w:r>
        <w:rPr>
          <w:rFonts w:ascii="Arial-BoldMT" w:hAnsi="Arial-BoldMT" w:cs="Arial-BoldMT"/>
          <w:b/>
          <w:bCs/>
          <w:sz w:val="18"/>
          <w:szCs w:val="18"/>
        </w:rPr>
        <w:t>Document call to caregiver.</w:t>
      </w:r>
    </w:p>
    <w:p w:rsidR="00D00409" w:rsidRPr="000179DD" w:rsidRDefault="00D00409" w:rsidP="00D00409">
      <w:pPr>
        <w:pStyle w:val="ListParagraph"/>
        <w:ind w:left="2880"/>
        <w:rPr>
          <w:rFonts w:ascii="Arial-BoldMT" w:hAnsi="Arial-BoldMT" w:cs="Arial-BoldMT"/>
          <w:b/>
          <w:bCs/>
          <w:sz w:val="18"/>
          <w:szCs w:val="18"/>
        </w:rPr>
      </w:pPr>
    </w:p>
    <w:p w:rsidR="00D00409" w:rsidRPr="000471C1" w:rsidRDefault="00D00409" w:rsidP="00D00409">
      <w:pPr>
        <w:rPr>
          <w:rFonts w:ascii="Arial-BoldMT" w:hAnsi="Arial-BoldMT" w:cs="Arial-BoldMT"/>
          <w:b/>
          <w:bCs/>
          <w:sz w:val="18"/>
          <w:szCs w:val="18"/>
        </w:rPr>
      </w:pPr>
      <w:proofErr w:type="gramStart"/>
      <w:r>
        <w:rPr>
          <w:rFonts w:ascii="Arial-BoldMT" w:hAnsi="Arial-BoldMT" w:cs="Arial-BoldMT"/>
          <w:b/>
          <w:bCs/>
          <w:sz w:val="18"/>
          <w:szCs w:val="18"/>
        </w:rPr>
        <w:t>Order AFB Culture/Smear on remaining sample.</w:t>
      </w:r>
      <w:proofErr w:type="gramEnd"/>
    </w:p>
    <w:p w:rsidR="00D00409" w:rsidRDefault="00D00409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Default="00767D3C" w:rsidP="00767D3C">
      <w:pPr>
        <w:rPr>
          <w:rFonts w:ascii="Arial-BoldMT" w:hAnsi="Arial-BoldMT" w:cs="Arial-BoldMT"/>
          <w:b/>
          <w:bCs/>
          <w:sz w:val="18"/>
          <w:szCs w:val="18"/>
        </w:rPr>
      </w:pPr>
    </w:p>
    <w:p w:rsidR="00A12E2B" w:rsidRDefault="00A12E2B" w:rsidP="00767D3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18"/>
          <w:szCs w:val="18"/>
        </w:rPr>
      </w:pPr>
    </w:p>
    <w:p w:rsidR="00767D3C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 w:rsidRPr="00035779">
        <w:rPr>
          <w:rFonts w:ascii="Arial-BoldMT" w:hAnsi="Arial-BoldMT" w:cs="Arial-BoldMT"/>
          <w:b/>
          <w:bCs/>
        </w:rPr>
        <w:t>Reasons to Repeat the Test</w:t>
      </w:r>
    </w:p>
    <w:p w:rsidR="00767D3C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035779">
        <w:rPr>
          <w:rFonts w:ascii="ArialMT" w:hAnsi="ArialMT" w:cs="ArialMT"/>
          <w:sz w:val="18"/>
          <w:szCs w:val="18"/>
        </w:rPr>
        <w:t>Repeat the test using a new cartridge if one of the following test results occurs:</w:t>
      </w:r>
    </w:p>
    <w:p w:rsidR="00767D3C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035779">
        <w:rPr>
          <w:rFonts w:ascii="ArialMT" w:hAnsi="ArialMT" w:cs="ArialMT"/>
          <w:sz w:val="18"/>
          <w:szCs w:val="18"/>
        </w:rPr>
        <w:t>• An INVALID result indicates that the SPC failed. The sample was not properly processed, or PCR was inhibited.</w:t>
      </w:r>
    </w:p>
    <w:p w:rsidR="00767D3C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035779">
        <w:rPr>
          <w:rFonts w:ascii="ArialMT" w:hAnsi="ArialMT" w:cs="ArialMT"/>
          <w:sz w:val="18"/>
          <w:szCs w:val="18"/>
        </w:rPr>
        <w:t>• An ERROR result indicates that the PCC (QC1 or QC2) failed or a system failure occurred, and the assay was aborted. The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Pr="00035779">
        <w:rPr>
          <w:rFonts w:ascii="ArialMT" w:hAnsi="ArialMT" w:cs="ArialMT"/>
          <w:sz w:val="18"/>
          <w:szCs w:val="18"/>
        </w:rPr>
        <w:t>cause of the errors are possibly due to the reaction tube being filled improperly, a reagent probe integrity problem was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Pr="00035779">
        <w:rPr>
          <w:rFonts w:ascii="ArialMT" w:hAnsi="ArialMT" w:cs="ArialMT"/>
          <w:sz w:val="18"/>
          <w:szCs w:val="18"/>
        </w:rPr>
        <w:t xml:space="preserve">detected, the maximum pressure limits were exceeded, or a </w:t>
      </w:r>
      <w:proofErr w:type="spellStart"/>
      <w:r w:rsidRPr="00035779">
        <w:rPr>
          <w:rFonts w:ascii="ArialMT" w:hAnsi="ArialMT" w:cs="ArialMT"/>
          <w:sz w:val="18"/>
          <w:szCs w:val="18"/>
        </w:rPr>
        <w:t>GeneXpert</w:t>
      </w:r>
      <w:proofErr w:type="spellEnd"/>
      <w:r w:rsidRPr="00035779">
        <w:rPr>
          <w:rFonts w:ascii="ArialMT" w:hAnsi="ArialMT" w:cs="ArialMT"/>
          <w:sz w:val="18"/>
          <w:szCs w:val="18"/>
        </w:rPr>
        <w:t xml:space="preserve"> module failed.</w:t>
      </w:r>
    </w:p>
    <w:p w:rsidR="00A12E2B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035779">
        <w:rPr>
          <w:rFonts w:ascii="ArialMT" w:hAnsi="ArialMT" w:cs="ArialMT"/>
          <w:sz w:val="18"/>
          <w:szCs w:val="18"/>
        </w:rPr>
        <w:t xml:space="preserve">• A NO RESULT indicates that insufficient data were collected. For example, the operator stopped a test that was in progress. </w:t>
      </w:r>
    </w:p>
    <w:p w:rsidR="00A12E2B" w:rsidRPr="00035779" w:rsidRDefault="00A12E2B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767D3C" w:rsidRPr="0003577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035779">
        <w:rPr>
          <w:rFonts w:ascii="ArialMT" w:hAnsi="ArialMT" w:cs="ArialMT"/>
          <w:sz w:val="18"/>
          <w:szCs w:val="18"/>
        </w:rPr>
        <w:t>Retest Procedure</w:t>
      </w:r>
    </w:p>
    <w:p w:rsidR="00A21E07" w:rsidRPr="00035779" w:rsidRDefault="00DF30D8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If you have leftover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="00767D3C" w:rsidRPr="00035779">
        <w:rPr>
          <w:rFonts w:ascii="ArialMT" w:hAnsi="ArialMT" w:cs="ArialMT"/>
          <w:sz w:val="18"/>
          <w:szCs w:val="18"/>
        </w:rPr>
        <w:t>raw sputum always use new Sample Reagent to treat the sputum before running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="00767D3C" w:rsidRPr="00035779">
        <w:rPr>
          <w:rFonts w:ascii="ArialMT" w:hAnsi="ArialMT" w:cs="ArialMT"/>
          <w:sz w:val="18"/>
          <w:szCs w:val="18"/>
        </w:rPr>
        <w:t>the assay. If you have sufficient leftover Sample Reagent-treated sample and are within four hours of sample preparation, you can use the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="00767D3C" w:rsidRPr="00035779">
        <w:rPr>
          <w:rFonts w:ascii="ArialMT" w:hAnsi="ArialMT" w:cs="ArialMT"/>
          <w:sz w:val="18"/>
          <w:szCs w:val="18"/>
        </w:rPr>
        <w:t xml:space="preserve">leftover sample to prepare and process a new cartridge immediately on the </w:t>
      </w:r>
      <w:proofErr w:type="spellStart"/>
      <w:r w:rsidR="00767D3C" w:rsidRPr="00035779">
        <w:rPr>
          <w:rFonts w:ascii="ArialMT" w:hAnsi="ArialMT" w:cs="ArialMT"/>
          <w:sz w:val="18"/>
          <w:szCs w:val="18"/>
        </w:rPr>
        <w:t>GeneXpert</w:t>
      </w:r>
      <w:proofErr w:type="spellEnd"/>
      <w:r w:rsidR="00767D3C" w:rsidRPr="00035779">
        <w:rPr>
          <w:rFonts w:ascii="ArialMT" w:hAnsi="ArialMT" w:cs="ArialMT"/>
          <w:sz w:val="18"/>
          <w:szCs w:val="18"/>
        </w:rPr>
        <w:t xml:space="preserve"> instrument.</w:t>
      </w:r>
      <w:r w:rsidR="00035779">
        <w:rPr>
          <w:rFonts w:ascii="ArialMT" w:hAnsi="ArialMT" w:cs="ArialMT"/>
          <w:sz w:val="18"/>
          <w:szCs w:val="18"/>
        </w:rPr>
        <w:t xml:space="preserve"> </w:t>
      </w:r>
      <w:r w:rsidR="00767D3C" w:rsidRPr="00035779">
        <w:rPr>
          <w:rFonts w:ascii="ArialMT" w:hAnsi="ArialMT" w:cs="ArialMT"/>
          <w:sz w:val="18"/>
          <w:szCs w:val="18"/>
        </w:rPr>
        <w:t xml:space="preserve">When retesting, always use a </w:t>
      </w:r>
      <w:r w:rsidR="00D00409">
        <w:rPr>
          <w:rFonts w:ascii="ArialMT" w:hAnsi="ArialMT" w:cs="ArialMT"/>
          <w:sz w:val="18"/>
          <w:szCs w:val="18"/>
        </w:rPr>
        <w:t xml:space="preserve">new cartridge. See </w:t>
      </w:r>
      <w:r w:rsidR="00767D3C" w:rsidRPr="00035779">
        <w:rPr>
          <w:rFonts w:ascii="ArialMT" w:hAnsi="ArialMT" w:cs="ArialMT"/>
          <w:sz w:val="18"/>
          <w:szCs w:val="18"/>
        </w:rPr>
        <w:t>Preparing the Cartridge.</w:t>
      </w:r>
    </w:p>
    <w:p w:rsidR="00A21E07" w:rsidRDefault="00A21E07" w:rsidP="00767D3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21E07" w:rsidRDefault="00A21E07" w:rsidP="00767D3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767D3C" w:rsidRPr="00A21E07" w:rsidRDefault="00767D3C" w:rsidP="00767D3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8"/>
          <w:szCs w:val="18"/>
        </w:rPr>
      </w:pPr>
      <w:r>
        <w:rPr>
          <w:rFonts w:ascii="Arial-BoldMT" w:hAnsi="Arial-BoldMT" w:cs="Arial-BoldMT"/>
          <w:b/>
          <w:bCs/>
        </w:rPr>
        <w:t xml:space="preserve"> Limitations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1. The performance of the </w:t>
      </w:r>
      <w:proofErr w:type="spellStart"/>
      <w:r w:rsidRPr="00D00409">
        <w:rPr>
          <w:rFonts w:ascii="ArialMT" w:hAnsi="ArialMT" w:cs="ArialMT"/>
          <w:sz w:val="18"/>
          <w:szCs w:val="18"/>
        </w:rPr>
        <w:t>Xpert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MTB/RIF Assay was evaluated using induced or expectorated sputa. Testing of other clinical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 xml:space="preserve">samples (e.g., blood, CSF, gastric aspirate, stool, tissue, </w:t>
      </w:r>
      <w:proofErr w:type="gramStart"/>
      <w:r w:rsidRPr="00D00409">
        <w:rPr>
          <w:rFonts w:ascii="ArialMT" w:hAnsi="ArialMT" w:cs="ArialMT"/>
          <w:sz w:val="18"/>
          <w:szCs w:val="18"/>
        </w:rPr>
        <w:t>urine</w:t>
      </w:r>
      <w:proofErr w:type="gramEnd"/>
      <w:r w:rsidRPr="00D00409">
        <w:rPr>
          <w:rFonts w:ascii="ArialMT" w:hAnsi="ArialMT" w:cs="ArialMT"/>
          <w:sz w:val="18"/>
          <w:szCs w:val="18"/>
        </w:rPr>
        <w:t>) has not been evaluated and may alter test performance.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2. Concentrated sputum sediments used during the performance evaluation of the </w:t>
      </w:r>
      <w:proofErr w:type="spellStart"/>
      <w:r w:rsidRPr="00D00409">
        <w:rPr>
          <w:rFonts w:ascii="ArialMT" w:hAnsi="ArialMT" w:cs="ArialMT"/>
          <w:sz w:val="18"/>
          <w:szCs w:val="18"/>
        </w:rPr>
        <w:t>Xpert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MTB/RIF Assay were prepared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following the NALC-</w:t>
      </w:r>
      <w:proofErr w:type="spellStart"/>
      <w:r w:rsidRPr="00D00409">
        <w:rPr>
          <w:rFonts w:ascii="ArialMT" w:hAnsi="ArialMT" w:cs="ArialMT"/>
          <w:sz w:val="18"/>
          <w:szCs w:val="18"/>
        </w:rPr>
        <w:t>NaOH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or </w:t>
      </w:r>
      <w:proofErr w:type="spellStart"/>
      <w:r w:rsidRPr="00D00409">
        <w:rPr>
          <w:rFonts w:ascii="ArialMT" w:hAnsi="ArialMT" w:cs="ArialMT"/>
          <w:sz w:val="18"/>
          <w:szCs w:val="18"/>
        </w:rPr>
        <w:t>NaOH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procedures recommended by the Centers for Disease Control and Prevention (CDC).8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Use of other methods of sediment preparation may alter the performance of the test.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3. The </w:t>
      </w:r>
      <w:proofErr w:type="spellStart"/>
      <w:r w:rsidRPr="00D00409">
        <w:rPr>
          <w:rFonts w:ascii="ArialMT" w:hAnsi="ArialMT" w:cs="ArialMT"/>
          <w:sz w:val="18"/>
          <w:szCs w:val="18"/>
        </w:rPr>
        <w:t>Xpert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MTB/RIF Assay is not indicated for use with sputum samples from patients being treated with </w:t>
      </w:r>
      <w:proofErr w:type="spellStart"/>
      <w:r w:rsidRPr="00D00409">
        <w:rPr>
          <w:rFonts w:ascii="ArialMT" w:hAnsi="ArialMT" w:cs="ArialMT"/>
          <w:sz w:val="18"/>
          <w:szCs w:val="18"/>
        </w:rPr>
        <w:t>antituberculosis</w:t>
      </w:r>
      <w:proofErr w:type="spellEnd"/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drugs either to determine bacteriologic cure or to monitor response to therapy.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4. A negative test does not exclude the possibility of isolating MTB-complex from the sputum sample. The </w:t>
      </w:r>
      <w:proofErr w:type="spellStart"/>
      <w:r w:rsidRPr="00D00409">
        <w:rPr>
          <w:rFonts w:ascii="ArialMT" w:hAnsi="ArialMT" w:cs="ArialMT"/>
          <w:sz w:val="18"/>
          <w:szCs w:val="18"/>
        </w:rPr>
        <w:t>Xpert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MTB/RIF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 xml:space="preserve">Assay must be used in conjunction with </w:t>
      </w:r>
      <w:proofErr w:type="spellStart"/>
      <w:r w:rsidRPr="00D00409">
        <w:rPr>
          <w:rFonts w:ascii="ArialMT" w:hAnsi="ArialMT" w:cs="ArialMT"/>
          <w:sz w:val="18"/>
          <w:szCs w:val="18"/>
        </w:rPr>
        <w:t>mycobacterial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culture to address the risk of false negative results and to recover the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organism for further characterization and susceptibility testing.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5. A positive test does not necessarily indicate the presence of viable organisms.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6. The </w:t>
      </w:r>
      <w:proofErr w:type="spellStart"/>
      <w:r w:rsidRPr="00D00409">
        <w:rPr>
          <w:rFonts w:ascii="ArialMT" w:hAnsi="ArialMT" w:cs="ArialMT"/>
          <w:sz w:val="18"/>
          <w:szCs w:val="18"/>
        </w:rPr>
        <w:t>Xpert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MTB/RIF Assay does not differentiate between the species of the MTB-complex (i.e., M. tuberculosis, M. </w:t>
      </w:r>
      <w:proofErr w:type="spellStart"/>
      <w:r w:rsidRPr="00D00409">
        <w:rPr>
          <w:rFonts w:ascii="ArialMT" w:hAnsi="ArialMT" w:cs="ArialMT"/>
          <w:sz w:val="18"/>
          <w:szCs w:val="18"/>
        </w:rPr>
        <w:t>bovis</w:t>
      </w:r>
      <w:proofErr w:type="spellEnd"/>
      <w:r w:rsidRPr="00D00409">
        <w:rPr>
          <w:rFonts w:ascii="ArialMT" w:hAnsi="ArialMT" w:cs="ArialMT"/>
          <w:sz w:val="18"/>
          <w:szCs w:val="18"/>
        </w:rPr>
        <w:t>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 xml:space="preserve">M. </w:t>
      </w:r>
      <w:proofErr w:type="spellStart"/>
      <w:r w:rsidRPr="00D00409">
        <w:rPr>
          <w:rFonts w:ascii="ArialMT" w:hAnsi="ArialMT" w:cs="ArialMT"/>
          <w:sz w:val="18"/>
          <w:szCs w:val="18"/>
        </w:rPr>
        <w:t>africanum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, M. </w:t>
      </w:r>
      <w:proofErr w:type="spellStart"/>
      <w:r w:rsidRPr="00D00409">
        <w:rPr>
          <w:rFonts w:ascii="ArialMT" w:hAnsi="ArialMT" w:cs="ArialMT"/>
          <w:sz w:val="18"/>
          <w:szCs w:val="18"/>
        </w:rPr>
        <w:t>canettii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, M. </w:t>
      </w:r>
      <w:proofErr w:type="spellStart"/>
      <w:r w:rsidRPr="00D00409">
        <w:rPr>
          <w:rFonts w:ascii="ArialMT" w:hAnsi="ArialMT" w:cs="ArialMT"/>
          <w:sz w:val="18"/>
          <w:szCs w:val="18"/>
        </w:rPr>
        <w:t>microti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, M. </w:t>
      </w:r>
      <w:proofErr w:type="spellStart"/>
      <w:r w:rsidRPr="00D00409">
        <w:rPr>
          <w:rFonts w:ascii="ArialMT" w:hAnsi="ArialMT" w:cs="ArialMT"/>
          <w:sz w:val="18"/>
          <w:szCs w:val="18"/>
        </w:rPr>
        <w:t>caprae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, M. </w:t>
      </w:r>
      <w:proofErr w:type="spellStart"/>
      <w:r w:rsidRPr="00D00409">
        <w:rPr>
          <w:rFonts w:ascii="ArialMT" w:hAnsi="ArialMT" w:cs="ArialMT"/>
          <w:sz w:val="18"/>
          <w:szCs w:val="18"/>
        </w:rPr>
        <w:t>pinnipedi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, M. </w:t>
      </w:r>
      <w:proofErr w:type="spellStart"/>
      <w:r w:rsidRPr="00D00409">
        <w:rPr>
          <w:rFonts w:ascii="ArialMT" w:hAnsi="ArialMT" w:cs="ArialMT"/>
          <w:sz w:val="18"/>
          <w:szCs w:val="18"/>
        </w:rPr>
        <w:t>mungi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, and M. </w:t>
      </w:r>
      <w:proofErr w:type="spellStart"/>
      <w:r w:rsidRPr="00D00409">
        <w:rPr>
          <w:rFonts w:ascii="ArialMT" w:hAnsi="ArialMT" w:cs="ArialMT"/>
          <w:sz w:val="18"/>
          <w:szCs w:val="18"/>
        </w:rPr>
        <w:t>orygis</w:t>
      </w:r>
      <w:proofErr w:type="spellEnd"/>
      <w:r w:rsidRPr="00D00409">
        <w:rPr>
          <w:rFonts w:ascii="ArialMT" w:hAnsi="ArialMT" w:cs="ArialMT"/>
          <w:sz w:val="18"/>
          <w:szCs w:val="18"/>
        </w:rPr>
        <w:t>). In addition, culture must also be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 xml:space="preserve">performed to determine if </w:t>
      </w:r>
      <w:proofErr w:type="spellStart"/>
      <w:r w:rsidRPr="00D00409">
        <w:rPr>
          <w:rFonts w:ascii="ArialMT" w:hAnsi="ArialMT" w:cs="ArialMT"/>
          <w:sz w:val="18"/>
          <w:szCs w:val="18"/>
        </w:rPr>
        <w:t>mycobacteria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other than tuberculosis complex (MOTT) is present in addition to MTB-complex.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7. Due to the low prevalence of </w:t>
      </w:r>
      <w:proofErr w:type="spellStart"/>
      <w:r w:rsidRPr="00D00409">
        <w:rPr>
          <w:rFonts w:ascii="ArialMT" w:hAnsi="ArialMT" w:cs="ArialMT"/>
          <w:sz w:val="18"/>
          <w:szCs w:val="18"/>
        </w:rPr>
        <w:t>rifampin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resistant TB in the United States and the implications of </w:t>
      </w:r>
      <w:proofErr w:type="spellStart"/>
      <w:r w:rsidRPr="00D00409">
        <w:rPr>
          <w:rFonts w:ascii="ArialMT" w:hAnsi="ArialMT" w:cs="ArialMT"/>
          <w:sz w:val="18"/>
          <w:szCs w:val="18"/>
        </w:rPr>
        <w:t>rifampin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resistance for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 xml:space="preserve">treatment, all MTB-complex strains determined to be </w:t>
      </w:r>
      <w:proofErr w:type="spellStart"/>
      <w:r w:rsidRPr="00D00409">
        <w:rPr>
          <w:rFonts w:ascii="ArialMT" w:hAnsi="ArialMT" w:cs="ArialMT"/>
          <w:sz w:val="18"/>
          <w:szCs w:val="18"/>
        </w:rPr>
        <w:t>rifampin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resistant by the </w:t>
      </w:r>
      <w:proofErr w:type="spellStart"/>
      <w:r w:rsidRPr="00D00409">
        <w:rPr>
          <w:rFonts w:ascii="ArialMT" w:hAnsi="ArialMT" w:cs="ArialMT"/>
          <w:sz w:val="18"/>
          <w:szCs w:val="18"/>
        </w:rPr>
        <w:t>Xpert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MTB/RIF Assay must have the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 xml:space="preserve">presence of </w:t>
      </w:r>
      <w:proofErr w:type="spellStart"/>
      <w:r w:rsidRPr="00D00409">
        <w:rPr>
          <w:rFonts w:ascii="ArialMT" w:hAnsi="ArialMT" w:cs="ArialMT"/>
          <w:sz w:val="18"/>
          <w:szCs w:val="18"/>
        </w:rPr>
        <w:t>rifampin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resistance associated mutations of the </w:t>
      </w:r>
      <w:proofErr w:type="spellStart"/>
      <w:r w:rsidRPr="00D00409">
        <w:rPr>
          <w:rFonts w:ascii="ArialMT" w:hAnsi="ArialMT" w:cs="ArialMT"/>
          <w:sz w:val="18"/>
          <w:szCs w:val="18"/>
        </w:rPr>
        <w:t>rpoB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gene confirmed by a reference laboratory. Additional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testing for the presence of mutations associated with resistance to other drugs for the treatment of TB should also be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performed.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8. Because the detection of MTB-complex is dependent on the number of organisms present in the sample, accurate results are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dependent on proper specimen collection, handling, and storage. Erroneous test results might occur from improper specimen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collection, failure to follow the recommended sample collection procedure, handling or storage problems, technical error,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sample mix-up, or an insufficient concentration of starting material. Careful compliance to the instructions in this insert is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necessary to avoid erroneous results.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9. The performance of the </w:t>
      </w:r>
      <w:proofErr w:type="spellStart"/>
      <w:r w:rsidRPr="00D00409">
        <w:rPr>
          <w:rFonts w:ascii="ArialMT" w:hAnsi="ArialMT" w:cs="ArialMT"/>
          <w:sz w:val="18"/>
          <w:szCs w:val="18"/>
        </w:rPr>
        <w:t>Xpert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MTB/RIF Assay has not been evaluated with samples from pediatric patients.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10. The performance of the </w:t>
      </w:r>
      <w:proofErr w:type="spellStart"/>
      <w:r w:rsidRPr="00D00409">
        <w:rPr>
          <w:rFonts w:ascii="ArialMT" w:hAnsi="ArialMT" w:cs="ArialMT"/>
          <w:sz w:val="18"/>
          <w:szCs w:val="18"/>
        </w:rPr>
        <w:t>Xpert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MTB/RIF test is dependent on operator proficiency and adherence to assay procedures. Assay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procedural errors may cause false positive or false negative results. All device operators should have appropriate device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training.</w:t>
      </w:r>
    </w:p>
    <w:p w:rsidR="00767D3C" w:rsidRPr="00D00409" w:rsidRDefault="00767D3C" w:rsidP="00767D3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11. A trained health care professional should interpret assay results in conjunction with the patient’s medical history, clinical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signs and symptoms, and the results of other diagnostic tests.</w:t>
      </w:r>
    </w:p>
    <w:p w:rsidR="00767D3C" w:rsidRPr="00D00409" w:rsidRDefault="00767D3C" w:rsidP="00D0040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12. Assay interference may be observed in the presence of </w:t>
      </w:r>
      <w:proofErr w:type="spellStart"/>
      <w:r w:rsidRPr="00D00409">
        <w:rPr>
          <w:rFonts w:ascii="ArialMT" w:hAnsi="ArialMT" w:cs="ArialMT"/>
          <w:sz w:val="18"/>
          <w:szCs w:val="18"/>
        </w:rPr>
        <w:t>Lidocaine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(&gt;20% v/v), </w:t>
      </w:r>
      <w:proofErr w:type="spellStart"/>
      <w:r w:rsidRPr="00D00409">
        <w:rPr>
          <w:rFonts w:ascii="ArialMT" w:hAnsi="ArialMT" w:cs="ArialMT"/>
          <w:sz w:val="18"/>
          <w:szCs w:val="18"/>
        </w:rPr>
        <w:t>mucin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(&gt;1.5% w/v), </w:t>
      </w:r>
      <w:proofErr w:type="spellStart"/>
      <w:r w:rsidRPr="00D00409">
        <w:rPr>
          <w:rFonts w:ascii="ArialMT" w:hAnsi="ArialMT" w:cs="ArialMT"/>
          <w:sz w:val="18"/>
          <w:szCs w:val="18"/>
        </w:rPr>
        <w:t>Ethambutol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(&gt;5 </w:t>
      </w:r>
      <w:proofErr w:type="spellStart"/>
      <w:r w:rsidRPr="00D00409">
        <w:rPr>
          <w:rFonts w:ascii="ArialMT" w:hAnsi="ArialMT" w:cs="ArialMT"/>
          <w:sz w:val="18"/>
          <w:szCs w:val="18"/>
        </w:rPr>
        <w:t>μg</w:t>
      </w:r>
      <w:proofErr w:type="spellEnd"/>
      <w:r w:rsidRPr="00D00409">
        <w:rPr>
          <w:rFonts w:ascii="ArialMT" w:hAnsi="ArialMT" w:cs="ArialMT"/>
          <w:sz w:val="18"/>
          <w:szCs w:val="18"/>
        </w:rPr>
        <w:t>/</w:t>
      </w:r>
      <w:proofErr w:type="spellStart"/>
      <w:r w:rsidRPr="00D00409">
        <w:rPr>
          <w:rFonts w:ascii="ArialMT" w:hAnsi="ArialMT" w:cs="ArialMT"/>
          <w:sz w:val="18"/>
          <w:szCs w:val="18"/>
        </w:rPr>
        <w:t>mL</w:t>
      </w:r>
      <w:proofErr w:type="spellEnd"/>
      <w:r w:rsidRPr="00D00409">
        <w:rPr>
          <w:rFonts w:ascii="ArialMT" w:hAnsi="ArialMT" w:cs="ArialMT"/>
          <w:sz w:val="18"/>
          <w:szCs w:val="18"/>
        </w:rPr>
        <w:t>),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D00409">
        <w:rPr>
          <w:rFonts w:ascii="ArialMT" w:hAnsi="ArialMT" w:cs="ArialMT"/>
          <w:sz w:val="18"/>
          <w:szCs w:val="18"/>
        </w:rPr>
        <w:t>Guaifenesin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(&gt;2.5 mg/</w:t>
      </w:r>
      <w:proofErr w:type="spellStart"/>
      <w:r w:rsidRPr="00D00409">
        <w:rPr>
          <w:rFonts w:ascii="ArialMT" w:hAnsi="ArialMT" w:cs="ArialMT"/>
          <w:sz w:val="18"/>
          <w:szCs w:val="18"/>
        </w:rPr>
        <w:t>mL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), </w:t>
      </w:r>
      <w:proofErr w:type="spellStart"/>
      <w:r w:rsidRPr="00D00409">
        <w:rPr>
          <w:rFonts w:ascii="ArialMT" w:hAnsi="ArialMT" w:cs="ArialMT"/>
          <w:sz w:val="18"/>
          <w:szCs w:val="18"/>
        </w:rPr>
        <w:t>Phenylephrine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(&gt;25% v/v), or tea tree oil (&gt;0.008% v/v).13. Studies demonstrated that M. </w:t>
      </w:r>
      <w:proofErr w:type="spellStart"/>
      <w:r w:rsidRPr="00D00409">
        <w:rPr>
          <w:rFonts w:ascii="ArialMT" w:hAnsi="ArialMT" w:cs="ArialMT"/>
          <w:sz w:val="18"/>
          <w:szCs w:val="18"/>
        </w:rPr>
        <w:t>scrofulaceum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when tested at a concentration of 108 CFU/</w:t>
      </w:r>
      <w:proofErr w:type="spellStart"/>
      <w:r w:rsidRPr="00D00409">
        <w:rPr>
          <w:rFonts w:ascii="ArialMT" w:hAnsi="ArialMT" w:cs="ArialMT"/>
          <w:sz w:val="18"/>
          <w:szCs w:val="18"/>
        </w:rPr>
        <w:t>mL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produced a false positive </w:t>
      </w:r>
      <w:proofErr w:type="spellStart"/>
      <w:r w:rsidRPr="00D00409">
        <w:rPr>
          <w:rFonts w:ascii="ArialMT" w:hAnsi="ArialMT" w:cs="ArialMT"/>
          <w:sz w:val="18"/>
          <w:szCs w:val="18"/>
        </w:rPr>
        <w:t>Xpert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MTB/RIF Assay result.</w:t>
      </w:r>
    </w:p>
    <w:p w:rsidR="00A12E2B" w:rsidRPr="00D00409" w:rsidRDefault="00A12E2B" w:rsidP="00D0040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A12E2B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References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1. WHO report </w:t>
      </w:r>
      <w:proofErr w:type="gramStart"/>
      <w:r w:rsidRPr="00D00409">
        <w:rPr>
          <w:rFonts w:ascii="ArialMT" w:hAnsi="ArialMT" w:cs="ArialMT"/>
          <w:sz w:val="18"/>
          <w:szCs w:val="18"/>
        </w:rPr>
        <w:t>2008.</w:t>
      </w:r>
      <w:proofErr w:type="gramEnd"/>
      <w:r w:rsidRPr="00D00409">
        <w:rPr>
          <w:rFonts w:ascii="ArialMT" w:hAnsi="ArialMT" w:cs="ArialMT"/>
          <w:sz w:val="18"/>
          <w:szCs w:val="18"/>
        </w:rPr>
        <w:t xml:space="preserve"> </w:t>
      </w:r>
      <w:proofErr w:type="gramStart"/>
      <w:r w:rsidRPr="00D00409">
        <w:rPr>
          <w:rFonts w:ascii="ArialMT" w:hAnsi="ArialMT" w:cs="ArialMT"/>
          <w:sz w:val="18"/>
          <w:szCs w:val="18"/>
        </w:rPr>
        <w:t>Tuberculosis (TB).</w:t>
      </w:r>
      <w:proofErr w:type="gramEnd"/>
      <w:r w:rsidRPr="00D00409">
        <w:rPr>
          <w:rFonts w:ascii="ArialMT" w:hAnsi="ArialMT" w:cs="ArialMT"/>
          <w:sz w:val="18"/>
          <w:szCs w:val="18"/>
        </w:rPr>
        <w:t xml:space="preserve"> http://www.who.int/tb/publications/global_report/2008/en/index.html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2. WHO report </w:t>
      </w:r>
      <w:proofErr w:type="gramStart"/>
      <w:r w:rsidRPr="00D00409">
        <w:rPr>
          <w:rFonts w:ascii="ArialMT" w:hAnsi="ArialMT" w:cs="ArialMT"/>
          <w:sz w:val="18"/>
          <w:szCs w:val="18"/>
        </w:rPr>
        <w:t>2011.</w:t>
      </w:r>
      <w:proofErr w:type="gramEnd"/>
      <w:r w:rsidRPr="00D00409">
        <w:rPr>
          <w:rFonts w:ascii="ArialMT" w:hAnsi="ArialMT" w:cs="ArialMT"/>
          <w:sz w:val="18"/>
          <w:szCs w:val="18"/>
        </w:rPr>
        <w:t xml:space="preserve"> http://www.who.int/tb/publications/global_report/en/.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3. Center for Disease Control and Prevention</w:t>
      </w:r>
      <w:r w:rsidR="00D00409">
        <w:rPr>
          <w:rFonts w:ascii="ArialMT" w:hAnsi="ArialMT" w:cs="ArialMT"/>
          <w:sz w:val="18"/>
          <w:szCs w:val="18"/>
        </w:rPr>
        <w:t xml:space="preserve">. </w:t>
      </w:r>
      <w:proofErr w:type="gramStart"/>
      <w:r w:rsidR="00D00409">
        <w:rPr>
          <w:rFonts w:ascii="ArialMT" w:hAnsi="ArialMT" w:cs="ArialMT"/>
          <w:sz w:val="18"/>
          <w:szCs w:val="18"/>
        </w:rPr>
        <w:t>Trends in Tuberculosis, 2012.</w:t>
      </w:r>
      <w:proofErr w:type="gramEnd"/>
      <w:r w:rsidR="00D00409">
        <w:rPr>
          <w:rFonts w:ascii="ArialMT" w:hAnsi="ArialMT" w:cs="ArialMT"/>
          <w:sz w:val="18"/>
          <w:szCs w:val="18"/>
        </w:rPr>
        <w:t xml:space="preserve"> </w:t>
      </w:r>
      <w:proofErr w:type="gramStart"/>
      <w:r w:rsidRPr="00D00409">
        <w:rPr>
          <w:rFonts w:ascii="ArialMT" w:hAnsi="ArialMT" w:cs="ArialMT"/>
          <w:sz w:val="18"/>
          <w:szCs w:val="18"/>
        </w:rPr>
        <w:t>http://www.cdc.gov/tb/publications/factsheets/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statistics/Trends.pdf.</w:t>
      </w:r>
      <w:proofErr w:type="gramEnd"/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4. </w:t>
      </w:r>
      <w:proofErr w:type="spellStart"/>
      <w:r w:rsidRPr="00D00409">
        <w:rPr>
          <w:rFonts w:ascii="ArialMT" w:hAnsi="ArialMT" w:cs="ArialMT"/>
          <w:sz w:val="18"/>
          <w:szCs w:val="18"/>
        </w:rPr>
        <w:t>Hoyert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DL, </w:t>
      </w:r>
      <w:proofErr w:type="spellStart"/>
      <w:r w:rsidRPr="00D00409">
        <w:rPr>
          <w:rFonts w:ascii="ArialMT" w:hAnsi="ArialMT" w:cs="ArialMT"/>
          <w:sz w:val="18"/>
          <w:szCs w:val="18"/>
        </w:rPr>
        <w:t>Xu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J. Deaths: Preliminary data for 2011. </w:t>
      </w:r>
      <w:proofErr w:type="gramStart"/>
      <w:r w:rsidRPr="00D00409">
        <w:rPr>
          <w:rFonts w:ascii="ArialMT" w:hAnsi="ArialMT" w:cs="ArialMT"/>
          <w:sz w:val="18"/>
          <w:szCs w:val="18"/>
        </w:rPr>
        <w:t>National Vital Statistics Reports.</w:t>
      </w:r>
      <w:proofErr w:type="gramEnd"/>
      <w:r w:rsidRPr="00D00409">
        <w:rPr>
          <w:rFonts w:ascii="ArialMT" w:hAnsi="ArialMT" w:cs="ArialMT"/>
          <w:sz w:val="18"/>
          <w:szCs w:val="18"/>
        </w:rPr>
        <w:t xml:space="preserve"> 2012</w:t>
      </w:r>
      <w:proofErr w:type="gramStart"/>
      <w:r w:rsidRPr="00D00409">
        <w:rPr>
          <w:rFonts w:ascii="ArialMT" w:hAnsi="ArialMT" w:cs="ArialMT"/>
          <w:sz w:val="18"/>
          <w:szCs w:val="18"/>
        </w:rPr>
        <w:t>;61</w:t>
      </w:r>
      <w:proofErr w:type="gramEnd"/>
      <w:r w:rsidRPr="00D00409">
        <w:rPr>
          <w:rFonts w:ascii="ArialMT" w:hAnsi="ArialMT" w:cs="ArialMT"/>
          <w:sz w:val="18"/>
          <w:szCs w:val="18"/>
        </w:rPr>
        <w:t>(6);p. 16.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5. Reported Tuberculosis in the United States, 2011. Atlanta, GA: U.S. Department of Health and Human Services, CDC,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October 2012.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6. Centers for Disease Control and Prevention. </w:t>
      </w:r>
      <w:proofErr w:type="gramStart"/>
      <w:r w:rsidRPr="00D00409">
        <w:rPr>
          <w:rFonts w:ascii="ArialMT" w:hAnsi="ArialMT" w:cs="ArialMT"/>
          <w:sz w:val="18"/>
          <w:szCs w:val="18"/>
        </w:rPr>
        <w:t>Guidelines for preventing the transmission of Mycobacterium tuberculosis in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health-care settings, 2005.</w:t>
      </w:r>
      <w:proofErr w:type="gramEnd"/>
      <w:r w:rsidRPr="00D00409">
        <w:rPr>
          <w:rFonts w:ascii="ArialMT" w:hAnsi="ArialMT" w:cs="ArialMT"/>
          <w:sz w:val="18"/>
          <w:szCs w:val="18"/>
        </w:rPr>
        <w:t xml:space="preserve"> MMWR 2005</w:t>
      </w:r>
      <w:proofErr w:type="gramStart"/>
      <w:r w:rsidRPr="00D00409">
        <w:rPr>
          <w:rFonts w:ascii="ArialMT" w:hAnsi="ArialMT" w:cs="ArialMT"/>
          <w:sz w:val="18"/>
          <w:szCs w:val="18"/>
        </w:rPr>
        <w:t>;54</w:t>
      </w:r>
      <w:proofErr w:type="gramEnd"/>
      <w:r w:rsidRPr="00D00409">
        <w:rPr>
          <w:rFonts w:ascii="ArialMT" w:hAnsi="ArialMT" w:cs="ArialMT"/>
          <w:sz w:val="18"/>
          <w:szCs w:val="18"/>
        </w:rPr>
        <w:t xml:space="preserve">(No. </w:t>
      </w:r>
      <w:proofErr w:type="gramStart"/>
      <w:r w:rsidRPr="00D00409">
        <w:rPr>
          <w:rFonts w:ascii="ArialMT" w:hAnsi="ArialMT" w:cs="ArialMT"/>
          <w:sz w:val="18"/>
          <w:szCs w:val="18"/>
        </w:rPr>
        <w:t>RR-17).</w:t>
      </w:r>
      <w:proofErr w:type="gramEnd"/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7. Centers for Disease Control and Prevention. </w:t>
      </w:r>
      <w:proofErr w:type="spellStart"/>
      <w:proofErr w:type="gramStart"/>
      <w:r w:rsidRPr="00D00409">
        <w:rPr>
          <w:rFonts w:ascii="ArialMT" w:hAnsi="ArialMT" w:cs="ArialMT"/>
          <w:sz w:val="18"/>
          <w:szCs w:val="18"/>
        </w:rPr>
        <w:t>Biosafety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in Microbiological and Biomedical Laboratories.</w:t>
      </w:r>
      <w:proofErr w:type="gramEnd"/>
      <w:r w:rsidRPr="00D00409">
        <w:rPr>
          <w:rFonts w:ascii="ArialMT" w:hAnsi="ArialMT" w:cs="ArialMT"/>
          <w:sz w:val="18"/>
          <w:szCs w:val="18"/>
        </w:rPr>
        <w:t xml:space="preserve"> Richmond JY and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McKinney RW (</w:t>
      </w:r>
      <w:proofErr w:type="spellStart"/>
      <w:proofErr w:type="gramStart"/>
      <w:r w:rsidRPr="00D00409">
        <w:rPr>
          <w:rFonts w:ascii="ArialMT" w:hAnsi="ArialMT" w:cs="ArialMT"/>
          <w:sz w:val="18"/>
          <w:szCs w:val="18"/>
        </w:rPr>
        <w:t>eds</w:t>
      </w:r>
      <w:proofErr w:type="spellEnd"/>
      <w:proofErr w:type="gramEnd"/>
      <w:r w:rsidRPr="00D00409">
        <w:rPr>
          <w:rFonts w:ascii="ArialMT" w:hAnsi="ArialMT" w:cs="ArialMT"/>
          <w:sz w:val="18"/>
          <w:szCs w:val="18"/>
        </w:rPr>
        <w:t>) (1993). HHS Publication number (CDC) 93-8395.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8. Clinical and Laboratory Standards Institute. Protection of Laboratory Workers from Occupationally Acquired Infections;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Approved Guideline. Document M29 (refer to latest edition).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9. U.S. Department of Health and Human Services, Public Health Service Centers for Disease Control and Prevention,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 xml:space="preserve">National Institutes of Health. 2009. </w:t>
      </w:r>
      <w:proofErr w:type="spellStart"/>
      <w:r w:rsidRPr="00D00409">
        <w:rPr>
          <w:rFonts w:ascii="ArialMT" w:hAnsi="ArialMT" w:cs="ArialMT"/>
          <w:sz w:val="18"/>
          <w:szCs w:val="18"/>
        </w:rPr>
        <w:t>Biosafety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in Microbiological and Biomedical Laboratories, 5th Edition HHS Publication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No. (CDC) 21-1112. Available from: http</w:t>
      </w:r>
      <w:proofErr w:type="gramStart"/>
      <w:r w:rsidRPr="00D00409">
        <w:rPr>
          <w:rFonts w:ascii="ArialMT" w:hAnsi="ArialMT" w:cs="ArialMT"/>
          <w:sz w:val="18"/>
          <w:szCs w:val="18"/>
        </w:rPr>
        <w:t>:/</w:t>
      </w:r>
      <w:proofErr w:type="gramEnd"/>
      <w:r w:rsidRPr="00D00409">
        <w:rPr>
          <w:rFonts w:ascii="ArialMT" w:hAnsi="ArialMT" w:cs="ArialMT"/>
          <w:sz w:val="18"/>
          <w:szCs w:val="18"/>
        </w:rPr>
        <w:t>/www.cdc.gov/biosafety/publications/bmbl5/BMBL.pdf. Accessed December 14,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2012.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10. Kent, PT, </w:t>
      </w:r>
      <w:proofErr w:type="spellStart"/>
      <w:r w:rsidRPr="00D00409">
        <w:rPr>
          <w:rFonts w:ascii="ArialMT" w:hAnsi="ArialMT" w:cs="ArialMT"/>
          <w:sz w:val="18"/>
          <w:szCs w:val="18"/>
        </w:rPr>
        <w:t>Kubica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, GP, 1985. Public health </w:t>
      </w:r>
      <w:proofErr w:type="spellStart"/>
      <w:r w:rsidRPr="00D00409">
        <w:rPr>
          <w:rFonts w:ascii="ArialMT" w:hAnsi="ArialMT" w:cs="ArialMT"/>
          <w:sz w:val="18"/>
          <w:szCs w:val="18"/>
        </w:rPr>
        <w:t>mycobacteriology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: a guide for the level III laboratory. </w:t>
      </w:r>
      <w:proofErr w:type="gramStart"/>
      <w:r w:rsidRPr="00D00409">
        <w:rPr>
          <w:rFonts w:ascii="ArialMT" w:hAnsi="ArialMT" w:cs="ArialMT"/>
          <w:sz w:val="18"/>
          <w:szCs w:val="18"/>
        </w:rPr>
        <w:t>U.S. Department of Public</w:t>
      </w:r>
      <w:r w:rsidR="00D00409">
        <w:rPr>
          <w:rFonts w:ascii="ArialMT" w:hAnsi="ArialMT" w:cs="ArialMT"/>
          <w:sz w:val="18"/>
          <w:szCs w:val="18"/>
        </w:rPr>
        <w:t xml:space="preserve"> </w:t>
      </w:r>
      <w:r w:rsidRPr="00D00409">
        <w:rPr>
          <w:rFonts w:ascii="ArialMT" w:hAnsi="ArialMT" w:cs="ArialMT"/>
          <w:sz w:val="18"/>
          <w:szCs w:val="18"/>
        </w:rPr>
        <w:t>Health and Human Services, Atlanta, GA.</w:t>
      </w:r>
      <w:proofErr w:type="gramEnd"/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11. Centers for Disease Control and Prevention. </w:t>
      </w:r>
      <w:proofErr w:type="gramStart"/>
      <w:r w:rsidRPr="00D00409">
        <w:rPr>
          <w:rFonts w:ascii="ArialMT" w:hAnsi="ArialMT" w:cs="ArialMT"/>
          <w:sz w:val="18"/>
          <w:szCs w:val="18"/>
        </w:rPr>
        <w:t xml:space="preserve">Summary of </w:t>
      </w:r>
      <w:proofErr w:type="spellStart"/>
      <w:r w:rsidRPr="00D00409">
        <w:rPr>
          <w:rFonts w:ascii="ArialMT" w:hAnsi="ArialMT" w:cs="ArialMT"/>
          <w:sz w:val="18"/>
          <w:szCs w:val="18"/>
        </w:rPr>
        <w:t>Notifiable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Diseases.</w:t>
      </w:r>
      <w:proofErr w:type="gramEnd"/>
      <w:r w:rsidRPr="00D00409">
        <w:rPr>
          <w:rFonts w:ascii="ArialMT" w:hAnsi="ArialMT" w:cs="ArialMT"/>
          <w:sz w:val="18"/>
          <w:szCs w:val="18"/>
        </w:rPr>
        <w:t xml:space="preserve"> </w:t>
      </w:r>
      <w:proofErr w:type="gramStart"/>
      <w:r w:rsidRPr="00D00409">
        <w:rPr>
          <w:rFonts w:ascii="ArialMT" w:hAnsi="ArialMT" w:cs="ArialMT"/>
          <w:sz w:val="18"/>
          <w:szCs w:val="18"/>
        </w:rPr>
        <w:t>MMWR.</w:t>
      </w:r>
      <w:proofErr w:type="gramEnd"/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http://www.cdc.gov/mmwr/PDF/wk/mm6153.pdf</w:t>
      </w:r>
    </w:p>
    <w:p w:rsidR="00A12E2B" w:rsidRPr="00D00409" w:rsidRDefault="00A12E2B" w:rsidP="00A12E2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 xml:space="preserve">12. Council to Improve </w:t>
      </w:r>
      <w:proofErr w:type="spellStart"/>
      <w:r w:rsidRPr="00D00409">
        <w:rPr>
          <w:rFonts w:ascii="ArialMT" w:hAnsi="ArialMT" w:cs="ArialMT"/>
          <w:sz w:val="18"/>
          <w:szCs w:val="18"/>
        </w:rPr>
        <w:t>Foodborne</w:t>
      </w:r>
      <w:proofErr w:type="spellEnd"/>
      <w:r w:rsidRPr="00D00409">
        <w:rPr>
          <w:rFonts w:ascii="ArialMT" w:hAnsi="ArialMT" w:cs="ArialMT"/>
          <w:sz w:val="18"/>
          <w:szCs w:val="18"/>
        </w:rPr>
        <w:t xml:space="preserve"> Outbreak Response. </w:t>
      </w:r>
      <w:proofErr w:type="gramStart"/>
      <w:r w:rsidRPr="00D00409">
        <w:rPr>
          <w:rFonts w:ascii="ArialMT" w:hAnsi="ArialMT" w:cs="ArialMT"/>
          <w:sz w:val="18"/>
          <w:szCs w:val="18"/>
        </w:rPr>
        <w:t>Analysis of State Legal Authorities.</w:t>
      </w:r>
      <w:proofErr w:type="gramEnd"/>
    </w:p>
    <w:p w:rsidR="00A12E2B" w:rsidRPr="00D00409" w:rsidRDefault="00A12E2B" w:rsidP="00D0040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  <w:r w:rsidRPr="00D00409">
        <w:rPr>
          <w:rFonts w:ascii="ArialMT" w:hAnsi="ArialMT" w:cs="ArialMT"/>
          <w:sz w:val="18"/>
          <w:szCs w:val="18"/>
        </w:rPr>
        <w:t>http://www.cifor.us/documents/CIFORAnalysisStateLegalAuthorities.pdf.</w:t>
      </w:r>
    </w:p>
    <w:sectPr w:rsidR="00A12E2B" w:rsidRPr="00D00409" w:rsidSect="009505C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C04" w:rsidRDefault="001B4C04" w:rsidP="00DF7FF5">
      <w:pPr>
        <w:spacing w:after="0" w:line="240" w:lineRule="auto"/>
      </w:pPr>
      <w:r>
        <w:separator/>
      </w:r>
    </w:p>
  </w:endnote>
  <w:endnote w:type="continuationSeparator" w:id="0">
    <w:p w:rsidR="001B4C04" w:rsidRDefault="001B4C04" w:rsidP="00DF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C04" w:rsidRDefault="001B4C0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7318758"/>
      <w:docPartObj>
        <w:docPartGallery w:val="Page Numbers (Bottom of Page)"/>
        <w:docPartUnique/>
      </w:docPartObj>
    </w:sdtPr>
    <w:sdtContent>
      <w:p w:rsidR="001B4C04" w:rsidRDefault="001B4C04">
        <w:pPr>
          <w:pStyle w:val="Footer"/>
        </w:pPr>
        <w:r>
          <w:t xml:space="preserve">Page | </w:t>
        </w:r>
        <w:fldSimple w:instr=" PAGE   \* MERGEFORMAT ">
          <w:r w:rsidR="004A6D50">
            <w:rPr>
              <w:noProof/>
            </w:rPr>
            <w:t>15</w:t>
          </w:r>
        </w:fldSimple>
      </w:p>
    </w:sdtContent>
  </w:sdt>
  <w:p w:rsidR="001B4C04" w:rsidRDefault="001B4C0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C04" w:rsidRDefault="001B4C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C04" w:rsidRDefault="001B4C04" w:rsidP="00DF7FF5">
      <w:pPr>
        <w:spacing w:after="0" w:line="240" w:lineRule="auto"/>
      </w:pPr>
      <w:r>
        <w:separator/>
      </w:r>
    </w:p>
  </w:footnote>
  <w:footnote w:type="continuationSeparator" w:id="0">
    <w:p w:rsidR="001B4C04" w:rsidRDefault="001B4C04" w:rsidP="00DF7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C04" w:rsidRDefault="001B4C0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C04" w:rsidRPr="0037493C" w:rsidRDefault="001B4C04" w:rsidP="0037493C">
    <w:pPr>
      <w:pStyle w:val="Header"/>
      <w:tabs>
        <w:tab w:val="clear" w:pos="9360"/>
        <w:tab w:val="left" w:pos="5835"/>
      </w:tabs>
      <w:rPr>
        <w:b/>
        <w:sz w:val="24"/>
        <w:szCs w:val="24"/>
      </w:rPr>
    </w:pPr>
    <w:r>
      <w:rPr>
        <w:noProof/>
      </w:rPr>
      <w:drawing>
        <wp:inline distT="0" distB="0" distL="0" distR="0">
          <wp:extent cx="2190750" cy="571500"/>
          <wp:effectExtent l="19050" t="0" r="0" b="0"/>
          <wp:docPr id="1" name="Picture 1" descr="RUSH logo for ema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USH logo for email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 w:rsidRPr="0037493C">
      <w:rPr>
        <w:sz w:val="24"/>
        <w:szCs w:val="24"/>
      </w:rPr>
      <w:t>4840-MB-1050</w:t>
    </w:r>
  </w:p>
  <w:p w:rsidR="001B4C04" w:rsidRDefault="001B4C0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C04" w:rsidRDefault="001B4C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E2C90"/>
    <w:multiLevelType w:val="hybridMultilevel"/>
    <w:tmpl w:val="94CCE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F7446"/>
    <w:multiLevelType w:val="singleLevel"/>
    <w:tmpl w:val="C2A243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4276771B"/>
    <w:multiLevelType w:val="hybridMultilevel"/>
    <w:tmpl w:val="4BE4C826"/>
    <w:lvl w:ilvl="0" w:tplc="D34A6ABE">
      <w:start w:val="1"/>
      <w:numFmt w:val="decimal"/>
      <w:lvlText w:val="%1.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8594726"/>
    <w:multiLevelType w:val="hybridMultilevel"/>
    <w:tmpl w:val="1A3E40BE"/>
    <w:lvl w:ilvl="0" w:tplc="A7B07FC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D112BC"/>
    <w:multiLevelType w:val="hybridMultilevel"/>
    <w:tmpl w:val="6F2AFD3E"/>
    <w:lvl w:ilvl="0" w:tplc="9DB23FC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6671E4E"/>
    <w:multiLevelType w:val="singleLevel"/>
    <w:tmpl w:val="04090015"/>
    <w:lvl w:ilvl="0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DF7FF5"/>
    <w:rsid w:val="00013BF7"/>
    <w:rsid w:val="000179DD"/>
    <w:rsid w:val="00027148"/>
    <w:rsid w:val="00035779"/>
    <w:rsid w:val="000471C1"/>
    <w:rsid w:val="00057713"/>
    <w:rsid w:val="000762A1"/>
    <w:rsid w:val="00097288"/>
    <w:rsid w:val="00105CB5"/>
    <w:rsid w:val="001304A5"/>
    <w:rsid w:val="00133D10"/>
    <w:rsid w:val="0017560E"/>
    <w:rsid w:val="001B4C04"/>
    <w:rsid w:val="001F0606"/>
    <w:rsid w:val="002F1D89"/>
    <w:rsid w:val="003170DF"/>
    <w:rsid w:val="0037493C"/>
    <w:rsid w:val="00380C23"/>
    <w:rsid w:val="003977E7"/>
    <w:rsid w:val="003A02E8"/>
    <w:rsid w:val="004A6D50"/>
    <w:rsid w:val="004D3470"/>
    <w:rsid w:val="004F6035"/>
    <w:rsid w:val="0054256D"/>
    <w:rsid w:val="00542B51"/>
    <w:rsid w:val="005659C3"/>
    <w:rsid w:val="00585604"/>
    <w:rsid w:val="005901ED"/>
    <w:rsid w:val="00606775"/>
    <w:rsid w:val="006264D9"/>
    <w:rsid w:val="006D5CB8"/>
    <w:rsid w:val="00767D3C"/>
    <w:rsid w:val="007A2D7A"/>
    <w:rsid w:val="008830FF"/>
    <w:rsid w:val="00921DAB"/>
    <w:rsid w:val="009505CC"/>
    <w:rsid w:val="009549B9"/>
    <w:rsid w:val="00972B40"/>
    <w:rsid w:val="009C2247"/>
    <w:rsid w:val="009E556D"/>
    <w:rsid w:val="009F0551"/>
    <w:rsid w:val="00A02BD6"/>
    <w:rsid w:val="00A12E2B"/>
    <w:rsid w:val="00A21E07"/>
    <w:rsid w:val="00A43363"/>
    <w:rsid w:val="00A86BB2"/>
    <w:rsid w:val="00A946D2"/>
    <w:rsid w:val="00AA59E6"/>
    <w:rsid w:val="00AC24BA"/>
    <w:rsid w:val="00AF4186"/>
    <w:rsid w:val="00B80AAB"/>
    <w:rsid w:val="00B97D80"/>
    <w:rsid w:val="00BD440F"/>
    <w:rsid w:val="00BD50B9"/>
    <w:rsid w:val="00BF14F4"/>
    <w:rsid w:val="00CE0BD0"/>
    <w:rsid w:val="00CE27F2"/>
    <w:rsid w:val="00CE373B"/>
    <w:rsid w:val="00CE6AEC"/>
    <w:rsid w:val="00CE751F"/>
    <w:rsid w:val="00D00409"/>
    <w:rsid w:val="00D71BA9"/>
    <w:rsid w:val="00DB68C7"/>
    <w:rsid w:val="00DC4388"/>
    <w:rsid w:val="00DE2331"/>
    <w:rsid w:val="00DF30D8"/>
    <w:rsid w:val="00DF7FF5"/>
    <w:rsid w:val="00E10247"/>
    <w:rsid w:val="00E95D63"/>
    <w:rsid w:val="00EE20EE"/>
    <w:rsid w:val="00F91AB8"/>
    <w:rsid w:val="00FB2426"/>
    <w:rsid w:val="00FE6F3F"/>
    <w:rsid w:val="00FE7C3E"/>
    <w:rsid w:val="00FE7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5CC"/>
  </w:style>
  <w:style w:type="paragraph" w:styleId="Heading2">
    <w:name w:val="heading 2"/>
    <w:basedOn w:val="Normal"/>
    <w:next w:val="Normal"/>
    <w:link w:val="Heading2Char"/>
    <w:qFormat/>
    <w:rsid w:val="00380C2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7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FF5"/>
  </w:style>
  <w:style w:type="paragraph" w:styleId="Footer">
    <w:name w:val="footer"/>
    <w:basedOn w:val="Normal"/>
    <w:link w:val="FooterChar"/>
    <w:uiPriority w:val="99"/>
    <w:unhideWhenUsed/>
    <w:rsid w:val="00DF7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FF5"/>
  </w:style>
  <w:style w:type="paragraph" w:styleId="BalloonText">
    <w:name w:val="Balloon Text"/>
    <w:basedOn w:val="Normal"/>
    <w:link w:val="BalloonTextChar"/>
    <w:uiPriority w:val="99"/>
    <w:semiHidden/>
    <w:unhideWhenUsed/>
    <w:rsid w:val="00DF7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FF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380C23"/>
    <w:rPr>
      <w:rFonts w:ascii="Arial" w:eastAsia="Times New Roman" w:hAnsi="Arial" w:cs="Times New Roman"/>
      <w:b/>
      <w:i/>
      <w:sz w:val="24"/>
      <w:szCs w:val="20"/>
    </w:rPr>
  </w:style>
  <w:style w:type="paragraph" w:styleId="ListParagraph">
    <w:name w:val="List Paragraph"/>
    <w:basedOn w:val="Normal"/>
    <w:uiPriority w:val="34"/>
    <w:qFormat/>
    <w:rsid w:val="002F1D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040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rsid w:val="00CE373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CE373B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82161-3AB8-4868-86E7-0998B33A9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16</Pages>
  <Words>5445</Words>
  <Characters>31039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RCMC</Company>
  <LinksUpToDate>false</LinksUpToDate>
  <CharactersWithSpaces>36412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ref2</dc:creator>
  <cp:lastModifiedBy>cpierce</cp:lastModifiedBy>
  <cp:revision>10</cp:revision>
  <cp:lastPrinted>2017-11-03T14:17:00Z</cp:lastPrinted>
  <dcterms:created xsi:type="dcterms:W3CDTF">2017-11-03T13:17:00Z</dcterms:created>
  <dcterms:modified xsi:type="dcterms:W3CDTF">2017-11-03T14:29:00Z</dcterms:modified>
</cp:coreProperties>
</file>