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34632A">
      <w:pPr>
        <w:rPr>
          <w:b/>
        </w:rPr>
      </w:pPr>
      <w:r>
        <w:rPr>
          <w:noProof/>
        </w:rPr>
        <w:drawing>
          <wp:inline distT="0" distB="0" distL="0" distR="0" wp14:anchorId="20AC5A9C" wp14:editId="0F1CD716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C7" w:rsidRPr="00D006C7" w:rsidRDefault="00AB5F37" w:rsidP="006107A2">
      <w:pPr>
        <w:jc w:val="center"/>
        <w:rPr>
          <w:rFonts w:eastAsia="HelenPro-Regular"/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CRP VARIO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C32412">
        <w:rPr>
          <w:b/>
          <w:sz w:val="28"/>
          <w:szCs w:val="28"/>
        </w:rPr>
        <w:t xml:space="preserve"> OR PLASMA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D704AC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The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assay [</w:t>
      </w:r>
      <w:proofErr w:type="spellStart"/>
      <w:r w:rsidRPr="00D23735">
        <w:rPr>
          <w:rFonts w:eastAsia="HelenPro-Regular"/>
        </w:rPr>
        <w:t>CRPVa</w:t>
      </w:r>
      <w:proofErr w:type="spellEnd"/>
      <w:r w:rsidRPr="00D23735">
        <w:rPr>
          <w:rFonts w:eastAsia="HelenPro-Regular"/>
        </w:rPr>
        <w:t>] is intended for the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quantitative </w:t>
      </w:r>
      <w:proofErr w:type="spellStart"/>
      <w:r w:rsidRPr="00D23735">
        <w:rPr>
          <w:rFonts w:eastAsia="HelenPro-Regular"/>
        </w:rPr>
        <w:t>immunoturbidimetric</w:t>
      </w:r>
      <w:proofErr w:type="spellEnd"/>
      <w:r w:rsidRPr="00D23735">
        <w:rPr>
          <w:rFonts w:eastAsia="HelenPro-Regular"/>
        </w:rPr>
        <w:t xml:space="preserve"> determination of C-reactive protein in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human serum or plasma with variable assay ranges [CRP16, CRP32,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CRP48] using the ARCHITECT </w:t>
      </w:r>
      <w:r w:rsidRPr="00D23735">
        <w:rPr>
          <w:rFonts w:eastAsia="HelenPro-Regular"/>
          <w:i/>
          <w:iCs/>
        </w:rPr>
        <w:t xml:space="preserve">c </w:t>
      </w:r>
      <w:r w:rsidRPr="00D23735">
        <w:rPr>
          <w:rFonts w:eastAsia="HelenPro-Regular"/>
        </w:rPr>
        <w:t>Systems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DC16C5" w:rsidRPr="00D704AC" w:rsidRDefault="00DC16C5" w:rsidP="00DC16C5">
      <w:pPr>
        <w:jc w:val="both"/>
        <w:rPr>
          <w:b/>
        </w:rPr>
      </w:pPr>
    </w:p>
    <w:p w:rsidR="0009322F" w:rsidRPr="00A062F7" w:rsidRDefault="006559EB" w:rsidP="006107A2">
      <w:pPr>
        <w:jc w:val="both"/>
        <w:rPr>
          <w:sz w:val="28"/>
          <w:szCs w:val="28"/>
        </w:rPr>
      </w:pPr>
      <w:r w:rsidRPr="00A062F7">
        <w:rPr>
          <w:b/>
          <w:sz w:val="28"/>
          <w:szCs w:val="28"/>
        </w:rPr>
        <w:t>Clinical Significance</w:t>
      </w:r>
      <w:r w:rsidR="006107A2" w:rsidRPr="00A062F7">
        <w:rPr>
          <w:sz w:val="28"/>
          <w:szCs w:val="28"/>
        </w:rPr>
        <w:t xml:space="preserve"> </w:t>
      </w:r>
    </w:p>
    <w:p w:rsidR="00A062F7" w:rsidRPr="00D704AC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C-reactive protein (CRP) is an acute phase protein whose concentration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rises non-specifically in response to inflammation. CRP is seen to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increase as a result of the inflammatory process, most notably in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response to pneumococcal (bacterial) infection, histolytic disease, and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a variety of other disease states. </w:t>
      </w:r>
      <w:proofErr w:type="spellStart"/>
      <w:r w:rsidRPr="00D23735">
        <w:rPr>
          <w:rFonts w:eastAsia="HelenPro-Regular"/>
        </w:rPr>
        <w:t>Intraindividual</w:t>
      </w:r>
      <w:proofErr w:type="spellEnd"/>
      <w:r w:rsidRPr="00D23735">
        <w:rPr>
          <w:rFonts w:eastAsia="HelenPro-Regular"/>
        </w:rPr>
        <w:t xml:space="preserve"> variation is a major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limitation of the assay when the assay is used for directing therapies.</w:t>
      </w:r>
      <w:r w:rsidR="00867A63">
        <w:rPr>
          <w:rFonts w:eastAsia="HelenPro-Regular"/>
        </w:rPr>
        <w:t xml:space="preserve"> </w:t>
      </w:r>
      <w:proofErr w:type="spellStart"/>
      <w:r w:rsidRPr="00D23735">
        <w:rPr>
          <w:rFonts w:eastAsia="HelenPro-Regular"/>
        </w:rPr>
        <w:t>Intraindividual</w:t>
      </w:r>
      <w:proofErr w:type="spellEnd"/>
      <w:r w:rsidRPr="00D23735">
        <w:rPr>
          <w:rFonts w:eastAsia="HelenPro-Regular"/>
        </w:rPr>
        <w:t xml:space="preserve"> variations of the CRP levels are from 30% to 60%. Serial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measurement may be required to estimate true mean of CRP depending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on the intended use in any specific individual. CRP is used as a marker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or general diagnostic indicator of infections and inflammation, in addition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to serving as a monitor of patient response to pharmacological therapy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and surgery.</w:t>
      </w:r>
    </w:p>
    <w:p w:rsidR="00DA0D83" w:rsidRPr="00D704AC" w:rsidRDefault="00DA0D83" w:rsidP="008A7F96">
      <w:pPr>
        <w:jc w:val="both"/>
        <w:rPr>
          <w:b/>
        </w:rPr>
      </w:pPr>
    </w:p>
    <w:p w:rsidR="008A7F96" w:rsidRPr="00460600" w:rsidRDefault="008A7F96" w:rsidP="008A7F96">
      <w:pPr>
        <w:jc w:val="both"/>
        <w:rPr>
          <w:color w:val="FF0000"/>
          <w:sz w:val="28"/>
          <w:szCs w:val="28"/>
        </w:rPr>
      </w:pPr>
      <w:r w:rsidRPr="00460600">
        <w:rPr>
          <w:b/>
          <w:sz w:val="28"/>
          <w:szCs w:val="28"/>
        </w:rPr>
        <w:t>Principle</w:t>
      </w:r>
      <w:r w:rsidRPr="00460600">
        <w:rPr>
          <w:sz w:val="28"/>
          <w:szCs w:val="28"/>
        </w:rPr>
        <w:t xml:space="preserve"> </w:t>
      </w:r>
    </w:p>
    <w:p w:rsidR="008A7F96" w:rsidRPr="00460600" w:rsidRDefault="008A7F96" w:rsidP="008A7F96">
      <w:pPr>
        <w:jc w:val="both"/>
      </w:pP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is a latex immunoassay developed to accurately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and reproducibly measure blood CRP levels in serum and plasma.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When an antigen-antibody reaction occurs between CRP in a sample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and anti</w:t>
      </w:r>
      <w:r w:rsidRPr="00D23735">
        <w:rPr>
          <w:rFonts w:ascii="MS Mincho" w:eastAsia="MS Mincho" w:hAnsi="MS Mincho" w:cs="MS Mincho" w:hint="eastAsia"/>
        </w:rPr>
        <w:t>‑</w:t>
      </w:r>
      <w:r w:rsidRPr="00D23735">
        <w:rPr>
          <w:rFonts w:eastAsia="HelenPro-Regular"/>
        </w:rPr>
        <w:t>CRP antibody, which has been adsorbed to latex particles,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agglutination results. This agglutination is detected as an absorbance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change (572 nm), with the rate of change being proportional to the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quantity of CRP in the sample. Three different methods (High Sensitivity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[CRP16], Standard [CRP32], and Wide Range [CRP48]) are available to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cover a wide analytical measurement range.</w:t>
      </w:r>
    </w:p>
    <w:p w:rsidR="00867A63" w:rsidRDefault="00867A63" w:rsidP="00AB5F37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4E0AFF" w:rsidRPr="00D704AC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Bold"/>
          <w:b/>
          <w:bCs/>
        </w:rPr>
        <w:t xml:space="preserve">Methodology: </w:t>
      </w:r>
      <w:proofErr w:type="spellStart"/>
      <w:r w:rsidRPr="00D23735">
        <w:rPr>
          <w:rFonts w:eastAsia="HelenPro-Regular"/>
        </w:rPr>
        <w:t>Turbidimetric</w:t>
      </w:r>
      <w:proofErr w:type="spellEnd"/>
      <w:r w:rsidRPr="00D23735">
        <w:rPr>
          <w:rFonts w:eastAsia="HelenPro-Regular"/>
        </w:rPr>
        <w:t>/</w:t>
      </w:r>
      <w:proofErr w:type="spellStart"/>
      <w:r w:rsidRPr="00D23735">
        <w:rPr>
          <w:rFonts w:eastAsia="HelenPro-Regular"/>
        </w:rPr>
        <w:t>Immunoturbidimetric</w:t>
      </w:r>
      <w:proofErr w:type="spellEnd"/>
      <w:r w:rsidR="00D704AC" w:rsidRPr="00D704AC">
        <w:rPr>
          <w:rFonts w:eastAsia="HelenPro-Regular"/>
        </w:rPr>
        <w:t>.</w:t>
      </w:r>
    </w:p>
    <w:p w:rsidR="00D81E5D" w:rsidRDefault="00D81E5D" w:rsidP="006559EB">
      <w:pPr>
        <w:rPr>
          <w:b/>
          <w:sz w:val="28"/>
          <w:szCs w:val="28"/>
        </w:rPr>
      </w:pPr>
    </w:p>
    <w:p w:rsidR="009A4670" w:rsidRDefault="009A4670" w:rsidP="006559EB">
      <w:pPr>
        <w:rPr>
          <w:b/>
          <w:sz w:val="28"/>
          <w:szCs w:val="28"/>
        </w:rPr>
      </w:pPr>
    </w:p>
    <w:p w:rsidR="009A4670" w:rsidRDefault="009A4670" w:rsidP="006559EB">
      <w:pPr>
        <w:rPr>
          <w:b/>
          <w:sz w:val="28"/>
          <w:szCs w:val="28"/>
        </w:rPr>
      </w:pPr>
    </w:p>
    <w:p w:rsidR="009A4670" w:rsidRDefault="009A4670" w:rsidP="006559EB">
      <w:pPr>
        <w:rPr>
          <w:b/>
          <w:sz w:val="28"/>
          <w:szCs w:val="28"/>
        </w:rPr>
      </w:pPr>
    </w:p>
    <w:p w:rsidR="009A4670" w:rsidRDefault="009A4670" w:rsidP="006559EB">
      <w:pPr>
        <w:rPr>
          <w:b/>
          <w:sz w:val="28"/>
          <w:szCs w:val="28"/>
        </w:rPr>
      </w:pPr>
    </w:p>
    <w:p w:rsidR="009A4670" w:rsidRDefault="009A4670" w:rsidP="006559EB">
      <w:pPr>
        <w:rPr>
          <w:b/>
          <w:sz w:val="28"/>
          <w:szCs w:val="28"/>
        </w:rPr>
      </w:pPr>
    </w:p>
    <w:p w:rsidR="006559EB" w:rsidRPr="00460600" w:rsidRDefault="006559EB" w:rsidP="006559EB">
      <w:pPr>
        <w:rPr>
          <w:b/>
          <w:sz w:val="28"/>
          <w:szCs w:val="28"/>
        </w:rPr>
      </w:pPr>
      <w:r w:rsidRPr="00460600">
        <w:rPr>
          <w:b/>
          <w:sz w:val="28"/>
          <w:szCs w:val="28"/>
        </w:rPr>
        <w:t>Specimen Collection and Handling</w:t>
      </w:r>
      <w:r w:rsidR="00D60AFA" w:rsidRPr="00460600">
        <w:rPr>
          <w:b/>
          <w:sz w:val="28"/>
          <w:szCs w:val="28"/>
        </w:rPr>
        <w:t xml:space="preserve"> </w:t>
      </w:r>
    </w:p>
    <w:p w:rsidR="004A03BD" w:rsidRPr="00460600" w:rsidRDefault="004A03BD" w:rsidP="006559EB">
      <w:pPr>
        <w:rPr>
          <w:b/>
        </w:rPr>
      </w:pPr>
    </w:p>
    <w:p w:rsidR="00D77B64" w:rsidRPr="00460600" w:rsidRDefault="00D77B64" w:rsidP="00D77B64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60600">
        <w:rPr>
          <w:rFonts w:eastAsia="HelenPro-Bold"/>
          <w:b/>
          <w:bCs/>
        </w:rPr>
        <w:t>Suitable Specimens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• </w:t>
      </w:r>
      <w:r w:rsidRPr="00D23735">
        <w:rPr>
          <w:rFonts w:eastAsia="HelenPro-Bold"/>
          <w:b/>
          <w:bCs/>
        </w:rPr>
        <w:t xml:space="preserve">Serum: </w:t>
      </w:r>
      <w:r w:rsidRPr="00D23735">
        <w:rPr>
          <w:rFonts w:eastAsia="HelenPro-Regular"/>
        </w:rPr>
        <w:t>Use serum collected by standard venipuncture techniques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into plastic tubes with or without gel barriers. Ensure complete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clot formation has taken place prior to centrifugation. Centrifuge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according to tube manufacturer’s instructions to ensure proper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separation of serum from blood cells.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lastRenderedPageBreak/>
        <w:t>Some specimens, especially those from patients receiving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anticoagulant or thrombolytic therapy, may take longer to complete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their clotting processes. Fibrin clots may subsequently form in these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sera and the clots could cause erroneous test results.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• </w:t>
      </w:r>
      <w:r w:rsidRPr="00D23735">
        <w:rPr>
          <w:rFonts w:eastAsia="HelenPro-Bold"/>
          <w:b/>
          <w:bCs/>
        </w:rPr>
        <w:t xml:space="preserve">Plasma: </w:t>
      </w:r>
      <w:r w:rsidRPr="00D23735">
        <w:rPr>
          <w:rFonts w:eastAsia="HelenPro-Regular"/>
        </w:rPr>
        <w:t>Use plasma collected by standard venipuncture techniques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into plastic tubes. Acceptable anticoagulants are lithium heparin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(with or without gel barrier), sodium heparin, and EDTA. Ensure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centrifugation is adequate to remove platelets. Centrifuge according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to tube manufacturer’s instructions to ensure proper separation of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plasma from blood cells.</w:t>
      </w:r>
    </w:p>
    <w:p w:rsidR="003D447C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Bold"/>
          <w:b/>
          <w:bCs/>
        </w:rPr>
        <w:t xml:space="preserve">NOTE: </w:t>
      </w:r>
      <w:r w:rsidRPr="00D23735">
        <w:rPr>
          <w:rFonts w:eastAsia="HelenPro-Regular"/>
        </w:rPr>
        <w:t>Glass tubes were not tested</w:t>
      </w:r>
    </w:p>
    <w:p w:rsidR="00AB5F37" w:rsidRDefault="00AB5F37" w:rsidP="00AB5F37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AB5F37" w:rsidRPr="00AB5F37" w:rsidRDefault="00AB5F37" w:rsidP="00AB5F37">
      <w:pPr>
        <w:autoSpaceDE w:val="0"/>
        <w:autoSpaceDN w:val="0"/>
        <w:adjustRightInd w:val="0"/>
        <w:rPr>
          <w:rFonts w:eastAsia="HelenPro-Regular"/>
          <w:b/>
        </w:rPr>
      </w:pPr>
      <w:r w:rsidRPr="00AB5F37">
        <w:rPr>
          <w:rFonts w:eastAsia="HelenPro-Regular"/>
          <w:b/>
        </w:rPr>
        <w:t>Specimen Storage</w:t>
      </w:r>
    </w:p>
    <w:p w:rsidR="00AB5F37" w:rsidRPr="00D704AC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7171251C" wp14:editId="2FBFF026">
            <wp:extent cx="1971675" cy="7905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3AB" w:rsidRDefault="006A13AB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6A13AB" w:rsidRDefault="00C32412" w:rsidP="006A13AB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 xml:space="preserve">Stored specimens must be inspected for particulates. </w:t>
      </w:r>
      <w:r w:rsidR="006A13AB">
        <w:rPr>
          <w:rFonts w:eastAsia="HelenPro-Regular"/>
        </w:rPr>
        <w:t xml:space="preserve">If present, </w:t>
      </w:r>
      <w:r w:rsidR="006A13AB" w:rsidRPr="006A13AB">
        <w:rPr>
          <w:rFonts w:eastAsia="HelenPro-Regular"/>
        </w:rPr>
        <w:t>mix and centrifuge the specimen to remove particulates prior to testing.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D704AC" w:rsidRDefault="00D704AC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173EA4" w:rsidRDefault="00F7103F" w:rsidP="00F7103F"/>
    <w:p w:rsidR="00AB5F37" w:rsidRPr="00D23735" w:rsidRDefault="00F7103F" w:rsidP="00D23735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015B4F">
        <w:rPr>
          <w:rFonts w:eastAsia="HelenPro-Regular"/>
        </w:rPr>
        <w:t xml:space="preserve"> </w:t>
      </w:r>
      <w:r w:rsidR="00AB5F37" w:rsidRPr="00D23735">
        <w:rPr>
          <w:rFonts w:eastAsia="HelenPro-Regular"/>
        </w:rPr>
        <w:t xml:space="preserve">6K26-30 MULTIGENT CRP </w:t>
      </w:r>
      <w:proofErr w:type="spellStart"/>
      <w:r w:rsidR="00AB5F37" w:rsidRPr="00D23735">
        <w:rPr>
          <w:rFonts w:eastAsia="HelenPro-Regular"/>
        </w:rPr>
        <w:t>Vario</w:t>
      </w:r>
      <w:proofErr w:type="spellEnd"/>
      <w:r w:rsidR="00AB5F37" w:rsidRPr="00D23735">
        <w:rPr>
          <w:rFonts w:eastAsia="HelenPro-Regular"/>
        </w:rPr>
        <w:t xml:space="preserve"> Kit</w:t>
      </w:r>
    </w:p>
    <w:p w:rsidR="00A062F7" w:rsidRPr="00D23735" w:rsidRDefault="00AB5F37" w:rsidP="00AB5F37">
      <w:pPr>
        <w:ind w:firstLine="720"/>
        <w:rPr>
          <w:b/>
        </w:rPr>
      </w:pPr>
      <w:r w:rsidRPr="00D23735">
        <w:rPr>
          <w:rFonts w:eastAsia="HelenPro-Regular"/>
        </w:rPr>
        <w:t xml:space="preserve">6K26-41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Kit</w:t>
      </w:r>
    </w:p>
    <w:p w:rsidR="00B1746E" w:rsidRDefault="00B1746E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F7103F" w:rsidRPr="00F7103F" w:rsidRDefault="00F7103F" w:rsidP="00F7103F"/>
    <w:p w:rsidR="00AB5F37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 xml:space="preserve">• </w:t>
      </w:r>
      <w:r w:rsidR="00AB5F37" w:rsidRPr="00D23735">
        <w:rPr>
          <w:rFonts w:eastAsia="HelenPro-Regular"/>
        </w:rPr>
        <w:t>6K26-10 MULTIGENT CRP Calibrator Set</w:t>
      </w:r>
    </w:p>
    <w:p w:rsidR="00AB5F37" w:rsidRPr="00D23735" w:rsidRDefault="00AB5F37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6K26-14 MULTIGENT CRP Calibrator HS</w:t>
      </w:r>
    </w:p>
    <w:p w:rsidR="00AB5F37" w:rsidRPr="00D23735" w:rsidRDefault="00AB5F37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6K26-12 MULTIGENT CRP Calibrator WR</w:t>
      </w:r>
    </w:p>
    <w:p w:rsidR="00AB5F37" w:rsidRPr="00D23735" w:rsidRDefault="00AB5F37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6K26-21 MULTIGENT CRP Control HS</w:t>
      </w:r>
    </w:p>
    <w:p w:rsidR="00AB5F37" w:rsidRPr="00D23735" w:rsidRDefault="00AB5F37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 xml:space="preserve">• 6K32-20 </w:t>
      </w:r>
      <w:proofErr w:type="spellStart"/>
      <w:r w:rsidRPr="00D23735">
        <w:rPr>
          <w:rFonts w:eastAsia="HelenPro-Regular"/>
        </w:rPr>
        <w:t>Immuno</w:t>
      </w:r>
      <w:proofErr w:type="spellEnd"/>
      <w:r w:rsidRPr="00D23735">
        <w:rPr>
          <w:rFonts w:eastAsia="HelenPro-Regular"/>
        </w:rPr>
        <w:t xml:space="preserve"> Control 1 (Not available in the US)</w:t>
      </w:r>
    </w:p>
    <w:p w:rsidR="00AB5F37" w:rsidRPr="00D23735" w:rsidRDefault="00AB5F37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 xml:space="preserve">• 6K32-21 </w:t>
      </w:r>
      <w:proofErr w:type="spellStart"/>
      <w:r w:rsidRPr="00D23735">
        <w:rPr>
          <w:rFonts w:eastAsia="HelenPro-Regular"/>
        </w:rPr>
        <w:t>Immuno</w:t>
      </w:r>
      <w:proofErr w:type="spellEnd"/>
      <w:r w:rsidRPr="00D23735">
        <w:rPr>
          <w:rFonts w:eastAsia="HelenPro-Regular"/>
        </w:rPr>
        <w:t xml:space="preserve"> Control 2 (Not available in the US)</w:t>
      </w:r>
    </w:p>
    <w:p w:rsidR="00C32412" w:rsidRDefault="00AB5F37" w:rsidP="00D23735">
      <w:pPr>
        <w:ind w:left="720"/>
        <w:rPr>
          <w:b/>
          <w:sz w:val="28"/>
          <w:szCs w:val="28"/>
        </w:rPr>
      </w:pPr>
      <w:r w:rsidRPr="00D23735">
        <w:rPr>
          <w:rFonts w:eastAsia="HelenPro-Regular"/>
        </w:rPr>
        <w:t xml:space="preserve">• Saline (0.85% to 0.90% </w:t>
      </w:r>
      <w:proofErr w:type="spellStart"/>
      <w:r w:rsidRPr="00D23735">
        <w:rPr>
          <w:rFonts w:eastAsia="HelenPro-Regular"/>
        </w:rPr>
        <w:t>NaCl</w:t>
      </w:r>
      <w:proofErr w:type="spellEnd"/>
      <w:r w:rsidRPr="00D23735">
        <w:rPr>
          <w:rFonts w:eastAsia="HelenPro-Regular"/>
        </w:rPr>
        <w:t>) for specimens that require dilution</w:t>
      </w:r>
    </w:p>
    <w:p w:rsidR="00AB5F37" w:rsidRDefault="00AB5F37" w:rsidP="00507B0C">
      <w:pPr>
        <w:rPr>
          <w:b/>
          <w:sz w:val="28"/>
          <w:szCs w:val="28"/>
        </w:rPr>
      </w:pPr>
    </w:p>
    <w:p w:rsidR="00867A63" w:rsidRDefault="00867A63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1. For in vitro diagnostic use.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2. Do not use components beyond the expiration date.</w:t>
      </w:r>
    </w:p>
    <w:p w:rsid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 xml:space="preserve">3. Do not mix materials from different kit </w:t>
      </w:r>
      <w:r w:rsidRPr="00DC16C5">
        <w:rPr>
          <w:rFonts w:eastAsia="HelenPro-Regular"/>
        </w:rPr>
        <w:t>lot numbers.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lastRenderedPageBreak/>
        <w:t>It is recommended that all human sourced materials be considered</w:t>
      </w:r>
    </w:p>
    <w:p w:rsidR="00F7103F" w:rsidRPr="00F7103F" w:rsidRDefault="00F7103F" w:rsidP="00F7103F">
      <w:pPr>
        <w:rPr>
          <w:rFonts w:eastAsia="HelenPro-Regular"/>
        </w:rPr>
      </w:pPr>
      <w:r w:rsidRPr="00F7103F">
        <w:rPr>
          <w:rFonts w:eastAsia="HelenPro-Regular"/>
        </w:rPr>
        <w:t>potentially infectious and be handled in accordance with the OSHA</w:t>
      </w:r>
    </w:p>
    <w:p w:rsidR="004A03BD" w:rsidRDefault="00F7103F" w:rsidP="00DC16C5">
      <w:pPr>
        <w:rPr>
          <w:rFonts w:eastAsia="HelenPro-Regular"/>
        </w:rPr>
      </w:pP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DC16C5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DC16C5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• The following warning and precaution apply to R1</w:t>
      </w:r>
      <w:r w:rsidR="00CA5058">
        <w:rPr>
          <w:rFonts w:eastAsia="HelenPro-Regular"/>
        </w:rPr>
        <w:t xml:space="preserve"> and R2</w:t>
      </w:r>
      <w:r w:rsidRPr="00DC16C5">
        <w:rPr>
          <w:rFonts w:eastAsia="HelenPro-Regular"/>
        </w:rPr>
        <w:t>:</w:t>
      </w:r>
    </w:p>
    <w:p w:rsidR="00DC16C5" w:rsidRPr="00DC16C5" w:rsidRDefault="00DC16C5" w:rsidP="0061553C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DC16C5">
        <w:rPr>
          <w:rFonts w:eastAsia="HelenPro-Regular"/>
        </w:rPr>
        <w:t xml:space="preserve">Contains sodium </w:t>
      </w:r>
      <w:proofErr w:type="spellStart"/>
      <w:r w:rsidRPr="00DC16C5">
        <w:rPr>
          <w:rFonts w:eastAsia="HelenPro-Regular"/>
        </w:rPr>
        <w:t>azide</w:t>
      </w:r>
      <w:proofErr w:type="spellEnd"/>
      <w:r w:rsidRPr="00DC16C5">
        <w:rPr>
          <w:rFonts w:eastAsia="HelenPro-Regular"/>
        </w:rPr>
        <w:t>.</w:t>
      </w:r>
    </w:p>
    <w:p w:rsidR="00DC16C5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EUH032 Contact with acids liberates very toxic gas.</w:t>
      </w:r>
    </w:p>
    <w:p w:rsidR="0038442D" w:rsidRPr="00DC16C5" w:rsidRDefault="00DC16C5" w:rsidP="00DC16C5">
      <w:pPr>
        <w:autoSpaceDE w:val="0"/>
        <w:autoSpaceDN w:val="0"/>
        <w:adjustRightInd w:val="0"/>
        <w:rPr>
          <w:rFonts w:eastAsia="HelenPro-Regular"/>
        </w:rPr>
      </w:pPr>
      <w:r w:rsidRPr="00DC16C5">
        <w:rPr>
          <w:rFonts w:eastAsia="HelenPro-Regular"/>
        </w:rPr>
        <w:t>These materials and their container</w:t>
      </w:r>
      <w:r>
        <w:rPr>
          <w:rFonts w:eastAsia="HelenPro-Regular"/>
        </w:rPr>
        <w:t xml:space="preserve">s must be disposed of in a safe </w:t>
      </w:r>
      <w:r w:rsidRPr="00DC16C5">
        <w:rPr>
          <w:rFonts w:eastAsia="HelenPro-Regular"/>
        </w:rPr>
        <w:t>way.</w:t>
      </w:r>
    </w:p>
    <w:p w:rsidR="00DC16C5" w:rsidRDefault="00DC16C5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D704AC" w:rsidRPr="00D704AC" w:rsidRDefault="00D704AC" w:rsidP="0038442D">
      <w:pPr>
        <w:autoSpaceDE w:val="0"/>
        <w:autoSpaceDN w:val="0"/>
        <w:adjustRightInd w:val="0"/>
        <w:rPr>
          <w:rFonts w:eastAsia="HelenPro-Bold"/>
          <w:bCs/>
        </w:rPr>
      </w:pPr>
      <w:r w:rsidRPr="00D704AC">
        <w:rPr>
          <w:rFonts w:eastAsia="HelenPro-Bold"/>
          <w:bCs/>
        </w:rPr>
        <w:t>R1 Ready for Use.</w:t>
      </w:r>
    </w:p>
    <w:p w:rsidR="00D704AC" w:rsidRPr="00D704AC" w:rsidRDefault="00D704AC" w:rsidP="00D704AC">
      <w:pPr>
        <w:autoSpaceDE w:val="0"/>
        <w:autoSpaceDN w:val="0"/>
        <w:adjustRightInd w:val="0"/>
        <w:rPr>
          <w:rFonts w:eastAsia="HelenPro-Regular"/>
        </w:rPr>
      </w:pPr>
      <w:r w:rsidRPr="00D704AC">
        <w:rPr>
          <w:rFonts w:eastAsia="HelenPro-Bold"/>
          <w:bCs/>
        </w:rPr>
        <w:t>R2 Ready for Use.</w:t>
      </w:r>
      <w:r>
        <w:rPr>
          <w:rFonts w:eastAsia="HelenPro-Bold"/>
          <w:b/>
          <w:bCs/>
        </w:rPr>
        <w:t xml:space="preserve"> 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• Remove air bubbles, if present i</w:t>
      </w:r>
      <w:r>
        <w:rPr>
          <w:rFonts w:eastAsia="HelenPro-Regular"/>
        </w:rPr>
        <w:t xml:space="preserve">n the reagent cartridge, with a </w:t>
      </w:r>
      <w:r w:rsidRPr="00C32412">
        <w:rPr>
          <w:rFonts w:eastAsia="HelenPro-Regular"/>
        </w:rPr>
        <w:t>new applicator stick. Alternatively, allow the reagent to sit at the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appropriate storage temperature to allow the bubbles to dissipate.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>To minimize volume depletion, do not u</w:t>
      </w:r>
      <w:r>
        <w:rPr>
          <w:rFonts w:eastAsia="HelenPro-Regular"/>
        </w:rPr>
        <w:t xml:space="preserve">se a transfer pipette to remove </w:t>
      </w:r>
      <w:r w:rsidRPr="00C32412">
        <w:rPr>
          <w:rFonts w:eastAsia="HelenPro-Regular"/>
        </w:rPr>
        <w:t>the bubbles.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CAUTION: </w:t>
      </w:r>
      <w:r w:rsidRPr="00C32412">
        <w:rPr>
          <w:rFonts w:eastAsia="HelenPro-Regular"/>
        </w:rPr>
        <w:t>Reagent bubbles may interfere with proper detection of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that could impact results.</w:t>
      </w: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Pr="00C32412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C32412">
        <w:rPr>
          <w:rFonts w:eastAsia="HelenPro-Bold"/>
          <w:b/>
          <w:bCs/>
        </w:rPr>
        <w:t>Reagent Storage</w:t>
      </w:r>
    </w:p>
    <w:p w:rsidR="00C32412" w:rsidRPr="00C3241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Reagent stability is </w:t>
      </w:r>
      <w:r w:rsidR="00AB5F37">
        <w:rPr>
          <w:rFonts w:eastAsia="HelenPro-Regular"/>
        </w:rPr>
        <w:t>60</w:t>
      </w:r>
      <w:r w:rsidRPr="00C32412">
        <w:rPr>
          <w:rFonts w:eastAsia="HelenPro-Regular"/>
        </w:rPr>
        <w:t xml:space="preserve"> days if the reagent is uncapped and onboard.</w:t>
      </w:r>
    </w:p>
    <w:p w:rsidR="0038442D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Regular"/>
        </w:rPr>
        <w:t xml:space="preserve">• Unopened reagents are stable until </w:t>
      </w:r>
      <w:r>
        <w:rPr>
          <w:rFonts w:eastAsia="HelenPro-Regular"/>
        </w:rPr>
        <w:t xml:space="preserve">the expiration date when stored </w:t>
      </w:r>
      <w:r w:rsidRPr="00C32412">
        <w:rPr>
          <w:rFonts w:eastAsia="HelenPro-Regular"/>
        </w:rPr>
        <w:t>at 2 to 8°C.</w:t>
      </w:r>
    </w:p>
    <w:p w:rsidR="00D23735" w:rsidRDefault="00D23735" w:rsidP="00B36577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B36577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D64E39" w:rsidRDefault="00AB5F37" w:rsidP="00D704AC">
      <w:pPr>
        <w:autoSpaceDE w:val="0"/>
        <w:autoSpaceDN w:val="0"/>
        <w:adjustRightInd w:val="0"/>
        <w:rPr>
          <w:rFonts w:eastAsia="HelenPro-Regular"/>
          <w:b/>
          <w:bCs/>
        </w:rPr>
      </w:pPr>
      <w:r w:rsidRPr="00D23735">
        <w:rPr>
          <w:rFonts w:eastAsia="HelenPro-Regular"/>
        </w:rPr>
        <w:t xml:space="preserve">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is supplied as a two-reagent kit which contains:</w:t>
      </w:r>
      <w:r w:rsidR="00C3571A">
        <w:rPr>
          <w:rFonts w:ascii="HelenPro-Regular" w:eastAsia="HelenPro-Regular" w:cs="HelenPro-Regular"/>
          <w:sz w:val="16"/>
          <w:szCs w:val="16"/>
        </w:rPr>
        <w:t xml:space="preserve"> </w:t>
      </w:r>
      <w:r w:rsidR="00020469">
        <w:rPr>
          <w:rFonts w:eastAsia="HelenPro-Regular"/>
          <w:b/>
          <w:bCs/>
        </w:rPr>
        <w:t xml:space="preserve">R1 </w:t>
      </w:r>
      <w:r w:rsidR="00CA5058">
        <w:rPr>
          <w:rFonts w:eastAsia="HelenPro-Regular"/>
          <w:b/>
          <w:bCs/>
        </w:rPr>
        <w:t>&amp; R2</w:t>
      </w:r>
    </w:p>
    <w:p w:rsidR="00D704AC" w:rsidRPr="00D64E39" w:rsidRDefault="00D704AC" w:rsidP="00D704AC">
      <w:pPr>
        <w:autoSpaceDE w:val="0"/>
        <w:autoSpaceDN w:val="0"/>
        <w:adjustRightInd w:val="0"/>
        <w:rPr>
          <w:rFonts w:eastAsia="HelenPro-Regular"/>
        </w:rPr>
      </w:pPr>
    </w:p>
    <w:p w:rsidR="009F648F" w:rsidRPr="009F648F" w:rsidRDefault="00AB5F37" w:rsidP="009F648F">
      <w:pPr>
        <w:pStyle w:val="txt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6EDF09F" wp14:editId="1E71F051">
            <wp:extent cx="4076700" cy="11906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63" w:rsidRDefault="00867A63" w:rsidP="00AB5F37">
      <w:pPr>
        <w:autoSpaceDE w:val="0"/>
        <w:autoSpaceDN w:val="0"/>
        <w:adjustRightInd w:val="0"/>
        <w:rPr>
          <w:b/>
        </w:rPr>
      </w:pPr>
    </w:p>
    <w:p w:rsidR="00AB5F37" w:rsidRDefault="00B36577" w:rsidP="00AB5F37">
      <w:pPr>
        <w:autoSpaceDE w:val="0"/>
        <w:autoSpaceDN w:val="0"/>
        <w:adjustRightInd w:val="0"/>
      </w:pPr>
      <w:r w:rsidRPr="00100BF8">
        <w:rPr>
          <w:b/>
        </w:rPr>
        <w:t>Calibrator:</w:t>
      </w:r>
      <w:r w:rsidRPr="00100BF8">
        <w:t xml:space="preserve">  </w:t>
      </w:r>
    </w:p>
    <w:p w:rsidR="00AB5F37" w:rsidRPr="00D23735" w:rsidRDefault="00D23735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• </w:t>
      </w:r>
      <w:r w:rsidR="00AB5F37" w:rsidRPr="00D23735">
        <w:rPr>
          <w:rFonts w:eastAsia="HelenPro-Regular"/>
        </w:rPr>
        <w:t>6K26-10 MULTIGENT CRP Calibrator Set</w:t>
      </w:r>
    </w:p>
    <w:p w:rsidR="00507B0C" w:rsidRPr="00973EAF" w:rsidRDefault="00507B0C" w:rsidP="00507B0C">
      <w:pPr>
        <w:spacing w:after="43"/>
        <w:rPr>
          <w:i/>
          <w:color w:val="FF0000"/>
          <w:szCs w:val="15"/>
        </w:rPr>
      </w:pPr>
    </w:p>
    <w:p w:rsidR="00973EAF" w:rsidRPr="00973EAF" w:rsidRDefault="00B36577" w:rsidP="00973EAF">
      <w:pPr>
        <w:spacing w:after="43"/>
        <w:rPr>
          <w:i/>
          <w:color w:val="FF0000"/>
          <w:szCs w:val="15"/>
        </w:rPr>
      </w:pPr>
      <w:r w:rsidRPr="007E4CE6">
        <w:rPr>
          <w:b/>
          <w:szCs w:val="14"/>
        </w:rPr>
        <w:t>Quality Control:</w:t>
      </w:r>
      <w:r w:rsidR="00CA11D0" w:rsidRPr="007E4CE6">
        <w:rPr>
          <w:szCs w:val="14"/>
        </w:rPr>
        <w:t xml:space="preserve">  </w:t>
      </w:r>
      <w:r w:rsidR="00D81E5D">
        <w:rPr>
          <w:szCs w:val="14"/>
        </w:rPr>
        <w:t>Chemistry Controls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  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D704AC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Bold"/>
          <w:b/>
          <w:bCs/>
        </w:rPr>
        <w:t xml:space="preserve">NOTE: </w:t>
      </w:r>
      <w:r w:rsidRPr="00D23735">
        <w:rPr>
          <w:rFonts w:eastAsia="HelenPro-Regular"/>
        </w:rPr>
        <w:t xml:space="preserve">The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="00D23735">
        <w:rPr>
          <w:rFonts w:eastAsia="HelenPro-Regular"/>
        </w:rPr>
        <w:t xml:space="preserve"> assay must be calibrated using </w:t>
      </w:r>
      <w:r w:rsidRPr="00D23735">
        <w:rPr>
          <w:rFonts w:eastAsia="HelenPro-Regular"/>
        </w:rPr>
        <w:t>the individual levels listed in the ASSAY PARAMETERS. Refer to the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parameters for the High Sensitivity [CRP16], Standard [CRP32], and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Wide Range [CRP48] methods and the MULTIGENT CRP Calibrator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package insert specific for the method used in your laboratory.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lastRenderedPageBreak/>
        <w:t xml:space="preserve">Calibration is stable for </w:t>
      </w:r>
      <w:r w:rsidR="00AB5F37">
        <w:t>15</w:t>
      </w:r>
      <w:r w:rsidRPr="00E4787B">
        <w:t xml:space="preserve"> days </w:t>
      </w:r>
      <w:r w:rsidR="00AF597C" w:rsidRPr="0055619E">
        <w:t>for any one lot.</w:t>
      </w:r>
      <w:r>
        <w:t xml:space="preserve"> </w:t>
      </w:r>
      <w:r w:rsidR="00D70A7B">
        <w:t>Recalibration is required with each new reagent lot number.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AB5F37" w:rsidRDefault="005E3AB5" w:rsidP="00AB5F37">
      <w:pPr>
        <w:autoSpaceDE w:val="0"/>
        <w:autoSpaceDN w:val="0"/>
        <w:adjustRightInd w:val="0"/>
      </w:pPr>
      <w:r w:rsidRPr="007E4CE6">
        <w:rPr>
          <w:b/>
        </w:rPr>
        <w:t>Calibrator Required:</w:t>
      </w:r>
      <w:r w:rsidRPr="007E4CE6">
        <w:t xml:space="preserve"> </w:t>
      </w:r>
    </w:p>
    <w:p w:rsidR="00AB5F37" w:rsidRPr="00D23735" w:rsidRDefault="005E3AB5" w:rsidP="00D23735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D23735">
        <w:t xml:space="preserve"> </w:t>
      </w:r>
      <w:r w:rsidR="00D23735" w:rsidRPr="00D23735">
        <w:rPr>
          <w:rFonts w:eastAsia="HelenPro-Regular"/>
        </w:rPr>
        <w:t xml:space="preserve">• </w:t>
      </w:r>
      <w:r w:rsidR="00AB5F37" w:rsidRPr="00D23735">
        <w:rPr>
          <w:rFonts w:eastAsia="HelenPro-Regular"/>
        </w:rPr>
        <w:t>6K26-10 MULTIGENT CRP Calibrator Set</w:t>
      </w:r>
    </w:p>
    <w:p w:rsidR="00714F24" w:rsidRDefault="00714F24" w:rsidP="0025031C">
      <w:pPr>
        <w:spacing w:after="43"/>
        <w:ind w:firstLine="720"/>
        <w:rPr>
          <w:color w:val="000000"/>
          <w:szCs w:val="14"/>
        </w:rPr>
      </w:pPr>
    </w:p>
    <w:p w:rsidR="0025031C" w:rsidRPr="0025031C" w:rsidRDefault="0025031C" w:rsidP="004F5F8A">
      <w:pPr>
        <w:ind w:firstLine="720"/>
        <w:rPr>
          <w:b/>
        </w:rPr>
      </w:pPr>
      <w:r w:rsidRPr="0025031C">
        <w:rPr>
          <w:b/>
        </w:rPr>
        <w:t>Reagents:</w:t>
      </w:r>
    </w:p>
    <w:p w:rsidR="00867A63" w:rsidRPr="00867A63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>6K26-10 MULTIGENT CRP Calibrator Set contai</w:t>
      </w:r>
      <w:r>
        <w:rPr>
          <w:rFonts w:eastAsia="HelenPro-Regular"/>
        </w:rPr>
        <w:t xml:space="preserve">ns the following </w:t>
      </w:r>
      <w:r w:rsidRPr="00867A63">
        <w:rPr>
          <w:rFonts w:eastAsia="HelenPro-Regular"/>
        </w:rPr>
        <w:t>calibration levels, prepared by diluting CRP with human serum and</w:t>
      </w:r>
      <w:r>
        <w:rPr>
          <w:rFonts w:eastAsia="HelenPro-Regular"/>
        </w:rPr>
        <w:t xml:space="preserve"> </w:t>
      </w:r>
      <w:r w:rsidRPr="00867A63">
        <w:rPr>
          <w:rFonts w:eastAsia="HelenPro-Regular"/>
        </w:rPr>
        <w:t xml:space="preserve">stabilized by adding sodium </w:t>
      </w:r>
      <w:proofErr w:type="spellStart"/>
      <w:r w:rsidRPr="00867A63">
        <w:rPr>
          <w:rFonts w:eastAsia="HelenPro-Regular"/>
        </w:rPr>
        <w:t>azide</w:t>
      </w:r>
      <w:proofErr w:type="spellEnd"/>
      <w:r w:rsidRPr="00867A63">
        <w:rPr>
          <w:rFonts w:eastAsia="HelenPro-Regular"/>
        </w:rPr>
        <w:t xml:space="preserve"> (&lt; 0.1%).</w:t>
      </w:r>
    </w:p>
    <w:p w:rsidR="00D704AC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>The values assigned and the color of</w:t>
      </w:r>
      <w:r>
        <w:rPr>
          <w:rFonts w:eastAsia="HelenPro-Regular"/>
        </w:rPr>
        <w:t xml:space="preserve"> the caps corresponding to each </w:t>
      </w:r>
      <w:r w:rsidRPr="00867A63">
        <w:rPr>
          <w:rFonts w:eastAsia="HelenPro-Regular"/>
        </w:rPr>
        <w:t>level are indicated in the table below.</w:t>
      </w:r>
    </w:p>
    <w:p w:rsidR="00867A63" w:rsidRDefault="00867A63" w:rsidP="00867A63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0DE444FC" wp14:editId="276E54D7">
            <wp:extent cx="3913632" cy="1627632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63" w:rsidRDefault="00867A63" w:rsidP="00867A63">
      <w:pPr>
        <w:autoSpaceDE w:val="0"/>
        <w:autoSpaceDN w:val="0"/>
        <w:adjustRightInd w:val="0"/>
        <w:rPr>
          <w:rFonts w:eastAsia="HelenPro-Regular"/>
        </w:rPr>
      </w:pPr>
    </w:p>
    <w:p w:rsidR="00867A63" w:rsidRDefault="00867A63" w:rsidP="00867A63">
      <w:pPr>
        <w:autoSpaceDE w:val="0"/>
        <w:autoSpaceDN w:val="0"/>
        <w:adjustRightInd w:val="0"/>
        <w:rPr>
          <w:rFonts w:eastAsia="HelenPro-Regular"/>
        </w:rPr>
      </w:pPr>
    </w:p>
    <w:p w:rsidR="00F3700B" w:rsidRPr="002C2F49" w:rsidRDefault="0037463A" w:rsidP="00F3700B">
      <w:pPr>
        <w:ind w:left="720"/>
      </w:pPr>
      <w:r w:rsidRPr="002C2F49">
        <w:rPr>
          <w:b/>
        </w:rPr>
        <w:t xml:space="preserve">Calibrator Preparation: </w:t>
      </w:r>
    </w:p>
    <w:p w:rsidR="00EE401E" w:rsidRDefault="00867A63" w:rsidP="00660729">
      <w:pPr>
        <w:autoSpaceDE w:val="0"/>
        <w:autoSpaceDN w:val="0"/>
        <w:adjustRightInd w:val="0"/>
        <w:ind w:left="720"/>
        <w:rPr>
          <w:rFonts w:ascii="HelenPro-Regular" w:eastAsia="HelenPro-Regular" w:cs="HelenPro-Regular"/>
          <w:sz w:val="16"/>
          <w:szCs w:val="16"/>
        </w:rPr>
      </w:pPr>
      <w:r w:rsidRPr="00867A63">
        <w:rPr>
          <w:rFonts w:eastAsia="HelenPro-Regular"/>
        </w:rPr>
        <w:t>Calibrator Se</w:t>
      </w:r>
      <w:r>
        <w:rPr>
          <w:rFonts w:eastAsia="HelenPro-Regular"/>
        </w:rPr>
        <w:t>t</w:t>
      </w:r>
      <w:r w:rsidR="00660729">
        <w:rPr>
          <w:rFonts w:eastAsia="HelenPro-Regular"/>
        </w:rPr>
        <w:t>s require</w:t>
      </w:r>
      <w:r>
        <w:rPr>
          <w:rFonts w:eastAsia="HelenPro-Regular"/>
        </w:rPr>
        <w:t xml:space="preserve"> no preparation prior </w:t>
      </w:r>
      <w:r w:rsidRPr="00867A63">
        <w:rPr>
          <w:rFonts w:eastAsia="HelenPro-Regular"/>
        </w:rPr>
        <w:t>to use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867A63" w:rsidRPr="00867A63" w:rsidRDefault="00867A63" w:rsidP="00867A63">
      <w:pPr>
        <w:autoSpaceDE w:val="0"/>
        <w:autoSpaceDN w:val="0"/>
        <w:adjustRightInd w:val="0"/>
        <w:rPr>
          <w:rFonts w:eastAsia="HelenPro-Regular"/>
        </w:rPr>
      </w:pPr>
    </w:p>
    <w:p w:rsidR="004F5F8A" w:rsidRPr="002C2F49" w:rsidRDefault="0025031C" w:rsidP="00AD402C">
      <w:pPr>
        <w:ind w:firstLine="720"/>
        <w:rPr>
          <w:b/>
        </w:rPr>
      </w:pPr>
      <w:r w:rsidRPr="002C2F49">
        <w:rPr>
          <w:b/>
        </w:rPr>
        <w:t>Calibration Procedure:</w:t>
      </w:r>
      <w:r w:rsidR="0006502B" w:rsidRPr="002C2F49">
        <w:rPr>
          <w:b/>
        </w:rPr>
        <w:t xml:space="preserve"> </w:t>
      </w:r>
    </w:p>
    <w:p w:rsidR="00867A63" w:rsidRPr="00867A63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>1. Enter the calibrator values provided</w:t>
      </w:r>
      <w:r>
        <w:rPr>
          <w:rFonts w:eastAsia="HelenPro-Regular"/>
        </w:rPr>
        <w:t xml:space="preserve"> in the following table for the </w:t>
      </w:r>
      <w:r w:rsidRPr="00867A63">
        <w:rPr>
          <w:rFonts w:eastAsia="HelenPro-Regular"/>
        </w:rPr>
        <w:t>Standard method. For the High Sensitivity and Wide Range methods,</w:t>
      </w:r>
      <w:r>
        <w:rPr>
          <w:rFonts w:eastAsia="HelenPro-Regular"/>
        </w:rPr>
        <w:t xml:space="preserve"> </w:t>
      </w:r>
      <w:r w:rsidRPr="00867A63">
        <w:rPr>
          <w:rFonts w:eastAsia="HelenPro-Regular"/>
        </w:rPr>
        <w:t xml:space="preserve">refer to the </w:t>
      </w:r>
      <w:r>
        <w:rPr>
          <w:rFonts w:eastAsia="HelenPro-Regular"/>
        </w:rPr>
        <w:t xml:space="preserve">tables </w:t>
      </w:r>
      <w:r w:rsidR="00660729">
        <w:rPr>
          <w:rFonts w:eastAsia="HelenPro-Regular"/>
        </w:rPr>
        <w:t>below</w:t>
      </w:r>
      <w:r w:rsidRPr="00867A63">
        <w:rPr>
          <w:rFonts w:eastAsia="HelenPro-Regular"/>
        </w:rPr>
        <w:t>.</w:t>
      </w:r>
    </w:p>
    <w:p w:rsidR="00867A63" w:rsidRPr="00867A63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 xml:space="preserve">2. Mix bottles several times by gentle </w:t>
      </w:r>
      <w:r>
        <w:rPr>
          <w:rFonts w:eastAsia="HelenPro-Regular"/>
        </w:rPr>
        <w:t xml:space="preserve">inversion to ensure homogeneity </w:t>
      </w:r>
      <w:r w:rsidRPr="00867A63">
        <w:rPr>
          <w:rFonts w:eastAsia="HelenPro-Regular"/>
        </w:rPr>
        <w:t>of the solution.</w:t>
      </w:r>
    </w:p>
    <w:p w:rsidR="00867A63" w:rsidRPr="00867A63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>3. Open the bottles, place an appropriate amount of each calibrator in a</w:t>
      </w:r>
      <w:r>
        <w:rPr>
          <w:rFonts w:eastAsia="HelenPro-Regular"/>
        </w:rPr>
        <w:t xml:space="preserve"> separate sample cup, and place </w:t>
      </w:r>
      <w:r w:rsidRPr="00867A63">
        <w:rPr>
          <w:rFonts w:eastAsia="HelenPro-Regular"/>
        </w:rPr>
        <w:t>in the assigned positions.</w:t>
      </w:r>
    </w:p>
    <w:p w:rsidR="00867A63" w:rsidRPr="00867A63" w:rsidRDefault="00867A63" w:rsidP="00660729">
      <w:pPr>
        <w:autoSpaceDE w:val="0"/>
        <w:autoSpaceDN w:val="0"/>
        <w:adjustRightInd w:val="0"/>
        <w:ind w:left="720"/>
        <w:rPr>
          <w:rFonts w:eastAsia="HelenPro-Regular"/>
        </w:rPr>
      </w:pPr>
      <w:r w:rsidRPr="00867A63">
        <w:rPr>
          <w:rFonts w:eastAsia="HelenPro-Regular"/>
        </w:rPr>
        <w:t>4. Cap bottles tightly and return to refrigerated storage immediately after</w:t>
      </w:r>
      <w:r>
        <w:rPr>
          <w:rFonts w:eastAsia="HelenPro-Regular"/>
        </w:rPr>
        <w:t xml:space="preserve"> </w:t>
      </w:r>
      <w:r w:rsidRPr="00867A63">
        <w:rPr>
          <w:rFonts w:eastAsia="HelenPro-Regular"/>
        </w:rPr>
        <w:t>use. Always return each cap to its original bottle.</w:t>
      </w:r>
    </w:p>
    <w:p w:rsidR="002C2F49" w:rsidRPr="00660729" w:rsidRDefault="00867A63" w:rsidP="00660729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867A63">
        <w:rPr>
          <w:rFonts w:eastAsia="HelenPro-Regular"/>
        </w:rPr>
        <w:t xml:space="preserve">5. Perform calibration as indicated in </w:t>
      </w:r>
      <w:r w:rsidRPr="00867A63">
        <w:rPr>
          <w:rFonts w:eastAsia="HelenPro-Regular"/>
          <w:i/>
          <w:iCs/>
        </w:rPr>
        <w:t xml:space="preserve">Section 6 </w:t>
      </w:r>
      <w:r w:rsidRPr="00867A63">
        <w:rPr>
          <w:rFonts w:eastAsia="HelenPro-Regular"/>
        </w:rPr>
        <w:t xml:space="preserve">of the </w:t>
      </w:r>
      <w:r w:rsidRPr="00867A63">
        <w:rPr>
          <w:rFonts w:eastAsia="HelenPro-Bold"/>
          <w:b/>
          <w:bCs/>
        </w:rPr>
        <w:t>ARCHITECT</w:t>
      </w:r>
      <w:r w:rsidR="00660729">
        <w:rPr>
          <w:rFonts w:eastAsia="HelenPro-Bold"/>
          <w:b/>
          <w:bCs/>
        </w:rPr>
        <w:t xml:space="preserve"> </w:t>
      </w:r>
      <w:r w:rsidRPr="00867A63">
        <w:rPr>
          <w:rFonts w:eastAsia="HelenPro-Bold"/>
          <w:b/>
          <w:bCs/>
        </w:rPr>
        <w:t>System Operations Manual</w:t>
      </w:r>
      <w:r w:rsidRPr="00867A63">
        <w:rPr>
          <w:rFonts w:eastAsia="HelenPro-Regular"/>
        </w:rPr>
        <w:t>.</w:t>
      </w:r>
    </w:p>
    <w:p w:rsidR="00867A63" w:rsidRDefault="00867A63" w:rsidP="00867A63">
      <w:pPr>
        <w:ind w:left="72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06431B5" wp14:editId="46387A4E">
            <wp:extent cx="3829050" cy="157162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63" w:rsidRDefault="00867A63" w:rsidP="00867A63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Pr="00F3700B" w:rsidRDefault="006A13AB" w:rsidP="00D704AC">
      <w:pPr>
        <w:autoSpaceDE w:val="0"/>
        <w:autoSpaceDN w:val="0"/>
        <w:adjustRightInd w:val="0"/>
        <w:ind w:firstLine="720"/>
        <w:rPr>
          <w:rFonts w:eastAsia="HelenPro-Regular"/>
        </w:rPr>
      </w:pPr>
      <w:r w:rsidRPr="006A13AB">
        <w:rPr>
          <w:rFonts w:eastAsia="HelenPro-Regular"/>
        </w:rPr>
        <w:t xml:space="preserve">• </w:t>
      </w:r>
      <w:r w:rsidR="00AB5F37">
        <w:rPr>
          <w:rFonts w:eastAsia="HelenPro-Regular"/>
        </w:rPr>
        <w:t>Analyze at least 2 levels of controls in 24 hours.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Default="00A554D4" w:rsidP="002C7FD5">
      <w:pPr>
        <w:rPr>
          <w:rFonts w:eastAsia="HelenPro-Regular"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173EA4" w:rsidRDefault="00173EA4" w:rsidP="002C7FD5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C3571A" w:rsidRDefault="00C3571A" w:rsidP="00C3571A">
      <w:pPr>
        <w:autoSpaceDE w:val="0"/>
        <w:autoSpaceDN w:val="0"/>
        <w:adjustRightInd w:val="0"/>
        <w:rPr>
          <w:rFonts w:eastAsia="HelenPro-Regular"/>
        </w:rPr>
      </w:pPr>
      <w:r w:rsidRPr="00C3571A">
        <w:rPr>
          <w:rFonts w:eastAsia="HelenPro-Regular"/>
        </w:rPr>
        <w:t xml:space="preserve">The result unit for the </w:t>
      </w:r>
      <w:r w:rsidR="00D23735">
        <w:rPr>
          <w:rFonts w:eastAsia="HelenPro-Regular"/>
        </w:rPr>
        <w:t xml:space="preserve">CRP </w:t>
      </w:r>
      <w:proofErr w:type="spellStart"/>
      <w:r w:rsidR="00D23735">
        <w:rPr>
          <w:rFonts w:eastAsia="HelenPro-Regular"/>
        </w:rPr>
        <w:t>Vario</w:t>
      </w:r>
      <w:proofErr w:type="spellEnd"/>
      <w:r w:rsidR="00173EA4">
        <w:rPr>
          <w:rFonts w:eastAsia="HelenPro-Regular"/>
        </w:rPr>
        <w:t xml:space="preserve"> assay can be reported in </w:t>
      </w:r>
      <w:r w:rsidR="00D23735">
        <w:rPr>
          <w:rFonts w:eastAsia="HelenPro-Regular"/>
        </w:rPr>
        <w:t>mg/</w:t>
      </w:r>
      <w:proofErr w:type="spellStart"/>
      <w:r w:rsidR="00D23735">
        <w:rPr>
          <w:rFonts w:eastAsia="HelenPro-Regular"/>
        </w:rPr>
        <w:t>dL</w:t>
      </w:r>
      <w:proofErr w:type="spellEnd"/>
      <w:r w:rsidR="00D23735">
        <w:rPr>
          <w:rFonts w:eastAsia="HelenPro-Regular"/>
        </w:rPr>
        <w:t xml:space="preserve"> or mg/L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6A15AE" w:rsidRDefault="006A15AE" w:rsidP="00AB793D">
      <w:pPr>
        <w:rPr>
          <w:rFonts w:ascii="Arial" w:hAnsi="Arial" w:cs="Arial"/>
          <w:b/>
          <w:bCs/>
        </w:rPr>
      </w:pPr>
    </w:p>
    <w:p w:rsidR="00A554D4" w:rsidRPr="00933E23" w:rsidRDefault="00A554D4" w:rsidP="00AB793D">
      <w:pPr>
        <w:rPr>
          <w:rFonts w:ascii="Arial" w:hAnsi="Arial" w:cs="Arial"/>
          <w:bCs/>
        </w:rPr>
      </w:pPr>
      <w:r w:rsidRPr="00003750">
        <w:rPr>
          <w:rFonts w:ascii="Arial" w:hAnsi="Arial" w:cs="Arial"/>
          <w:b/>
          <w:bCs/>
        </w:rPr>
        <w:t>Serum/Plasma</w:t>
      </w:r>
      <w:r w:rsidR="00933E23">
        <w:rPr>
          <w:rFonts w:ascii="Arial" w:hAnsi="Arial" w:cs="Arial"/>
          <w:b/>
          <w:bCs/>
        </w:rPr>
        <w:t xml:space="preserve">: </w:t>
      </w:r>
      <w:r w:rsidR="00933E23">
        <w:rPr>
          <w:rFonts w:ascii="Arial" w:hAnsi="Arial" w:cs="Arial"/>
          <w:bCs/>
        </w:rPr>
        <w:t>0-5.0 mg/L</w:t>
      </w:r>
    </w:p>
    <w:p w:rsidR="00DA6C6A" w:rsidRDefault="00DA6C6A" w:rsidP="00DA6C6A">
      <w:pPr>
        <w:rPr>
          <w:rFonts w:eastAsia="HelenPro-Bold"/>
          <w:b/>
          <w:bCs/>
        </w:rPr>
      </w:pPr>
    </w:p>
    <w:p w:rsidR="00DA6C6A" w:rsidRPr="00867A63" w:rsidRDefault="00D23735" w:rsidP="00867A63">
      <w:pPr>
        <w:autoSpaceDE w:val="0"/>
        <w:autoSpaceDN w:val="0"/>
        <w:adjustRightInd w:val="0"/>
        <w:rPr>
          <w:rFonts w:eastAsia="HelenPro-Regular"/>
        </w:rPr>
      </w:pPr>
      <w:r w:rsidRPr="00867A63">
        <w:rPr>
          <w:rFonts w:eastAsia="HelenPro-Regular"/>
        </w:rPr>
        <w:lastRenderedPageBreak/>
        <w:t>CRP is an acute phase protein whose concentration rises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non</w:t>
      </w:r>
      <w:r w:rsidRPr="00D23735">
        <w:rPr>
          <w:rFonts w:ascii="MS Mincho" w:eastAsia="MS Mincho" w:hAnsi="MS Mincho" w:cs="MS Mincho" w:hint="eastAsia"/>
        </w:rPr>
        <w:t>‑</w:t>
      </w:r>
      <w:r w:rsidRPr="00D23735">
        <w:rPr>
          <w:rFonts w:eastAsia="HelenPro-Regular"/>
        </w:rPr>
        <w:t>specifically in response to inflammation. CRP values should not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be interpreted without a complete clinical evaluation. Follow-up testing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of patients with elevated values is recommended in order to help rule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out a recent response to undetected infection or tissue injury</w:t>
      </w:r>
    </w:p>
    <w:p w:rsidR="00867A63" w:rsidRDefault="00867A63" w:rsidP="00AB793D">
      <w:pPr>
        <w:rPr>
          <w:b/>
          <w:bCs/>
        </w:rPr>
      </w:pPr>
    </w:p>
    <w:p w:rsidR="00B63E8F" w:rsidRPr="00D23735" w:rsidRDefault="00B63E8F" w:rsidP="00623EFB">
      <w:pPr>
        <w:ind w:right="720"/>
        <w:jc w:val="both"/>
        <w:rPr>
          <w:b/>
        </w:rPr>
      </w:pPr>
      <w:r w:rsidRPr="00D23735">
        <w:rPr>
          <w:b/>
        </w:rPr>
        <w:t>Critical Value</w:t>
      </w:r>
      <w:r w:rsidR="00933E23">
        <w:rPr>
          <w:b/>
        </w:rPr>
        <w:t>s: N/A</w:t>
      </w:r>
    </w:p>
    <w:p w:rsidR="0038442D" w:rsidRPr="00D23735" w:rsidRDefault="0038442D" w:rsidP="00AB793D">
      <w:pPr>
        <w:rPr>
          <w:b/>
        </w:rPr>
      </w:pPr>
    </w:p>
    <w:p w:rsidR="00D5211B" w:rsidRPr="00867A63" w:rsidRDefault="005E3D52" w:rsidP="00AB793D">
      <w:pPr>
        <w:rPr>
          <w:i/>
          <w:color w:val="FF0000"/>
          <w:sz w:val="28"/>
          <w:szCs w:val="28"/>
        </w:rPr>
      </w:pPr>
      <w:r w:rsidRPr="00867A63">
        <w:rPr>
          <w:b/>
          <w:sz w:val="28"/>
          <w:szCs w:val="28"/>
        </w:rPr>
        <w:t>Performance Characteristics</w:t>
      </w:r>
      <w:r w:rsidR="00973EAF" w:rsidRPr="00867A63">
        <w:rPr>
          <w:b/>
          <w:sz w:val="28"/>
          <w:szCs w:val="28"/>
        </w:rPr>
        <w:t xml:space="preserve"> </w:t>
      </w:r>
    </w:p>
    <w:p w:rsidR="00B45FE2" w:rsidRPr="00D23735" w:rsidRDefault="00D23735" w:rsidP="00B45FE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D23735">
        <w:rPr>
          <w:rFonts w:eastAsia="HelenPro-Bold"/>
          <w:b/>
          <w:bCs/>
        </w:rPr>
        <w:t>Reportable Range</w:t>
      </w:r>
    </w:p>
    <w:p w:rsidR="00D23735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The reportable range for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is:</w:t>
      </w:r>
    </w:p>
    <w:p w:rsidR="00D23735" w:rsidRPr="00867A63" w:rsidRDefault="00D23735" w:rsidP="00867A6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="HelenPro-Regular"/>
        </w:rPr>
      </w:pPr>
      <w:r w:rsidRPr="00867A63">
        <w:rPr>
          <w:rFonts w:eastAsia="HelenPro-Regular"/>
        </w:rPr>
        <w:t>Standard Method 0.02 to 32.00 mg/</w:t>
      </w:r>
      <w:proofErr w:type="spellStart"/>
      <w:r w:rsidRPr="00867A63">
        <w:rPr>
          <w:rFonts w:eastAsia="HelenPro-Regular"/>
        </w:rPr>
        <w:t>dL</w:t>
      </w:r>
      <w:proofErr w:type="spellEnd"/>
      <w:r w:rsidRPr="00867A63">
        <w:rPr>
          <w:rFonts w:eastAsia="HelenPro-Regular"/>
        </w:rPr>
        <w:t xml:space="preserve"> (0.2 to 320 mg/L)</w:t>
      </w:r>
    </w:p>
    <w:p w:rsidR="00D704AC" w:rsidRPr="00867A63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All methods were tested for </w:t>
      </w:r>
      <w:proofErr w:type="spellStart"/>
      <w:r w:rsidRPr="00D23735">
        <w:rPr>
          <w:rFonts w:eastAsia="HelenPro-Regular"/>
        </w:rPr>
        <w:t>prozone</w:t>
      </w:r>
      <w:proofErr w:type="spellEnd"/>
      <w:r w:rsidRPr="00D23735">
        <w:rPr>
          <w:rFonts w:eastAsia="HelenPro-Regular"/>
        </w:rPr>
        <w:t xml:space="preserve"> up to a CRP concentration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of 100 mg/</w:t>
      </w:r>
      <w:proofErr w:type="spellStart"/>
      <w:r w:rsidRPr="00D23735">
        <w:rPr>
          <w:rFonts w:eastAsia="HelenPro-Regular"/>
        </w:rPr>
        <w:t>dL</w:t>
      </w:r>
      <w:proofErr w:type="spellEnd"/>
      <w:r w:rsidRPr="00D23735">
        <w:rPr>
          <w:rFonts w:eastAsia="HelenPro-Regular"/>
        </w:rPr>
        <w:t xml:space="preserve"> (1,000 mg/L). No </w:t>
      </w:r>
      <w:proofErr w:type="spellStart"/>
      <w:r w:rsidRPr="00D23735">
        <w:rPr>
          <w:rFonts w:eastAsia="HelenPro-Regular"/>
        </w:rPr>
        <w:t>prozone</w:t>
      </w:r>
      <w:proofErr w:type="spellEnd"/>
      <w:r w:rsidRPr="00D23735">
        <w:rPr>
          <w:rFonts w:eastAsia="HelenPro-Regular"/>
        </w:rPr>
        <w:t xml:space="preserve"> effect was observed within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the linear range of the assay. At 100 mg/</w:t>
      </w:r>
      <w:proofErr w:type="spellStart"/>
      <w:r w:rsidRPr="00D23735">
        <w:rPr>
          <w:rFonts w:eastAsia="HelenPro-Regular"/>
        </w:rPr>
        <w:t>dL</w:t>
      </w:r>
      <w:proofErr w:type="spellEnd"/>
      <w:r w:rsidRPr="00D23735">
        <w:rPr>
          <w:rFonts w:eastAsia="HelenPro-Regular"/>
        </w:rPr>
        <w:t xml:space="preserve"> (1,000 mg/L) the observed</w:t>
      </w:r>
      <w:r w:rsidR="00867A63">
        <w:rPr>
          <w:rFonts w:eastAsia="HelenPro-Regular"/>
        </w:rPr>
        <w:t xml:space="preserve"> </w:t>
      </w:r>
      <w:r w:rsidRPr="00D23735">
        <w:rPr>
          <w:rFonts w:eastAsia="HelenPro-Regular"/>
        </w:rPr>
        <w:t>result was correctly flagged as above the linearity of the assay.</w:t>
      </w:r>
    </w:p>
    <w:p w:rsidR="00D23735" w:rsidRPr="00D23735" w:rsidRDefault="00D23735" w:rsidP="00D704AC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23735" w:rsidRPr="00D23735" w:rsidRDefault="00D23735" w:rsidP="00D23735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D23735">
        <w:rPr>
          <w:rFonts w:eastAsia="HelenPro-Bold"/>
          <w:b/>
          <w:bCs/>
        </w:rPr>
        <w:t>Limit of Quantitation (LOQ)</w:t>
      </w:r>
    </w:p>
    <w:p w:rsidR="00D23735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The LOQ is the </w:t>
      </w:r>
      <w:proofErr w:type="spellStart"/>
      <w:r w:rsidRPr="00D23735">
        <w:rPr>
          <w:rFonts w:eastAsia="HelenPro-Regular"/>
        </w:rPr>
        <w:t>analyte</w:t>
      </w:r>
      <w:proofErr w:type="spellEnd"/>
      <w:r w:rsidRPr="00D23735">
        <w:rPr>
          <w:rFonts w:eastAsia="HelenPro-Regular"/>
        </w:rPr>
        <w:t xml:space="preserve"> concentration at which the CV = 20%. The limit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of quantification for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is:</w:t>
      </w:r>
    </w:p>
    <w:p w:rsidR="00015B4F" w:rsidRPr="00867A63" w:rsidRDefault="00D23735" w:rsidP="00867A63">
      <w:pPr>
        <w:pStyle w:val="ListParagraph"/>
        <w:numPr>
          <w:ilvl w:val="0"/>
          <w:numId w:val="15"/>
        </w:numPr>
        <w:rPr>
          <w:rFonts w:eastAsia="HelenPro-Bold"/>
          <w:b/>
          <w:bCs/>
        </w:rPr>
      </w:pPr>
      <w:r w:rsidRPr="00867A63">
        <w:rPr>
          <w:rFonts w:eastAsia="HelenPro-Regular"/>
        </w:rPr>
        <w:t>Standard 0.02 mg/</w:t>
      </w:r>
      <w:proofErr w:type="spellStart"/>
      <w:r w:rsidRPr="00867A63">
        <w:rPr>
          <w:rFonts w:eastAsia="HelenPro-Regular"/>
        </w:rPr>
        <w:t>dL</w:t>
      </w:r>
      <w:proofErr w:type="spellEnd"/>
      <w:r w:rsidRPr="00867A63">
        <w:rPr>
          <w:rFonts w:eastAsia="HelenPro-Regular"/>
        </w:rPr>
        <w:t xml:space="preserve"> (0.2 mg/L)</w:t>
      </w:r>
    </w:p>
    <w:p w:rsidR="00D704AC" w:rsidRPr="00D23735" w:rsidRDefault="00D704AC" w:rsidP="002C2F49">
      <w:pPr>
        <w:rPr>
          <w:rFonts w:eastAsia="HelenPro-Bold"/>
          <w:b/>
          <w:bCs/>
        </w:rPr>
      </w:pPr>
    </w:p>
    <w:p w:rsidR="00912FE4" w:rsidRPr="00D23735" w:rsidRDefault="00912FE4" w:rsidP="002C2F49">
      <w:pPr>
        <w:rPr>
          <w:rFonts w:eastAsia="HelenPro-Bold"/>
          <w:b/>
          <w:bCs/>
        </w:rPr>
      </w:pPr>
      <w:r w:rsidRPr="00D23735">
        <w:rPr>
          <w:rFonts w:eastAsia="HelenPro-Bold"/>
          <w:b/>
          <w:bCs/>
        </w:rPr>
        <w:t>Dilution:</w:t>
      </w:r>
      <w:r w:rsidR="00973EAF" w:rsidRPr="00D23735">
        <w:rPr>
          <w:rFonts w:eastAsia="HelenPro-Bold"/>
          <w:b/>
          <w:bCs/>
        </w:rPr>
        <w:t xml:space="preserve"> 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Bold"/>
          <w:b/>
          <w:bCs/>
        </w:rPr>
        <w:t xml:space="preserve">Serum and Plasma: </w:t>
      </w:r>
      <w:r w:rsidRPr="00D23735">
        <w:rPr>
          <w:rFonts w:eastAsia="HelenPro-Regular"/>
        </w:rPr>
        <w:t>Specimens with CRP values exceeding the linearity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are flagged and may be diluted by following either the Automated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Dilution Protocol or the Manual Dilution Procedure.</w:t>
      </w:r>
    </w:p>
    <w:p w:rsidR="00D23735" w:rsidRDefault="00D23735" w:rsidP="00AB5F37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D23735">
        <w:rPr>
          <w:rFonts w:eastAsia="HelenPro-Bold"/>
          <w:b/>
          <w:bCs/>
          <w:i/>
          <w:iCs/>
        </w:rPr>
        <w:t>Automated Dilution Protocol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If using the Automated Dilution Protocol, the system performs a dilution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of the specimen and automatically corrects the concentration by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multiplying the result by the appropriate dilution factor. The dilution for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each method is listed below.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  <w:u w:val="single"/>
        </w:rPr>
      </w:pPr>
      <w:r w:rsidRPr="00D23735">
        <w:rPr>
          <w:rFonts w:eastAsia="HelenPro-Regular"/>
          <w:u w:val="single"/>
        </w:rPr>
        <w:t xml:space="preserve">Method </w:t>
      </w:r>
      <w:r w:rsidR="00D23735" w:rsidRPr="00D23735">
        <w:rPr>
          <w:rFonts w:eastAsia="HelenPro-Regular"/>
          <w:u w:val="single"/>
        </w:rPr>
        <w:tab/>
      </w:r>
      <w:r w:rsidR="00D23735" w:rsidRPr="00D23735">
        <w:rPr>
          <w:rFonts w:eastAsia="HelenPro-Regular"/>
          <w:u w:val="single"/>
        </w:rPr>
        <w:tab/>
      </w:r>
      <w:r w:rsidR="00D23735" w:rsidRPr="00D23735">
        <w:rPr>
          <w:rFonts w:eastAsia="HelenPro-Regular"/>
          <w:u w:val="single"/>
        </w:rPr>
        <w:tab/>
      </w:r>
      <w:r w:rsidRPr="00D23735">
        <w:rPr>
          <w:rFonts w:eastAsia="HelenPro-Regular"/>
          <w:u w:val="single"/>
        </w:rPr>
        <w:t>Dilution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Standard </w:t>
      </w:r>
      <w:r w:rsidR="00D23735" w:rsidRPr="00D23735">
        <w:rPr>
          <w:rFonts w:eastAsia="HelenPro-Regular"/>
        </w:rPr>
        <w:tab/>
      </w:r>
      <w:r w:rsidR="00D23735" w:rsidRPr="00D23735">
        <w:rPr>
          <w:rFonts w:eastAsia="HelenPro-Regular"/>
        </w:rPr>
        <w:tab/>
      </w:r>
      <w:r w:rsidR="00D23735" w:rsidRPr="00D23735">
        <w:rPr>
          <w:rFonts w:eastAsia="HelenPro-Regular"/>
        </w:rPr>
        <w:tab/>
      </w:r>
      <w:r w:rsidRPr="00D23735">
        <w:rPr>
          <w:rFonts w:eastAsia="HelenPro-Regular"/>
        </w:rPr>
        <w:t>1:5</w:t>
      </w:r>
    </w:p>
    <w:p w:rsidR="00D23735" w:rsidRDefault="00D23735" w:rsidP="00AB5F37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Bold"/>
          <w:b/>
          <w:bCs/>
          <w:i/>
          <w:iCs/>
        </w:rPr>
      </w:pPr>
      <w:r w:rsidRPr="00D23735">
        <w:rPr>
          <w:rFonts w:eastAsia="HelenPro-Bold"/>
          <w:b/>
          <w:bCs/>
          <w:i/>
          <w:iCs/>
        </w:rPr>
        <w:t>Manual Dilution Procedure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• Use saline (0.85% to 0.90% </w:t>
      </w:r>
      <w:proofErr w:type="spellStart"/>
      <w:r w:rsidRPr="00D23735">
        <w:rPr>
          <w:rFonts w:eastAsia="HelenPro-Regular"/>
        </w:rPr>
        <w:t>NaCl</w:t>
      </w:r>
      <w:proofErr w:type="spellEnd"/>
      <w:r w:rsidRPr="00D23735">
        <w:rPr>
          <w:rFonts w:eastAsia="HelenPro-Regular"/>
        </w:rPr>
        <w:t>) to dilute the sample.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• The operator must enter the dilution factor in the patient or control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order screen. The system uses this dilution factor to automatically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correct the concentration by multiplying the result by the entered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factor.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• If the operator does not enter the dilution factor, the result must be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multiplied by the appropriate dilution factor before reporting the result.</w:t>
      </w:r>
    </w:p>
    <w:p w:rsidR="00AB5F37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Bold"/>
          <w:b/>
          <w:bCs/>
        </w:rPr>
        <w:t xml:space="preserve">NOTE: </w:t>
      </w:r>
      <w:r w:rsidRPr="00D23735">
        <w:rPr>
          <w:rFonts w:eastAsia="HelenPro-Regular"/>
        </w:rPr>
        <w:t>If a diluted sample result is flagged indicating it is less than the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linear low limit, do not report the result. Rerun using an appropriate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Regular"/>
        </w:rPr>
        <w:t>dilution.</w:t>
      </w:r>
    </w:p>
    <w:p w:rsidR="00015B4F" w:rsidRPr="00D23735" w:rsidRDefault="00AB5F37" w:rsidP="00AB5F37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For detailed information on ordering dilutions, refer to </w:t>
      </w:r>
      <w:r w:rsidRPr="00D23735">
        <w:rPr>
          <w:rFonts w:eastAsia="HelenPro-Bold"/>
          <w:i/>
          <w:iCs/>
        </w:rPr>
        <w:t xml:space="preserve">Section 5 </w:t>
      </w:r>
      <w:r w:rsidRPr="00D23735">
        <w:rPr>
          <w:rFonts w:eastAsia="HelenPro-Regular"/>
        </w:rPr>
        <w:t>of the</w:t>
      </w:r>
      <w:r w:rsidR="00D23735">
        <w:rPr>
          <w:rFonts w:eastAsia="HelenPro-Regular"/>
        </w:rPr>
        <w:t xml:space="preserve"> </w:t>
      </w:r>
      <w:r w:rsidRPr="00D23735">
        <w:rPr>
          <w:rFonts w:eastAsia="HelenPro-Bold"/>
          <w:b/>
          <w:bCs/>
        </w:rPr>
        <w:t>ARCHITECT System Operations Manual</w:t>
      </w:r>
      <w:r w:rsidRPr="00D23735">
        <w:rPr>
          <w:rFonts w:eastAsia="HelenPro-Regular"/>
        </w:rPr>
        <w:t>.</w:t>
      </w:r>
    </w:p>
    <w:p w:rsidR="00D23735" w:rsidRDefault="00D23735" w:rsidP="00F95946">
      <w:pPr>
        <w:rPr>
          <w:b/>
          <w:color w:val="000000"/>
        </w:rPr>
      </w:pPr>
    </w:p>
    <w:p w:rsidR="00912FE4" w:rsidRPr="00D23735" w:rsidRDefault="00912FE4" w:rsidP="00F95946">
      <w:pPr>
        <w:rPr>
          <w:rFonts w:eastAsia="HelenPro-Regular"/>
        </w:rPr>
      </w:pPr>
      <w:r w:rsidRPr="00D23735">
        <w:rPr>
          <w:b/>
          <w:color w:val="000000"/>
        </w:rPr>
        <w:t>Precision:</w:t>
      </w:r>
      <w:r w:rsidR="0038442D" w:rsidRPr="00D23735">
        <w:rPr>
          <w:b/>
          <w:color w:val="000000"/>
        </w:rPr>
        <w:t xml:space="preserve"> </w:t>
      </w:r>
    </w:p>
    <w:p w:rsidR="00015B4F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 xml:space="preserve">The precision of the MULTIGENT CRP </w:t>
      </w:r>
      <w:proofErr w:type="spellStart"/>
      <w:r w:rsidRPr="00D23735">
        <w:rPr>
          <w:rFonts w:eastAsia="HelenPro-Regular"/>
        </w:rPr>
        <w:t>Vario</w:t>
      </w:r>
      <w:proofErr w:type="spellEnd"/>
      <w:r w:rsidRPr="00D23735">
        <w:rPr>
          <w:rFonts w:eastAsia="HelenPro-Regular"/>
        </w:rPr>
        <w:t xml:space="preserve"> assay is ≤ 6% Total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>CV</w:t>
      </w:r>
    </w:p>
    <w:p w:rsidR="00D23735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bookmarkStart w:id="0" w:name="_GoBack"/>
      <w:r w:rsidRPr="00D23735">
        <w:rPr>
          <w:noProof/>
        </w:rPr>
        <w:lastRenderedPageBreak/>
        <w:drawing>
          <wp:inline distT="0" distB="0" distL="0" distR="0" wp14:anchorId="78E15CF4" wp14:editId="78B7F173">
            <wp:extent cx="3962400" cy="48291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3E37" w:rsidRPr="00D23735" w:rsidRDefault="00C53E37" w:rsidP="00C53E37">
      <w:pPr>
        <w:pStyle w:val="Heading4"/>
        <w:rPr>
          <w:sz w:val="24"/>
          <w:szCs w:val="24"/>
        </w:rPr>
      </w:pPr>
      <w:r w:rsidRPr="00D23735">
        <w:rPr>
          <w:sz w:val="24"/>
          <w:szCs w:val="24"/>
        </w:rPr>
        <w:t>Limitations of Procedure</w:t>
      </w:r>
      <w:r w:rsidR="00973EAF" w:rsidRPr="00D23735">
        <w:rPr>
          <w:sz w:val="24"/>
          <w:szCs w:val="24"/>
        </w:rPr>
        <w:t xml:space="preserve"> </w:t>
      </w:r>
    </w:p>
    <w:p w:rsidR="00D23735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The following are limitations on the use of the High Sensitivity CRP per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>CDC/AHA recommendations.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Screening the entire adult population is not recommended.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CRP is not a substitute for traditional cardiovascular risk factors.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 xml:space="preserve">• Acute coronary syndrome </w:t>
      </w:r>
      <w:r>
        <w:rPr>
          <w:rFonts w:eastAsia="HelenPro-Regular"/>
        </w:rPr>
        <w:t xml:space="preserve">management should not depend on </w:t>
      </w:r>
      <w:r w:rsidRPr="00D23735">
        <w:rPr>
          <w:rFonts w:eastAsia="HelenPro-Regular"/>
        </w:rPr>
        <w:t>CRP measurements.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Patients with persistently unexplained CRP levels above 1.0 mg/</w:t>
      </w:r>
      <w:proofErr w:type="spellStart"/>
      <w:r w:rsidRPr="00D23735">
        <w:rPr>
          <w:rFonts w:eastAsia="HelenPro-Regular"/>
        </w:rPr>
        <w:t>dL</w:t>
      </w:r>
      <w:proofErr w:type="spellEnd"/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(10 mg/L) should be evaluated for </w:t>
      </w:r>
      <w:proofErr w:type="spellStart"/>
      <w:r w:rsidRPr="00D23735">
        <w:rPr>
          <w:rFonts w:eastAsia="HelenPro-Regular"/>
        </w:rPr>
        <w:t>noncardiovascular</w:t>
      </w:r>
      <w:proofErr w:type="spellEnd"/>
      <w:r w:rsidRPr="00D23735">
        <w:rPr>
          <w:rFonts w:eastAsia="HelenPro-Regular"/>
        </w:rPr>
        <w:t xml:space="preserve"> etiologies.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Secondary prevention measures should not depend on CRP.</w:t>
      </w:r>
    </w:p>
    <w:p w:rsidR="00D23735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Serial measurements of CR</w:t>
      </w:r>
      <w:r>
        <w:rPr>
          <w:rFonts w:eastAsia="HelenPro-Regular"/>
        </w:rPr>
        <w:t xml:space="preserve">P should not be used to monitor </w:t>
      </w:r>
      <w:r w:rsidRPr="00D23735">
        <w:rPr>
          <w:rFonts w:eastAsia="HelenPro-Regular"/>
        </w:rPr>
        <w:t>treatment.</w:t>
      </w:r>
    </w:p>
    <w:p w:rsidR="00D70A7B" w:rsidRPr="00D23735" w:rsidRDefault="00D23735" w:rsidP="00D23735">
      <w:pPr>
        <w:autoSpaceDE w:val="0"/>
        <w:autoSpaceDN w:val="0"/>
        <w:adjustRightInd w:val="0"/>
        <w:ind w:left="720"/>
        <w:rPr>
          <w:rFonts w:eastAsia="HelenPro-Regular"/>
        </w:rPr>
      </w:pPr>
      <w:r w:rsidRPr="00D23735">
        <w:rPr>
          <w:rFonts w:eastAsia="HelenPro-Regular"/>
        </w:rPr>
        <w:t>• The average of two CRP results, repeated optimally two weeks apart,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>should be used on metabolically stable patients.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In very rare cases </w:t>
      </w:r>
      <w:proofErr w:type="spellStart"/>
      <w:r w:rsidRPr="00D23735">
        <w:rPr>
          <w:rFonts w:eastAsia="HelenPro-Regular"/>
        </w:rPr>
        <w:t>gammopathy</w:t>
      </w:r>
      <w:proofErr w:type="spellEnd"/>
      <w:r w:rsidRPr="00D23735">
        <w:rPr>
          <w:rFonts w:eastAsia="HelenPro-Regular"/>
        </w:rPr>
        <w:t xml:space="preserve">, particularly of the monoclonal </w:t>
      </w:r>
      <w:proofErr w:type="spellStart"/>
      <w:r w:rsidRPr="00D23735">
        <w:rPr>
          <w:rFonts w:eastAsia="HelenPro-Regular"/>
        </w:rPr>
        <w:t>IgM</w:t>
      </w:r>
      <w:proofErr w:type="spellEnd"/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 xml:space="preserve">type (e.g., </w:t>
      </w:r>
      <w:proofErr w:type="spellStart"/>
      <w:r w:rsidRPr="00D23735">
        <w:rPr>
          <w:rFonts w:eastAsia="HelenPro-Regular"/>
        </w:rPr>
        <w:t>Waldenstrom</w:t>
      </w:r>
      <w:proofErr w:type="spellEnd"/>
      <w:r w:rsidRPr="00D23735">
        <w:rPr>
          <w:rFonts w:eastAsia="HelenPro-Regular"/>
        </w:rPr>
        <w:t xml:space="preserve"> </w:t>
      </w:r>
      <w:proofErr w:type="spellStart"/>
      <w:r w:rsidRPr="00D23735">
        <w:rPr>
          <w:rFonts w:eastAsia="HelenPro-Regular"/>
        </w:rPr>
        <w:t>macroglobulinemia</w:t>
      </w:r>
      <w:proofErr w:type="spellEnd"/>
      <w:r w:rsidRPr="00D23735">
        <w:rPr>
          <w:rFonts w:eastAsia="HelenPro-Regular"/>
        </w:rPr>
        <w:t>), may cause unreliable</w:t>
      </w:r>
      <w:r>
        <w:rPr>
          <w:rFonts w:eastAsia="HelenPro-Regular"/>
        </w:rPr>
        <w:t xml:space="preserve"> </w:t>
      </w:r>
      <w:r w:rsidRPr="00D23735">
        <w:rPr>
          <w:rFonts w:eastAsia="HelenPro-Regular"/>
        </w:rPr>
        <w:t>results.</w:t>
      </w:r>
    </w:p>
    <w:p w:rsidR="00173EA4" w:rsidRPr="00D23735" w:rsidRDefault="00173EA4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F95946" w:rsidRPr="00D23735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D23735">
        <w:rPr>
          <w:rFonts w:eastAsia="HelenPro-Bold"/>
          <w:b/>
          <w:bCs/>
        </w:rPr>
        <w:t>Interfering Substances</w:t>
      </w:r>
    </w:p>
    <w:p w:rsidR="00015B4F" w:rsidRPr="00D23735" w:rsidRDefault="00D23735" w:rsidP="00D23735">
      <w:pPr>
        <w:autoSpaceDE w:val="0"/>
        <w:autoSpaceDN w:val="0"/>
        <w:adjustRightInd w:val="0"/>
        <w:rPr>
          <w:rFonts w:eastAsia="HelenPro-Regular"/>
        </w:rPr>
      </w:pPr>
      <w:r w:rsidRPr="00D23735">
        <w:rPr>
          <w:rFonts w:eastAsia="HelenPro-Regular"/>
        </w:rPr>
        <w:t>Interference studies were conducted using an acceptance criteria of+/- 5% or 0.05 mg/</w:t>
      </w:r>
      <w:proofErr w:type="spellStart"/>
      <w:r w:rsidRPr="00D23735">
        <w:rPr>
          <w:rFonts w:eastAsia="HelenPro-Regular"/>
        </w:rPr>
        <w:t>dL</w:t>
      </w:r>
      <w:proofErr w:type="spellEnd"/>
      <w:r w:rsidRPr="00D23735">
        <w:rPr>
          <w:rFonts w:eastAsia="HelenPro-Regular"/>
        </w:rPr>
        <w:t xml:space="preserve"> deviation, whichever is greater, from the target</w:t>
      </w:r>
      <w:r>
        <w:rPr>
          <w:rFonts w:eastAsia="HelenPro-Regular"/>
        </w:rPr>
        <w:t xml:space="preserve"> value. No interference was </w:t>
      </w:r>
      <w:r w:rsidRPr="00D23735">
        <w:rPr>
          <w:rFonts w:eastAsia="HelenPro-Regular"/>
        </w:rPr>
        <w:t>observed at the concentrations below.</w:t>
      </w:r>
    </w:p>
    <w:p w:rsidR="00D23735" w:rsidRPr="00D23735" w:rsidRDefault="00D23735" w:rsidP="00D16B69">
      <w:pPr>
        <w:jc w:val="both"/>
        <w:rPr>
          <w:b/>
        </w:rPr>
      </w:pPr>
      <w:r w:rsidRPr="00D23735">
        <w:rPr>
          <w:noProof/>
        </w:rPr>
        <w:lastRenderedPageBreak/>
        <w:drawing>
          <wp:inline distT="0" distB="0" distL="0" distR="0" wp14:anchorId="43B6CFE0" wp14:editId="57518B08">
            <wp:extent cx="3590925" cy="10477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735" w:rsidRPr="00D23735" w:rsidRDefault="00D23735" w:rsidP="00D16B69">
      <w:pPr>
        <w:jc w:val="both"/>
        <w:rPr>
          <w:b/>
        </w:rPr>
      </w:pPr>
    </w:p>
    <w:p w:rsidR="00D23735" w:rsidRPr="00D23735" w:rsidRDefault="00D23735" w:rsidP="00D16B69">
      <w:pPr>
        <w:jc w:val="both"/>
        <w:rPr>
          <w:b/>
        </w:rPr>
      </w:pPr>
    </w:p>
    <w:p w:rsidR="00D23735" w:rsidRPr="00D23735" w:rsidRDefault="00D23735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B557A2">
        <w:rPr>
          <w:rFonts w:ascii="Arial" w:hAnsi="Arial" w:cs="Arial"/>
          <w:sz w:val="22"/>
          <w:szCs w:val="22"/>
        </w:rPr>
        <w:t xml:space="preserve">CRP </w:t>
      </w:r>
      <w:proofErr w:type="spellStart"/>
      <w:r w:rsidR="00B557A2">
        <w:rPr>
          <w:rFonts w:ascii="Arial" w:hAnsi="Arial" w:cs="Arial"/>
          <w:sz w:val="22"/>
          <w:szCs w:val="22"/>
        </w:rPr>
        <w:t>Vario</w:t>
      </w:r>
      <w:proofErr w:type="spellEnd"/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425BA0" w:rsidRDefault="00B557A2" w:rsidP="00425BA0">
      <w:pPr>
        <w:pStyle w:val="ListParagraph"/>
        <w:rPr>
          <w:rFonts w:eastAsia="HelenPro-Bold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Aug</w:t>
      </w:r>
      <w:r w:rsidR="0074336C">
        <w:rPr>
          <w:rFonts w:ascii="Arial" w:hAnsi="Arial" w:cs="Arial"/>
          <w:bCs/>
          <w:sz w:val="22"/>
          <w:szCs w:val="22"/>
        </w:rPr>
        <w:t xml:space="preserve"> 201</w:t>
      </w:r>
      <w:r>
        <w:rPr>
          <w:rFonts w:ascii="Arial" w:hAnsi="Arial" w:cs="Arial"/>
          <w:bCs/>
          <w:sz w:val="22"/>
          <w:szCs w:val="22"/>
        </w:rPr>
        <w:t>5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B557A2">
        <w:rPr>
          <w:rFonts w:eastAsia="HelenPro-Bold"/>
          <w:bCs/>
        </w:rPr>
        <w:t>306731/R04</w:t>
      </w:r>
    </w:p>
    <w:p w:rsidR="000A13F2" w:rsidRPr="00425BA0" w:rsidRDefault="000A13F2" w:rsidP="00425BA0">
      <w:pPr>
        <w:pStyle w:val="ListParagraph"/>
        <w:numPr>
          <w:ilvl w:val="0"/>
          <w:numId w:val="4"/>
        </w:numPr>
        <w:rPr>
          <w:rFonts w:eastAsia="HelenPro-Bold"/>
          <w:b/>
          <w:bCs/>
          <w:sz w:val="20"/>
          <w:szCs w:val="20"/>
        </w:rPr>
      </w:pPr>
      <w:r w:rsidRPr="00425BA0">
        <w:rPr>
          <w:rFonts w:ascii="Arial" w:hAnsi="Arial" w:cs="Arial"/>
          <w:sz w:val="22"/>
          <w:szCs w:val="22"/>
        </w:rPr>
        <w:t xml:space="preserve">ABBOTT ARCHITECT </w:t>
      </w:r>
      <w:r w:rsidR="00D23735">
        <w:rPr>
          <w:rFonts w:ascii="Arial" w:hAnsi="Arial" w:cs="Arial"/>
          <w:sz w:val="22"/>
          <w:szCs w:val="22"/>
        </w:rPr>
        <w:t xml:space="preserve">CRP </w:t>
      </w:r>
      <w:proofErr w:type="spellStart"/>
      <w:r w:rsidR="00D23735">
        <w:rPr>
          <w:rFonts w:ascii="Arial" w:hAnsi="Arial" w:cs="Arial"/>
          <w:sz w:val="22"/>
          <w:szCs w:val="22"/>
        </w:rPr>
        <w:t>Vario</w:t>
      </w:r>
      <w:proofErr w:type="spellEnd"/>
      <w:r w:rsidRPr="00425BA0">
        <w:rPr>
          <w:rFonts w:ascii="Arial" w:hAnsi="Arial" w:cs="Arial"/>
          <w:sz w:val="22"/>
          <w:szCs w:val="22"/>
        </w:rPr>
        <w:t xml:space="preserve"> Calibrator</w:t>
      </w:r>
      <w:r w:rsidR="00D23735">
        <w:rPr>
          <w:rFonts w:ascii="Arial" w:hAnsi="Arial" w:cs="Arial"/>
          <w:sz w:val="22"/>
          <w:szCs w:val="22"/>
        </w:rPr>
        <w:t>s</w:t>
      </w:r>
      <w:r w:rsidRPr="00425BA0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B45FE2" w:rsidRDefault="00B45FE2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660729" w:rsidRDefault="00660729" w:rsidP="00246FA8">
      <w:pPr>
        <w:rPr>
          <w:b/>
        </w:rPr>
      </w:pPr>
    </w:p>
    <w:p w:rsidR="00EE401E" w:rsidRDefault="00EE401E" w:rsidP="00246FA8">
      <w:pPr>
        <w:rPr>
          <w:b/>
        </w:rPr>
      </w:pPr>
    </w:p>
    <w:p w:rsidR="00881923" w:rsidRPr="00157696" w:rsidRDefault="002D18CA" w:rsidP="00246FA8">
      <w:pPr>
        <w:rPr>
          <w:i/>
          <w:sz w:val="20"/>
          <w:szCs w:val="20"/>
        </w:rPr>
      </w:pPr>
      <w:r>
        <w:rPr>
          <w:b/>
        </w:rPr>
        <w:t>R</w:t>
      </w:r>
      <w:r w:rsidR="0009322F">
        <w:rPr>
          <w:b/>
        </w:rPr>
        <w:t xml:space="preserve">elated Documents: </w:t>
      </w:r>
    </w:p>
    <w:p w:rsidR="00157696" w:rsidRPr="00BC1EC4" w:rsidRDefault="00157696" w:rsidP="00246FA8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</w:p>
    <w:p w:rsidR="002D18CA" w:rsidRDefault="002D18CA" w:rsidP="0009322F">
      <w:pPr>
        <w:rPr>
          <w:b/>
        </w:rPr>
      </w:pPr>
    </w:p>
    <w:p w:rsidR="00D16B69" w:rsidRDefault="00D16B69" w:rsidP="00951C8E">
      <w:pPr>
        <w:spacing w:after="72"/>
        <w:jc w:val="both"/>
      </w:pPr>
    </w:p>
    <w:sectPr w:rsidR="00D16B69" w:rsidSect="00507B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22" w:rsidRDefault="00720B22">
      <w:r>
        <w:separator/>
      </w:r>
    </w:p>
  </w:endnote>
  <w:endnote w:type="continuationSeparator" w:id="0">
    <w:p w:rsidR="00720B22" w:rsidRDefault="0072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2A" w:rsidRDefault="00346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64239B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715D55">
      <w:rPr>
        <w:sz w:val="20"/>
        <w:szCs w:val="20"/>
      </w:rPr>
      <w:t xml:space="preserve"> </w:t>
    </w:r>
    <w:r w:rsidR="00BC1EC4" w:rsidRPr="00427B21">
      <w:rPr>
        <w:sz w:val="20"/>
        <w:szCs w:val="20"/>
      </w:rPr>
      <w:t xml:space="preserve">Page </w:t>
    </w:r>
    <w:r w:rsidR="00BC1EC4" w:rsidRPr="00427B21">
      <w:rPr>
        <w:sz w:val="20"/>
        <w:szCs w:val="20"/>
      </w:rPr>
      <w:fldChar w:fldCharType="begin"/>
    </w:r>
    <w:r w:rsidR="00BC1EC4" w:rsidRPr="00427B21">
      <w:rPr>
        <w:sz w:val="20"/>
        <w:szCs w:val="20"/>
      </w:rPr>
      <w:instrText xml:space="preserve"> PAGE </w:instrText>
    </w:r>
    <w:r w:rsidR="00BC1EC4" w:rsidRPr="00427B21">
      <w:rPr>
        <w:sz w:val="20"/>
        <w:szCs w:val="20"/>
      </w:rPr>
      <w:fldChar w:fldCharType="separate"/>
    </w:r>
    <w:r w:rsidR="00933E23">
      <w:rPr>
        <w:noProof/>
        <w:sz w:val="20"/>
        <w:szCs w:val="20"/>
      </w:rPr>
      <w:t>6</w:t>
    </w:r>
    <w:r w:rsidR="00BC1EC4" w:rsidRPr="00427B21">
      <w:rPr>
        <w:sz w:val="20"/>
        <w:szCs w:val="20"/>
      </w:rPr>
      <w:fldChar w:fldCharType="end"/>
    </w:r>
    <w:r w:rsidR="00BC1EC4" w:rsidRPr="00427B21">
      <w:rPr>
        <w:sz w:val="20"/>
        <w:szCs w:val="20"/>
      </w:rPr>
      <w:t xml:space="preserve"> of </w:t>
    </w:r>
    <w:r w:rsidR="00BC1EC4" w:rsidRPr="00427B21">
      <w:rPr>
        <w:sz w:val="20"/>
        <w:szCs w:val="20"/>
      </w:rPr>
      <w:fldChar w:fldCharType="begin"/>
    </w:r>
    <w:r w:rsidR="00BC1EC4" w:rsidRPr="00427B21">
      <w:rPr>
        <w:sz w:val="20"/>
        <w:szCs w:val="20"/>
      </w:rPr>
      <w:instrText xml:space="preserve"> NUMPAGES </w:instrText>
    </w:r>
    <w:r w:rsidR="00BC1EC4" w:rsidRPr="00427B21">
      <w:rPr>
        <w:sz w:val="20"/>
        <w:szCs w:val="20"/>
      </w:rPr>
      <w:fldChar w:fldCharType="separate"/>
    </w:r>
    <w:r w:rsidR="00933E23">
      <w:rPr>
        <w:noProof/>
        <w:sz w:val="20"/>
        <w:szCs w:val="20"/>
      </w:rPr>
      <w:t>8</w:t>
    </w:r>
    <w:r w:rsidR="00BC1EC4"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2A" w:rsidRDefault="00346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22" w:rsidRDefault="00720B22">
      <w:r>
        <w:separator/>
      </w:r>
    </w:p>
  </w:footnote>
  <w:footnote w:type="continuationSeparator" w:id="0">
    <w:p w:rsidR="00720B22" w:rsidRDefault="0072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2A" w:rsidRDefault="00346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34632A">
      <w:rPr>
        <w:b/>
        <w:sz w:val="20"/>
        <w:szCs w:val="20"/>
      </w:rPr>
      <w:t xml:space="preserve"> 4840-CH-147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34632A">
      <w:rPr>
        <w:sz w:val="20"/>
        <w:szCs w:val="20"/>
      </w:rPr>
      <w:t xml:space="preserve">CRP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2A" w:rsidRDefault="00346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E5C76"/>
    <w:multiLevelType w:val="hybridMultilevel"/>
    <w:tmpl w:val="EBBC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C1E15AD"/>
    <w:multiLevelType w:val="hybridMultilevel"/>
    <w:tmpl w:val="A420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1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5B4F"/>
    <w:rsid w:val="000165C6"/>
    <w:rsid w:val="00020469"/>
    <w:rsid w:val="000232F2"/>
    <w:rsid w:val="000276BD"/>
    <w:rsid w:val="000304D2"/>
    <w:rsid w:val="00030B7A"/>
    <w:rsid w:val="00030CDD"/>
    <w:rsid w:val="00032E92"/>
    <w:rsid w:val="00043105"/>
    <w:rsid w:val="000454FD"/>
    <w:rsid w:val="0006011A"/>
    <w:rsid w:val="000602A5"/>
    <w:rsid w:val="00062EAC"/>
    <w:rsid w:val="0006502B"/>
    <w:rsid w:val="000735AF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49B2"/>
    <w:rsid w:val="00100BF8"/>
    <w:rsid w:val="0010358F"/>
    <w:rsid w:val="00107444"/>
    <w:rsid w:val="00132081"/>
    <w:rsid w:val="00133F38"/>
    <w:rsid w:val="0014554C"/>
    <w:rsid w:val="00155687"/>
    <w:rsid w:val="00157696"/>
    <w:rsid w:val="0016247C"/>
    <w:rsid w:val="00167572"/>
    <w:rsid w:val="00172CF7"/>
    <w:rsid w:val="00173EA4"/>
    <w:rsid w:val="0019760C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11DD8"/>
    <w:rsid w:val="00246FA8"/>
    <w:rsid w:val="0025031C"/>
    <w:rsid w:val="00253C1F"/>
    <w:rsid w:val="00255C54"/>
    <w:rsid w:val="002649AA"/>
    <w:rsid w:val="002746A8"/>
    <w:rsid w:val="00294A08"/>
    <w:rsid w:val="002B0D2A"/>
    <w:rsid w:val="002B1993"/>
    <w:rsid w:val="002C0E55"/>
    <w:rsid w:val="002C2F49"/>
    <w:rsid w:val="002C7FD5"/>
    <w:rsid w:val="002D18CA"/>
    <w:rsid w:val="002D2075"/>
    <w:rsid w:val="002D370D"/>
    <w:rsid w:val="002D38DF"/>
    <w:rsid w:val="002D70E2"/>
    <w:rsid w:val="002F52E0"/>
    <w:rsid w:val="003056A7"/>
    <w:rsid w:val="0034632A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38B7"/>
    <w:rsid w:val="003D447C"/>
    <w:rsid w:val="003D708C"/>
    <w:rsid w:val="003E62E7"/>
    <w:rsid w:val="00400A1A"/>
    <w:rsid w:val="00400CBA"/>
    <w:rsid w:val="00405EC8"/>
    <w:rsid w:val="00410514"/>
    <w:rsid w:val="00413FEE"/>
    <w:rsid w:val="00425BA0"/>
    <w:rsid w:val="00436811"/>
    <w:rsid w:val="0044058F"/>
    <w:rsid w:val="00443DB3"/>
    <w:rsid w:val="00452D5E"/>
    <w:rsid w:val="0045570E"/>
    <w:rsid w:val="00456575"/>
    <w:rsid w:val="00460600"/>
    <w:rsid w:val="00461686"/>
    <w:rsid w:val="0046271A"/>
    <w:rsid w:val="004708FA"/>
    <w:rsid w:val="00493DD1"/>
    <w:rsid w:val="00496793"/>
    <w:rsid w:val="004A03BD"/>
    <w:rsid w:val="004A2AA3"/>
    <w:rsid w:val="004C05F8"/>
    <w:rsid w:val="004C104D"/>
    <w:rsid w:val="004C2C23"/>
    <w:rsid w:val="004C37CB"/>
    <w:rsid w:val="004C73AF"/>
    <w:rsid w:val="004E0AFF"/>
    <w:rsid w:val="004F5F8A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C4292"/>
    <w:rsid w:val="005E3AB5"/>
    <w:rsid w:val="005E3D52"/>
    <w:rsid w:val="005F3E81"/>
    <w:rsid w:val="00607638"/>
    <w:rsid w:val="00610572"/>
    <w:rsid w:val="006107A2"/>
    <w:rsid w:val="0061553C"/>
    <w:rsid w:val="00621ABB"/>
    <w:rsid w:val="00623EFB"/>
    <w:rsid w:val="0063150E"/>
    <w:rsid w:val="006376BA"/>
    <w:rsid w:val="0064239B"/>
    <w:rsid w:val="00644800"/>
    <w:rsid w:val="006559EB"/>
    <w:rsid w:val="00656BB9"/>
    <w:rsid w:val="00660729"/>
    <w:rsid w:val="00674186"/>
    <w:rsid w:val="00682038"/>
    <w:rsid w:val="00687C2F"/>
    <w:rsid w:val="006A13AB"/>
    <w:rsid w:val="006A15AE"/>
    <w:rsid w:val="006A5AAE"/>
    <w:rsid w:val="006B0A70"/>
    <w:rsid w:val="006B3C65"/>
    <w:rsid w:val="006C0E19"/>
    <w:rsid w:val="006D28ED"/>
    <w:rsid w:val="006D40ED"/>
    <w:rsid w:val="006E5155"/>
    <w:rsid w:val="006F7F4F"/>
    <w:rsid w:val="00714B7D"/>
    <w:rsid w:val="00714F24"/>
    <w:rsid w:val="00715D55"/>
    <w:rsid w:val="00720B22"/>
    <w:rsid w:val="0074336C"/>
    <w:rsid w:val="007703C0"/>
    <w:rsid w:val="007840DD"/>
    <w:rsid w:val="007B09E3"/>
    <w:rsid w:val="007B0CCE"/>
    <w:rsid w:val="007B247B"/>
    <w:rsid w:val="007E4CE6"/>
    <w:rsid w:val="007E6C3C"/>
    <w:rsid w:val="0080146D"/>
    <w:rsid w:val="00804822"/>
    <w:rsid w:val="00812CCF"/>
    <w:rsid w:val="00833E15"/>
    <w:rsid w:val="008347BA"/>
    <w:rsid w:val="00841397"/>
    <w:rsid w:val="00846F9F"/>
    <w:rsid w:val="00847607"/>
    <w:rsid w:val="00861504"/>
    <w:rsid w:val="00863AA4"/>
    <w:rsid w:val="00864220"/>
    <w:rsid w:val="00867A63"/>
    <w:rsid w:val="00880FDF"/>
    <w:rsid w:val="0088112F"/>
    <w:rsid w:val="00881923"/>
    <w:rsid w:val="0088257A"/>
    <w:rsid w:val="00883611"/>
    <w:rsid w:val="00887139"/>
    <w:rsid w:val="00893E5B"/>
    <w:rsid w:val="008A1AF7"/>
    <w:rsid w:val="008A1CED"/>
    <w:rsid w:val="008A7551"/>
    <w:rsid w:val="008A7F96"/>
    <w:rsid w:val="008B590F"/>
    <w:rsid w:val="008C0AEF"/>
    <w:rsid w:val="008D06FF"/>
    <w:rsid w:val="008D30BD"/>
    <w:rsid w:val="008D4DF4"/>
    <w:rsid w:val="008E00E3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33E23"/>
    <w:rsid w:val="009467CE"/>
    <w:rsid w:val="00951C8E"/>
    <w:rsid w:val="00952933"/>
    <w:rsid w:val="00953BF2"/>
    <w:rsid w:val="00964971"/>
    <w:rsid w:val="00973EAF"/>
    <w:rsid w:val="00980C01"/>
    <w:rsid w:val="009841EC"/>
    <w:rsid w:val="009A4670"/>
    <w:rsid w:val="009A4991"/>
    <w:rsid w:val="009B4C90"/>
    <w:rsid w:val="009D1D61"/>
    <w:rsid w:val="009D498B"/>
    <w:rsid w:val="009E0FF1"/>
    <w:rsid w:val="009E49EB"/>
    <w:rsid w:val="009F648F"/>
    <w:rsid w:val="00A016EE"/>
    <w:rsid w:val="00A062F7"/>
    <w:rsid w:val="00A06412"/>
    <w:rsid w:val="00A06F60"/>
    <w:rsid w:val="00A1152E"/>
    <w:rsid w:val="00A1486D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5F37"/>
    <w:rsid w:val="00AB793D"/>
    <w:rsid w:val="00AC0E64"/>
    <w:rsid w:val="00AD402C"/>
    <w:rsid w:val="00AE6F5B"/>
    <w:rsid w:val="00AF597C"/>
    <w:rsid w:val="00B11C38"/>
    <w:rsid w:val="00B13AB5"/>
    <w:rsid w:val="00B1746E"/>
    <w:rsid w:val="00B24260"/>
    <w:rsid w:val="00B30875"/>
    <w:rsid w:val="00B36577"/>
    <w:rsid w:val="00B434E9"/>
    <w:rsid w:val="00B438DB"/>
    <w:rsid w:val="00B45FE2"/>
    <w:rsid w:val="00B46687"/>
    <w:rsid w:val="00B50C75"/>
    <w:rsid w:val="00B557A2"/>
    <w:rsid w:val="00B63263"/>
    <w:rsid w:val="00B63E8F"/>
    <w:rsid w:val="00B70AAC"/>
    <w:rsid w:val="00B712B1"/>
    <w:rsid w:val="00B72271"/>
    <w:rsid w:val="00BA0054"/>
    <w:rsid w:val="00BC1EC4"/>
    <w:rsid w:val="00BC76E2"/>
    <w:rsid w:val="00BE40A6"/>
    <w:rsid w:val="00BF32B2"/>
    <w:rsid w:val="00C32412"/>
    <w:rsid w:val="00C3571A"/>
    <w:rsid w:val="00C46D5D"/>
    <w:rsid w:val="00C53E37"/>
    <w:rsid w:val="00C63D0C"/>
    <w:rsid w:val="00C63D9F"/>
    <w:rsid w:val="00C90E57"/>
    <w:rsid w:val="00C912E2"/>
    <w:rsid w:val="00C967D5"/>
    <w:rsid w:val="00CA11D0"/>
    <w:rsid w:val="00CA5058"/>
    <w:rsid w:val="00CC2751"/>
    <w:rsid w:val="00CC37B4"/>
    <w:rsid w:val="00CC3D62"/>
    <w:rsid w:val="00CE2DC7"/>
    <w:rsid w:val="00CF7868"/>
    <w:rsid w:val="00D006C7"/>
    <w:rsid w:val="00D0224D"/>
    <w:rsid w:val="00D16262"/>
    <w:rsid w:val="00D16B69"/>
    <w:rsid w:val="00D23735"/>
    <w:rsid w:val="00D27C5A"/>
    <w:rsid w:val="00D339B0"/>
    <w:rsid w:val="00D5070C"/>
    <w:rsid w:val="00D50F05"/>
    <w:rsid w:val="00D5211B"/>
    <w:rsid w:val="00D60AFA"/>
    <w:rsid w:val="00D64E39"/>
    <w:rsid w:val="00D704AC"/>
    <w:rsid w:val="00D70A7B"/>
    <w:rsid w:val="00D71AF7"/>
    <w:rsid w:val="00D73BF8"/>
    <w:rsid w:val="00D77B64"/>
    <w:rsid w:val="00D80968"/>
    <w:rsid w:val="00D81E5D"/>
    <w:rsid w:val="00D94BB8"/>
    <w:rsid w:val="00D97908"/>
    <w:rsid w:val="00DA040A"/>
    <w:rsid w:val="00DA0D83"/>
    <w:rsid w:val="00DA6C6A"/>
    <w:rsid w:val="00DB3051"/>
    <w:rsid w:val="00DB49D0"/>
    <w:rsid w:val="00DC106A"/>
    <w:rsid w:val="00DC16C5"/>
    <w:rsid w:val="00DC4716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0C56"/>
    <w:rsid w:val="00E36B73"/>
    <w:rsid w:val="00E40388"/>
    <w:rsid w:val="00E44BED"/>
    <w:rsid w:val="00E4787B"/>
    <w:rsid w:val="00E50643"/>
    <w:rsid w:val="00E97A8C"/>
    <w:rsid w:val="00EA1269"/>
    <w:rsid w:val="00EA713D"/>
    <w:rsid w:val="00EB2F9F"/>
    <w:rsid w:val="00EB33FE"/>
    <w:rsid w:val="00EC002B"/>
    <w:rsid w:val="00EC7B32"/>
    <w:rsid w:val="00ED2343"/>
    <w:rsid w:val="00ED4BBB"/>
    <w:rsid w:val="00ED5787"/>
    <w:rsid w:val="00EE401E"/>
    <w:rsid w:val="00EF4170"/>
    <w:rsid w:val="00F05CCD"/>
    <w:rsid w:val="00F13523"/>
    <w:rsid w:val="00F175CB"/>
    <w:rsid w:val="00F1787A"/>
    <w:rsid w:val="00F17F45"/>
    <w:rsid w:val="00F20C64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9AFD-EE47-4D02-A0F1-EAAFB557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1759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12002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2018-09-05T17:27:00Z</dcterms:created>
  <dcterms:modified xsi:type="dcterms:W3CDTF">2018-10-19T16:00:00Z</dcterms:modified>
</cp:coreProperties>
</file>