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371EF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571500"/>
            <wp:effectExtent l="0" t="0" r="0" b="0"/>
            <wp:wrapSquare wrapText="bothSides"/>
            <wp:docPr id="5" name="Picture 5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BC5937" w:rsidRPr="00BC5937" w:rsidRDefault="007B3A53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CALCIUM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7B3A53">
        <w:rPr>
          <w:b/>
          <w:sz w:val="28"/>
          <w:szCs w:val="28"/>
        </w:rPr>
        <w:t xml:space="preserve">, </w:t>
      </w:r>
      <w:r w:rsidR="002E5C0B">
        <w:rPr>
          <w:b/>
          <w:sz w:val="28"/>
          <w:szCs w:val="28"/>
        </w:rPr>
        <w:t>PLASMA</w:t>
      </w:r>
      <w:r w:rsidR="007B3A53">
        <w:rPr>
          <w:b/>
          <w:sz w:val="28"/>
          <w:szCs w:val="28"/>
        </w:rPr>
        <w:t xml:space="preserve"> OR URINE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4A03BD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>The Calcium assay is used for the quantitation of calcium in human serum, plasma, or urine.</w:t>
      </w:r>
    </w:p>
    <w:p w:rsidR="009F52BA" w:rsidRDefault="009F52BA" w:rsidP="009F52BA">
      <w:pPr>
        <w:jc w:val="both"/>
        <w:rPr>
          <w:b/>
          <w:sz w:val="28"/>
          <w:szCs w:val="28"/>
        </w:rPr>
      </w:pPr>
    </w:p>
    <w:p w:rsidR="0009322F" w:rsidRPr="0009322F" w:rsidRDefault="006559EB" w:rsidP="006107A2">
      <w:pPr>
        <w:jc w:val="both"/>
      </w:pPr>
      <w:r w:rsidRPr="007E4CE6">
        <w:rPr>
          <w:b/>
          <w:sz w:val="28"/>
          <w:szCs w:val="28"/>
        </w:rPr>
        <w:t>Clinical Significance</w:t>
      </w:r>
      <w:r w:rsidR="006107A2" w:rsidRPr="007E4CE6">
        <w:rPr>
          <w:sz w:val="28"/>
          <w:szCs w:val="28"/>
        </w:rPr>
        <w:t xml:space="preserve"> </w:t>
      </w: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 xml:space="preserve">The majority of calcium in the body is </w:t>
      </w:r>
      <w:r>
        <w:rPr>
          <w:rFonts w:eastAsia="HelenPro-Regular"/>
        </w:rPr>
        <w:t xml:space="preserve">present in bones. The remainder </w:t>
      </w:r>
      <w:r w:rsidRPr="009C10C9">
        <w:rPr>
          <w:rFonts w:eastAsia="HelenPro-Regular"/>
        </w:rPr>
        <w:t>of the calcium is in serum and has various functions. For example,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calcium ions decrease neuromuscular excitability, participate in blood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coagulation, and activate some enzymes.</w:t>
      </w:r>
      <w:r>
        <w:rPr>
          <w:rFonts w:eastAsia="HelenPro-Regular"/>
        </w:rPr>
        <w:t xml:space="preserve"> </w:t>
      </w:r>
      <w:proofErr w:type="spellStart"/>
      <w:r w:rsidRPr="009C10C9">
        <w:rPr>
          <w:rFonts w:eastAsia="HelenPro-Regular"/>
        </w:rPr>
        <w:t>Hypercalcemia</w:t>
      </w:r>
      <w:proofErr w:type="spellEnd"/>
      <w:r w:rsidRPr="009C10C9">
        <w:rPr>
          <w:rFonts w:eastAsia="HelenPro-Regular"/>
        </w:rPr>
        <w:t xml:space="preserve"> can result from hyperparathyroidism, </w:t>
      </w:r>
      <w:proofErr w:type="spellStart"/>
      <w:r w:rsidRPr="009C10C9">
        <w:rPr>
          <w:rFonts w:eastAsia="HelenPro-Regular"/>
        </w:rPr>
        <w:t>hypervitaminosis</w:t>
      </w:r>
      <w:proofErr w:type="spellEnd"/>
      <w:r w:rsidRPr="009C10C9">
        <w:rPr>
          <w:rFonts w:eastAsia="HelenPro-Regular"/>
        </w:rPr>
        <w:t xml:space="preserve"> D,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multiple myeloma, and some neoplastic diseases of bone. Long-term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lithium therapy has been reported to cause hyperparathyroidism in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 xml:space="preserve">some individuals, with resulting </w:t>
      </w:r>
      <w:proofErr w:type="spellStart"/>
      <w:r w:rsidRPr="009C10C9">
        <w:rPr>
          <w:rFonts w:eastAsia="HelenPro-Regular"/>
        </w:rPr>
        <w:t>hypercalcemia</w:t>
      </w:r>
      <w:proofErr w:type="spellEnd"/>
      <w:r w:rsidRPr="009C10C9">
        <w:rPr>
          <w:rFonts w:eastAsia="HelenPro-Regular"/>
        </w:rPr>
        <w:t>.</w:t>
      </w:r>
      <w:r>
        <w:rPr>
          <w:rFonts w:eastAsia="HelenPro-Regular"/>
        </w:rPr>
        <w:t xml:space="preserve"> </w:t>
      </w:r>
      <w:proofErr w:type="spellStart"/>
      <w:r w:rsidRPr="009C10C9">
        <w:rPr>
          <w:rFonts w:eastAsia="HelenPro-Regular"/>
        </w:rPr>
        <w:t>Hypocalcemia</w:t>
      </w:r>
      <w:proofErr w:type="spellEnd"/>
      <w:r w:rsidRPr="009C10C9">
        <w:rPr>
          <w:rFonts w:eastAsia="HelenPro-Regular"/>
        </w:rPr>
        <w:t xml:space="preserve"> can result from </w:t>
      </w:r>
      <w:proofErr w:type="spellStart"/>
      <w:r w:rsidRPr="009C10C9">
        <w:rPr>
          <w:rFonts w:eastAsia="HelenPro-Regular"/>
        </w:rPr>
        <w:t>hypoparathyroidism</w:t>
      </w:r>
      <w:proofErr w:type="spellEnd"/>
      <w:r w:rsidRPr="009C10C9">
        <w:rPr>
          <w:rFonts w:eastAsia="HelenPro-Regular"/>
        </w:rPr>
        <w:t xml:space="preserve">, </w:t>
      </w:r>
      <w:proofErr w:type="spellStart"/>
      <w:r w:rsidRPr="009C10C9">
        <w:rPr>
          <w:rFonts w:eastAsia="HelenPro-Regular"/>
        </w:rPr>
        <w:t>hypoalbuminemia</w:t>
      </w:r>
      <w:proofErr w:type="spellEnd"/>
      <w:r w:rsidRPr="009C10C9">
        <w:rPr>
          <w:rFonts w:eastAsia="HelenPro-Regular"/>
        </w:rPr>
        <w:t>,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renal insufficiency, and pancreatitis.</w:t>
      </w:r>
    </w:p>
    <w:p w:rsidR="00C32412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>Calcium has traditionally been diff</w:t>
      </w:r>
      <w:r>
        <w:rPr>
          <w:rFonts w:eastAsia="HelenPro-Regular"/>
        </w:rPr>
        <w:t xml:space="preserve">icult to measure accurately and </w:t>
      </w:r>
      <w:r w:rsidRPr="009C10C9">
        <w:rPr>
          <w:rFonts w:eastAsia="HelenPro-Regular"/>
        </w:rPr>
        <w:t>precisely, and a large variety of methods have been developed. Among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these are flame photometry, oxalate precipitation with titration, atomic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absorption spectrophotometry, EDTA chelation, and more recently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 xml:space="preserve">calcium dye complexes which are measured </w:t>
      </w:r>
      <w:proofErr w:type="spellStart"/>
      <w:r w:rsidRPr="009C10C9">
        <w:rPr>
          <w:rFonts w:eastAsia="HelenPro-Regular"/>
        </w:rPr>
        <w:t>spectrophotometrically</w:t>
      </w:r>
      <w:proofErr w:type="spellEnd"/>
      <w:r w:rsidRPr="009C10C9">
        <w:rPr>
          <w:rFonts w:eastAsia="HelenPro-Regular"/>
        </w:rPr>
        <w:t>.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Examples of calcium dyes are o-</w:t>
      </w:r>
      <w:proofErr w:type="spellStart"/>
      <w:r w:rsidRPr="009C10C9">
        <w:rPr>
          <w:rFonts w:eastAsia="HelenPro-Regular"/>
        </w:rPr>
        <w:t>cresolphthalein</w:t>
      </w:r>
      <w:proofErr w:type="spellEnd"/>
      <w:r w:rsidRPr="009C10C9">
        <w:rPr>
          <w:rFonts w:eastAsia="HelenPro-Regular"/>
        </w:rPr>
        <w:t xml:space="preserve"> </w:t>
      </w:r>
      <w:proofErr w:type="spellStart"/>
      <w:r w:rsidRPr="009C10C9">
        <w:rPr>
          <w:rFonts w:eastAsia="HelenPro-Regular"/>
        </w:rPr>
        <w:t>complexone</w:t>
      </w:r>
      <w:proofErr w:type="spellEnd"/>
      <w:r w:rsidRPr="009C10C9">
        <w:rPr>
          <w:rFonts w:eastAsia="HelenPro-Regular"/>
        </w:rPr>
        <w:t xml:space="preserve"> and</w:t>
      </w:r>
      <w:r>
        <w:rPr>
          <w:rFonts w:eastAsia="HelenPro-Regular"/>
        </w:rPr>
        <w:t xml:space="preserve"> </w:t>
      </w:r>
      <w:proofErr w:type="spellStart"/>
      <w:r w:rsidRPr="009C10C9">
        <w:rPr>
          <w:rFonts w:eastAsia="HelenPro-Regular"/>
        </w:rPr>
        <w:t>Arsenazo</w:t>
      </w:r>
      <w:proofErr w:type="spellEnd"/>
      <w:r w:rsidRPr="009C10C9">
        <w:rPr>
          <w:rFonts w:eastAsia="HelenPro-Regular"/>
        </w:rPr>
        <w:t xml:space="preserve"> III, the latter being the dye used for calcium determination in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this method.</w:t>
      </w:r>
    </w:p>
    <w:p w:rsidR="009C7BD7" w:rsidRDefault="009C7BD7" w:rsidP="008A7F96">
      <w:pPr>
        <w:jc w:val="both"/>
        <w:rPr>
          <w:b/>
          <w:sz w:val="28"/>
          <w:szCs w:val="28"/>
        </w:rPr>
      </w:pPr>
    </w:p>
    <w:p w:rsidR="008A7F96" w:rsidRPr="00973EAF" w:rsidRDefault="008A7F96" w:rsidP="008A7F96">
      <w:pPr>
        <w:jc w:val="both"/>
        <w:rPr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Principle</w:t>
      </w:r>
      <w:r w:rsidRPr="007E4CE6">
        <w:rPr>
          <w:sz w:val="28"/>
          <w:szCs w:val="28"/>
        </w:rPr>
        <w:t xml:space="preserve"> </w:t>
      </w:r>
    </w:p>
    <w:p w:rsidR="008A7F96" w:rsidRPr="0009322F" w:rsidRDefault="008A7F96" w:rsidP="008A7F96">
      <w:pPr>
        <w:jc w:val="both"/>
      </w:pP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9C10C9">
        <w:rPr>
          <w:rFonts w:eastAsia="HelenPro-Regular"/>
        </w:rPr>
        <w:t>Arsenazo</w:t>
      </w:r>
      <w:proofErr w:type="spellEnd"/>
      <w:r w:rsidRPr="009C10C9">
        <w:rPr>
          <w:rFonts w:eastAsia="HelenPro-Regular"/>
        </w:rPr>
        <w:t>-III dye reacts with calciu</w:t>
      </w:r>
      <w:r>
        <w:rPr>
          <w:rFonts w:eastAsia="HelenPro-Regular"/>
        </w:rPr>
        <w:t xml:space="preserve">m in an acid solution to form a </w:t>
      </w:r>
      <w:r w:rsidRPr="009C10C9">
        <w:rPr>
          <w:rFonts w:eastAsia="HelenPro-Regular"/>
        </w:rPr>
        <w:t>blue</w:t>
      </w:r>
      <w:r w:rsidRPr="009C10C9">
        <w:rPr>
          <w:rFonts w:ascii="MS Mincho" w:eastAsia="MS Mincho" w:hAnsi="MS Mincho" w:cs="MS Mincho" w:hint="eastAsia"/>
        </w:rPr>
        <w:t>‑</w:t>
      </w:r>
      <w:r w:rsidRPr="009C10C9">
        <w:rPr>
          <w:rFonts w:eastAsia="HelenPro-Regular"/>
        </w:rPr>
        <w:t>purple complex. The color developed is measured at 660 nm and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is proportional to the calcium concentration in the sample.</w:t>
      </w:r>
    </w:p>
    <w:p w:rsidR="009C10C9" w:rsidRDefault="009C10C9" w:rsidP="009C10C9">
      <w:pPr>
        <w:rPr>
          <w:rFonts w:eastAsia="HelenPro-Bold"/>
          <w:b/>
          <w:bCs/>
        </w:rPr>
      </w:pPr>
    </w:p>
    <w:p w:rsidR="0056023B" w:rsidRPr="009C10C9" w:rsidRDefault="009C10C9" w:rsidP="009C10C9">
      <w:pPr>
        <w:rPr>
          <w:b/>
        </w:rPr>
      </w:pPr>
      <w:r w:rsidRPr="009C10C9">
        <w:rPr>
          <w:rFonts w:eastAsia="HelenPro-Bold"/>
          <w:b/>
          <w:bCs/>
        </w:rPr>
        <w:t xml:space="preserve">Methodology: </w:t>
      </w:r>
      <w:proofErr w:type="spellStart"/>
      <w:r w:rsidRPr="009C10C9">
        <w:rPr>
          <w:rFonts w:eastAsia="HelenPro-Regular"/>
        </w:rPr>
        <w:t>Arsenazo</w:t>
      </w:r>
      <w:proofErr w:type="spellEnd"/>
      <w:r w:rsidRPr="009C10C9">
        <w:rPr>
          <w:rFonts w:eastAsia="HelenPro-Regular"/>
        </w:rPr>
        <w:t xml:space="preserve"> III</w:t>
      </w:r>
    </w:p>
    <w:p w:rsidR="0056023B" w:rsidRDefault="0056023B" w:rsidP="006559EB">
      <w:pPr>
        <w:rPr>
          <w:b/>
          <w:sz w:val="28"/>
          <w:szCs w:val="28"/>
        </w:rPr>
      </w:pPr>
    </w:p>
    <w:p w:rsidR="006559EB" w:rsidRDefault="006559EB" w:rsidP="006559EB">
      <w:pPr>
        <w:rPr>
          <w:b/>
          <w:sz w:val="28"/>
          <w:szCs w:val="28"/>
        </w:rPr>
      </w:pPr>
      <w:r w:rsidRPr="007E4CE6">
        <w:rPr>
          <w:b/>
          <w:sz w:val="28"/>
          <w:szCs w:val="28"/>
        </w:rPr>
        <w:t>Specimen Collection and Handling</w:t>
      </w:r>
      <w:r w:rsidR="00D60AFA">
        <w:rPr>
          <w:b/>
          <w:sz w:val="28"/>
          <w:szCs w:val="28"/>
        </w:rPr>
        <w:t xml:space="preserve"> </w:t>
      </w:r>
    </w:p>
    <w:p w:rsidR="004A03BD" w:rsidRDefault="004A03BD" w:rsidP="006559EB">
      <w:pPr>
        <w:rPr>
          <w:b/>
        </w:rPr>
      </w:pP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C10C9">
        <w:rPr>
          <w:rFonts w:eastAsia="HelenPro-Bold"/>
          <w:b/>
          <w:bCs/>
        </w:rPr>
        <w:t>Suitable Specimens</w:t>
      </w: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>Serum, plasma, and urine are acceptable specimens.</w:t>
      </w: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 xml:space="preserve">• </w:t>
      </w:r>
      <w:r w:rsidRPr="009C10C9">
        <w:rPr>
          <w:rFonts w:eastAsia="HelenPro-Bold"/>
          <w:b/>
          <w:bCs/>
        </w:rPr>
        <w:t xml:space="preserve">Serum: </w:t>
      </w:r>
      <w:r w:rsidRPr="009C10C9">
        <w:rPr>
          <w:rFonts w:eastAsia="HelenPro-Regular"/>
        </w:rPr>
        <w:t>Use serum collected by s</w:t>
      </w:r>
      <w:r>
        <w:rPr>
          <w:rFonts w:eastAsia="HelenPro-Regular"/>
        </w:rPr>
        <w:t xml:space="preserve">tandard venipuncture techniques </w:t>
      </w:r>
      <w:r w:rsidRPr="009C10C9">
        <w:rPr>
          <w:rFonts w:eastAsia="HelenPro-Regular"/>
        </w:rPr>
        <w:t>into glass or plastic tubes with or without gel barriers. Ensure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complete clot formation has taken place prior to centrifugation.</w:t>
      </w: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>Centrifuge according to tube manufacturer’s instructions to ensure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proper separation of serum from blood cells.</w:t>
      </w: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>Some specimens, especiall</w:t>
      </w:r>
      <w:r>
        <w:rPr>
          <w:rFonts w:eastAsia="HelenPro-Regular"/>
        </w:rPr>
        <w:t xml:space="preserve">y those from patients receiving </w:t>
      </w:r>
      <w:r w:rsidRPr="009C10C9">
        <w:rPr>
          <w:rFonts w:eastAsia="HelenPro-Regular"/>
        </w:rPr>
        <w:t>anticoagulant or thrombolytic therapy, may take longer to complete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their clotting processes. Fibrin clots may subsequently form in these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sera and the clots could cause erroneous test results.</w:t>
      </w: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lastRenderedPageBreak/>
        <w:t xml:space="preserve">• </w:t>
      </w:r>
      <w:r w:rsidRPr="009C10C9">
        <w:rPr>
          <w:rFonts w:eastAsia="HelenPro-Bold"/>
          <w:b/>
          <w:bCs/>
        </w:rPr>
        <w:t xml:space="preserve">Plasma: </w:t>
      </w:r>
      <w:r w:rsidRPr="009C10C9">
        <w:rPr>
          <w:rFonts w:eastAsia="HelenPro-Regular"/>
        </w:rPr>
        <w:t>Use plasma collected by s</w:t>
      </w:r>
      <w:r>
        <w:rPr>
          <w:rFonts w:eastAsia="HelenPro-Regular"/>
        </w:rPr>
        <w:t xml:space="preserve">tandard venipuncture techniques </w:t>
      </w:r>
      <w:r w:rsidRPr="009C10C9">
        <w:rPr>
          <w:rFonts w:eastAsia="HelenPro-Regular"/>
        </w:rPr>
        <w:t>into glass or plastic tubes. Acceptable anticoagulants are lithium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heparin (with or without gel barrier) and sodium heparin. Ensure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centrifugation is adequate to remove platelets. Centrifuge according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to tube manufacturer’s instructions to ensure proper separation of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plasma from blood cells.</w:t>
      </w:r>
    </w:p>
    <w:p w:rsidR="00DA4542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 xml:space="preserve">• </w:t>
      </w:r>
      <w:r w:rsidRPr="009C10C9">
        <w:rPr>
          <w:rFonts w:eastAsia="HelenPro-Bold"/>
          <w:b/>
          <w:bCs/>
        </w:rPr>
        <w:t xml:space="preserve">Urine: </w:t>
      </w:r>
      <w:r w:rsidRPr="009C10C9">
        <w:rPr>
          <w:rFonts w:eastAsia="HelenPro-Regular"/>
        </w:rPr>
        <w:t xml:space="preserve">Collect 24 hour specimens in </w:t>
      </w:r>
      <w:r>
        <w:rPr>
          <w:rFonts w:eastAsia="HelenPro-Regular"/>
        </w:rPr>
        <w:t xml:space="preserve">a bottle containing 20 to 30 mL </w:t>
      </w:r>
      <w:r w:rsidRPr="009C10C9">
        <w:rPr>
          <w:rFonts w:eastAsia="HelenPro-Regular"/>
        </w:rPr>
        <w:t xml:space="preserve">of 6 </w:t>
      </w:r>
      <w:proofErr w:type="spellStart"/>
      <w:r w:rsidRPr="009C10C9">
        <w:rPr>
          <w:rFonts w:eastAsia="HelenPro-Regular"/>
        </w:rPr>
        <w:t>mol</w:t>
      </w:r>
      <w:proofErr w:type="spellEnd"/>
      <w:r w:rsidRPr="009C10C9">
        <w:rPr>
          <w:rFonts w:eastAsia="HelenPro-Regular"/>
        </w:rPr>
        <w:t xml:space="preserve">/L </w:t>
      </w:r>
      <w:proofErr w:type="spellStart"/>
      <w:r w:rsidRPr="009C10C9">
        <w:rPr>
          <w:rFonts w:eastAsia="HelenPro-Regular"/>
        </w:rPr>
        <w:t>HCl</w:t>
      </w:r>
      <w:proofErr w:type="spellEnd"/>
      <w:r w:rsidRPr="009C10C9">
        <w:rPr>
          <w:rFonts w:eastAsia="HelenPro-Regular"/>
        </w:rPr>
        <w:t xml:space="preserve"> (1 to 2 mL for a random specimen) in order to</w:t>
      </w:r>
      <w:r>
        <w:rPr>
          <w:rFonts w:eastAsia="HelenPro-Regular"/>
        </w:rPr>
        <w:t xml:space="preserve"> </w:t>
      </w:r>
      <w:r w:rsidRPr="009C10C9">
        <w:rPr>
          <w:rFonts w:eastAsia="HelenPro-Regular"/>
        </w:rPr>
        <w:t>prevent calcium salt precipitation</w:t>
      </w:r>
    </w:p>
    <w:p w:rsidR="00CA1F88" w:rsidRDefault="009C10C9" w:rsidP="009C10C9">
      <w:pPr>
        <w:tabs>
          <w:tab w:val="left" w:pos="1942"/>
        </w:tabs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rFonts w:eastAsia="HelenPro-Bold"/>
          <w:b/>
          <w:bCs/>
        </w:rPr>
        <w:tab/>
      </w:r>
    </w:p>
    <w:p w:rsidR="00DA4542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Specimen Storage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Analyze fresh specimens if possible.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932EB">
        <w:rPr>
          <w:rFonts w:eastAsia="HelenPro-Regular"/>
        </w:rPr>
        <w:t>Avoid repeated freeze/thaw cycles</w:t>
      </w:r>
    </w:p>
    <w:p w:rsidR="009C7BD7" w:rsidRPr="000F0494" w:rsidRDefault="009C10C9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6BD75586" wp14:editId="6C09DE5E">
            <wp:extent cx="3038475" cy="13144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 xml:space="preserve">A tolerance of </w:t>
      </w:r>
      <w:r>
        <w:rPr>
          <w:rFonts w:eastAsia="HelenPro-Regular"/>
          <w:vertAlign w:val="subscript"/>
        </w:rPr>
        <w:t>+/-</w:t>
      </w:r>
      <w:r w:rsidRPr="009932EB">
        <w:rPr>
          <w:rFonts w:eastAsia="HelenPro-Regular"/>
        </w:rPr>
        <w:t xml:space="preserve"> 10% (</w:t>
      </w:r>
      <w:r>
        <w:rPr>
          <w:rFonts w:eastAsia="HelenPro-Regular"/>
          <w:vertAlign w:val="subscript"/>
        </w:rPr>
        <w:t>+/-</w:t>
      </w:r>
      <w:r w:rsidRPr="009932EB">
        <w:rPr>
          <w:rFonts w:eastAsia="HelenPro-Regular"/>
        </w:rPr>
        <w:t xml:space="preserve"> 2°C) is assu</w:t>
      </w:r>
      <w:r>
        <w:rPr>
          <w:rFonts w:eastAsia="HelenPro-Regular"/>
        </w:rPr>
        <w:t xml:space="preserve">med not to change the stability </w:t>
      </w:r>
      <w:r w:rsidRPr="009932EB">
        <w:rPr>
          <w:rFonts w:eastAsia="HelenPro-Regular"/>
        </w:rPr>
        <w:t xml:space="preserve">of the specimen. (W. </w:t>
      </w:r>
      <w:proofErr w:type="spellStart"/>
      <w:r w:rsidRPr="009932EB">
        <w:rPr>
          <w:rFonts w:eastAsia="HelenPro-Regular"/>
        </w:rPr>
        <w:t>Guder</w:t>
      </w:r>
      <w:proofErr w:type="spellEnd"/>
      <w:r w:rsidRPr="009932EB">
        <w:rPr>
          <w:rFonts w:eastAsia="HelenPro-Regular"/>
        </w:rPr>
        <w:t>, personal communication, August 6,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2001).</w:t>
      </w:r>
    </w:p>
    <w:p w:rsid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Each laboratory may establish a ran</w:t>
      </w:r>
      <w:r>
        <w:rPr>
          <w:rFonts w:eastAsia="HelenPro-Regular"/>
        </w:rPr>
        <w:t xml:space="preserve">ge around -20°C from either the </w:t>
      </w:r>
      <w:r w:rsidRPr="009932EB">
        <w:rPr>
          <w:rFonts w:eastAsia="HelenPro-Regular"/>
        </w:rPr>
        <w:t>freezer manufacturer’s specifications or your laboratory standard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operating procedure(s) for specimen storage.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Frozen specimens must be completely thawed before mixing.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Mix thawed specimens thoroughly.</w:t>
      </w:r>
    </w:p>
    <w:p w:rsidR="00DA4542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Visually inspect thawed specimens</w:t>
      </w:r>
      <w:r>
        <w:rPr>
          <w:rFonts w:eastAsia="HelenPro-Regular"/>
        </w:rPr>
        <w:t xml:space="preserve">. If layering or stratification </w:t>
      </w:r>
      <w:r w:rsidRPr="009932EB">
        <w:rPr>
          <w:rFonts w:eastAsia="HelenPro-Regular"/>
        </w:rPr>
        <w:t>is observed, mix until specimens are visibly homogeneous. If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specimens are not mixed thoroughly, inconsistent results may be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obtained.</w:t>
      </w: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9C10C9" w:rsidRDefault="00F7103F" w:rsidP="00CA1F88">
      <w:pPr>
        <w:ind w:firstLine="720"/>
      </w:pPr>
      <w:r w:rsidRPr="00F7103F">
        <w:rPr>
          <w:rFonts w:eastAsia="HelenPro-Regular"/>
        </w:rPr>
        <w:t xml:space="preserve"> </w:t>
      </w:r>
      <w:r w:rsidR="009C10C9" w:rsidRPr="009C10C9">
        <w:rPr>
          <w:rFonts w:eastAsia="HelenPro-Regular"/>
        </w:rPr>
        <w:t>3L79 Calcium Reagent Kit</w:t>
      </w:r>
    </w:p>
    <w:p w:rsidR="00EC5159" w:rsidRDefault="00EC5159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4357A3" w:rsidRDefault="004357A3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 xml:space="preserve">• Saline (0.85% to 0.90% </w:t>
      </w:r>
      <w:proofErr w:type="spellStart"/>
      <w:r w:rsidRPr="00953EA1">
        <w:rPr>
          <w:rFonts w:eastAsia="HelenPro-Regular"/>
        </w:rPr>
        <w:t>NaCl</w:t>
      </w:r>
      <w:proofErr w:type="spellEnd"/>
      <w:r w:rsidRPr="00953EA1">
        <w:rPr>
          <w:rFonts w:eastAsia="HelenPro-Regular"/>
        </w:rPr>
        <w:t>) for specimens that require dilution</w:t>
      </w:r>
    </w:p>
    <w:p w:rsidR="00953EA1" w:rsidRDefault="00953EA1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For in vitro diagnostic use.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Bold"/>
          <w:b/>
          <w:bCs/>
        </w:rPr>
        <w:lastRenderedPageBreak/>
        <w:t xml:space="preserve">• </w:t>
      </w:r>
      <w:r w:rsidRPr="009932EB">
        <w:rPr>
          <w:rFonts w:eastAsia="HelenPro-Regular"/>
        </w:rPr>
        <w:t>Do not use reagents beyond the expiration date.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Bold"/>
          <w:b/>
          <w:bCs/>
        </w:rPr>
        <w:t xml:space="preserve">• </w:t>
      </w:r>
      <w:r w:rsidRPr="009932EB">
        <w:rPr>
          <w:rFonts w:eastAsia="HelenPro-Regular"/>
        </w:rPr>
        <w:t>Do not pool reagents within a kit or between kits.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Bold"/>
          <w:b/>
          <w:bCs/>
        </w:rPr>
        <w:t xml:space="preserve">• </w:t>
      </w:r>
      <w:r w:rsidRPr="009932EB">
        <w:rPr>
          <w:rFonts w:eastAsia="HelenPro-Regular"/>
        </w:rPr>
        <w:t>Do not use components from one lot with components from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another lot</w:t>
      </w:r>
      <w:r>
        <w:rPr>
          <w:rFonts w:ascii="HelenPro-Regular" w:eastAsia="HelenPro-Regular" w:cs="HelenPro-Regular"/>
          <w:sz w:val="17"/>
          <w:szCs w:val="17"/>
        </w:rPr>
        <w:t>.</w:t>
      </w:r>
    </w:p>
    <w:p w:rsidR="00F7103F" w:rsidRPr="00F7103F" w:rsidRDefault="00F7103F" w:rsidP="009932EB">
      <w:pPr>
        <w:autoSpaceDE w:val="0"/>
        <w:autoSpaceDN w:val="0"/>
        <w:adjustRightInd w:val="0"/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9C10C9" w:rsidRDefault="009C10C9" w:rsidP="00953EA1">
      <w:pPr>
        <w:rPr>
          <w:rFonts w:eastAsia="HelenPro-Regular"/>
        </w:rPr>
      </w:pPr>
      <w:r>
        <w:rPr>
          <w:noProof/>
        </w:rPr>
        <w:drawing>
          <wp:inline distT="0" distB="0" distL="0" distR="0" wp14:anchorId="64C92C03" wp14:editId="6540B2AC">
            <wp:extent cx="4191000" cy="4448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9C10C9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Bold"/>
          <w:b/>
          <w:bCs/>
        </w:rPr>
        <w:t xml:space="preserve">NOTE: </w:t>
      </w:r>
      <w:r w:rsidRPr="009C10C9">
        <w:rPr>
          <w:rFonts w:eastAsia="HelenPro-Regular"/>
        </w:rPr>
        <w:t>Do not invert reagent cartri</w:t>
      </w:r>
      <w:r>
        <w:rPr>
          <w:rFonts w:eastAsia="HelenPro-Regular"/>
        </w:rPr>
        <w:t xml:space="preserve">dges prior to use. Reagents are </w:t>
      </w:r>
      <w:r w:rsidRPr="009C10C9">
        <w:rPr>
          <w:rFonts w:eastAsia="HelenPro-Regular"/>
        </w:rPr>
        <w:t>susceptible to the formation of foam and bubbles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 xml:space="preserve">at </w:t>
      </w:r>
      <w:r w:rsidR="004357A3">
        <w:rPr>
          <w:rFonts w:eastAsia="HelenPro-Regular"/>
        </w:rPr>
        <w:t>15 to 30</w:t>
      </w:r>
      <w:r w:rsidRPr="000F0494">
        <w:rPr>
          <w:rFonts w:eastAsia="HelenPro-Regular"/>
        </w:rPr>
        <w:t>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lastRenderedPageBreak/>
        <w:t xml:space="preserve">Reagent stability is </w:t>
      </w:r>
      <w:r w:rsidR="00EC5159">
        <w:rPr>
          <w:rFonts w:eastAsia="HelenPro-Regular"/>
        </w:rPr>
        <w:t>30</w:t>
      </w:r>
      <w:r w:rsidRPr="000F0494">
        <w:rPr>
          <w:rFonts w:eastAsia="HelenPro-Regular"/>
        </w:rPr>
        <w:t xml:space="preserve">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9C10C9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9C10C9">
        <w:rPr>
          <w:rFonts w:eastAsia="HelenPro-Regular"/>
        </w:rPr>
        <w:t xml:space="preserve">Calcium is supplied as a liquid, ready-to-use, </w:t>
      </w:r>
      <w:r>
        <w:rPr>
          <w:rFonts w:eastAsia="HelenPro-Regular"/>
        </w:rPr>
        <w:t xml:space="preserve">single reagent kit which </w:t>
      </w:r>
      <w:r w:rsidRPr="009C10C9">
        <w:rPr>
          <w:rFonts w:eastAsia="HelenPro-Regular"/>
        </w:rPr>
        <w:t>contains:</w:t>
      </w:r>
      <w:r w:rsidR="004357A3" w:rsidRPr="009C10C9">
        <w:rPr>
          <w:rFonts w:eastAsia="HelenPro-Regular"/>
        </w:rPr>
        <w:t xml:space="preserve"> R1 </w:t>
      </w:r>
    </w:p>
    <w:p w:rsidR="00D64E39" w:rsidRPr="00E54019" w:rsidRDefault="009C10C9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78295ADE" wp14:editId="5F797574">
            <wp:extent cx="4124325" cy="781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4357A3" w:rsidRDefault="004357A3" w:rsidP="00973EAF">
      <w:pPr>
        <w:spacing w:after="43"/>
        <w:rPr>
          <w:b/>
          <w:szCs w:val="14"/>
        </w:rPr>
      </w:pPr>
      <w:r>
        <w:rPr>
          <w:b/>
          <w:szCs w:val="14"/>
        </w:rPr>
        <w:t xml:space="preserve">Calibrator: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56023B">
        <w:t xml:space="preserve"> (Normal and Abnormal), </w:t>
      </w:r>
      <w:r w:rsidR="00D64E39">
        <w:t>Urine controls</w:t>
      </w:r>
      <w:r w:rsidR="00973EAF">
        <w:t xml:space="preserve"> 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501C1C">
        <w:t>30</w:t>
      </w:r>
      <w:r w:rsidRPr="00E4787B">
        <w:t xml:space="preserve"> days (</w:t>
      </w:r>
      <w:r w:rsidR="00501C1C">
        <w:t>720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Calibration is performed b</w:t>
      </w:r>
      <w:r>
        <w:rPr>
          <w:rFonts w:eastAsia="HelenPro-Regular"/>
        </w:rPr>
        <w:t xml:space="preserve">y running a water blank and the </w:t>
      </w:r>
      <w:proofErr w:type="spellStart"/>
      <w:r w:rsidRPr="00484BE3">
        <w:rPr>
          <w:rFonts w:eastAsia="HelenPro-Regular"/>
        </w:rPr>
        <w:t>Multiconstituent</w:t>
      </w:r>
      <w:proofErr w:type="spellEnd"/>
      <w:r w:rsidRPr="00484BE3">
        <w:rPr>
          <w:rFonts w:eastAsia="HelenPro-Regular"/>
        </w:rPr>
        <w:t xml:space="preserve"> Calibrator set. Water for the blank is provided by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instrument.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1. Verify that the correct calibrator values have been entered into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calibration file.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2. Allow calibrator to come to room temperature.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3. Mix bottle five times by gentle inversion.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4. Open bottle, place an appropriate</w:t>
      </w:r>
      <w:r>
        <w:rPr>
          <w:rFonts w:eastAsia="HelenPro-Regular"/>
        </w:rPr>
        <w:t xml:space="preserve"> amount of each calibrator in a </w:t>
      </w:r>
      <w:r w:rsidRPr="00484BE3">
        <w:rPr>
          <w:rFonts w:eastAsia="HelenPro-Regular"/>
        </w:rPr>
        <w:t>separate sample cup, and place in the assigned positions.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5. Cap bottle tightly and return to refrige</w:t>
      </w:r>
      <w:r>
        <w:rPr>
          <w:rFonts w:eastAsia="HelenPro-Regular"/>
        </w:rPr>
        <w:t xml:space="preserve">rated storage immediately after </w:t>
      </w:r>
      <w:r w:rsidRPr="00484BE3">
        <w:rPr>
          <w:rFonts w:eastAsia="HelenPro-Regular"/>
        </w:rPr>
        <w:t>use.</w:t>
      </w:r>
    </w:p>
    <w:p w:rsidR="00953EA1" w:rsidRPr="00484BE3" w:rsidRDefault="00484BE3" w:rsidP="00484BE3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84BE3">
        <w:rPr>
          <w:rFonts w:eastAsia="HelenPro-Regular"/>
        </w:rPr>
        <w:t xml:space="preserve">6. Perform calibration as indicated in the </w:t>
      </w:r>
      <w:r w:rsidRPr="00484BE3">
        <w:rPr>
          <w:rFonts w:eastAsia="HelenPro-Bold"/>
          <w:b/>
          <w:bCs/>
        </w:rPr>
        <w:t>ARCHITECT System</w:t>
      </w:r>
      <w:r>
        <w:rPr>
          <w:rFonts w:eastAsia="HelenPro-Bold"/>
          <w:b/>
          <w:bCs/>
        </w:rPr>
        <w:t xml:space="preserve"> </w:t>
      </w:r>
      <w:r w:rsidRPr="00484BE3">
        <w:rPr>
          <w:rFonts w:eastAsia="HelenPro-Bold"/>
          <w:b/>
          <w:bCs/>
        </w:rPr>
        <w:t>Operations Manual</w:t>
      </w:r>
      <w:r w:rsidRPr="00484BE3">
        <w:rPr>
          <w:rFonts w:eastAsia="HelenPro-Regular"/>
        </w:rPr>
        <w:t>.</w:t>
      </w:r>
    </w:p>
    <w:p w:rsidR="009C10C9" w:rsidRDefault="009C10C9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lastRenderedPageBreak/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The Calcium assay file must be installed on t</w:t>
      </w:r>
      <w:r>
        <w:rPr>
          <w:rFonts w:eastAsia="HelenPro-Regular"/>
        </w:rPr>
        <w:t xml:space="preserve">he ARCHITECT </w:t>
      </w:r>
      <w:proofErr w:type="spellStart"/>
      <w:r>
        <w:rPr>
          <w:rFonts w:eastAsia="HelenPro-Regular"/>
        </w:rPr>
        <w:t>cSystem</w:t>
      </w:r>
      <w:proofErr w:type="spellEnd"/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prior to performing the assay.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For detailed information on assa</w:t>
      </w:r>
      <w:r>
        <w:rPr>
          <w:rFonts w:eastAsia="HelenPro-Regular"/>
        </w:rPr>
        <w:t xml:space="preserve">y file installation and viewing </w:t>
      </w:r>
      <w:r w:rsidRPr="009932EB">
        <w:rPr>
          <w:rFonts w:eastAsia="HelenPro-Regular"/>
        </w:rPr>
        <w:t>and editing assay parameters, refer to the ARCHITECT System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Operations Manual, Section 2.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For information on printing assay parameters or fo</w:t>
      </w:r>
      <w:r>
        <w:rPr>
          <w:rFonts w:eastAsia="HelenPro-Regular"/>
        </w:rPr>
        <w:t xml:space="preserve">r a detailed </w:t>
      </w:r>
      <w:r w:rsidRPr="009932EB">
        <w:rPr>
          <w:rFonts w:eastAsia="HelenPro-Regular"/>
        </w:rPr>
        <w:t>description of system procedures, refer to the ARCHITECT System</w:t>
      </w:r>
    </w:p>
    <w:p w:rsidR="009932EB" w:rsidRPr="009932EB" w:rsidRDefault="009932EB" w:rsidP="009932EB">
      <w:pPr>
        <w:rPr>
          <w:b/>
        </w:rPr>
      </w:pPr>
      <w:r w:rsidRPr="009932EB">
        <w:rPr>
          <w:rFonts w:eastAsia="HelenPro-Regular"/>
        </w:rPr>
        <w:t>Operations Manual, Section 5.</w:t>
      </w:r>
    </w:p>
    <w:p w:rsidR="009932EB" w:rsidRDefault="009932EB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9932EB" w:rsidRPr="009932EB" w:rsidRDefault="009932EB" w:rsidP="009932EB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 xml:space="preserve">The Conventional result unit for </w:t>
      </w:r>
      <w:r>
        <w:rPr>
          <w:rFonts w:eastAsia="HelenPro-Regular"/>
        </w:rPr>
        <w:t>the Calcium assay is mg/</w:t>
      </w:r>
      <w:proofErr w:type="spellStart"/>
      <w:r>
        <w:rPr>
          <w:rFonts w:eastAsia="HelenPro-Regular"/>
        </w:rPr>
        <w:t>dL</w:t>
      </w:r>
      <w:proofErr w:type="spellEnd"/>
      <w:r>
        <w:rPr>
          <w:rFonts w:eastAsia="HelenPro-Regular"/>
        </w:rPr>
        <w:t xml:space="preserve">. The </w:t>
      </w:r>
      <w:r w:rsidRPr="009932EB">
        <w:rPr>
          <w:rFonts w:eastAsia="HelenPro-Regular"/>
        </w:rPr>
        <w:t xml:space="preserve">corresponding SI result unit is </w:t>
      </w:r>
      <w:proofErr w:type="spellStart"/>
      <w:r w:rsidRPr="009932EB">
        <w:rPr>
          <w:rFonts w:eastAsia="HelenPro-Regular"/>
        </w:rPr>
        <w:t>mmol</w:t>
      </w:r>
      <w:proofErr w:type="spellEnd"/>
      <w:r w:rsidRPr="009932EB">
        <w:rPr>
          <w:rFonts w:eastAsia="HelenPro-Regular"/>
        </w:rPr>
        <w:t>/L. To convert mg/</w:t>
      </w:r>
      <w:proofErr w:type="spellStart"/>
      <w:r w:rsidRPr="009932EB">
        <w:rPr>
          <w:rFonts w:eastAsia="HelenPro-Regular"/>
        </w:rPr>
        <w:t>dL</w:t>
      </w:r>
      <w:proofErr w:type="spellEnd"/>
      <w:r w:rsidRPr="009932EB">
        <w:rPr>
          <w:rFonts w:eastAsia="HelenPro-Regular"/>
        </w:rPr>
        <w:t xml:space="preserve"> to </w:t>
      </w:r>
      <w:proofErr w:type="spellStart"/>
      <w:r w:rsidRPr="009932EB">
        <w:rPr>
          <w:rFonts w:eastAsia="HelenPro-Regular"/>
        </w:rPr>
        <w:t>mmol</w:t>
      </w:r>
      <w:proofErr w:type="spellEnd"/>
      <w:r w:rsidRPr="009932EB">
        <w:rPr>
          <w:rFonts w:eastAsia="HelenPro-Regular"/>
        </w:rPr>
        <w:t>/L,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multiply mg/</w:t>
      </w:r>
      <w:proofErr w:type="spellStart"/>
      <w:r w:rsidRPr="009932EB">
        <w:rPr>
          <w:rFonts w:eastAsia="HelenPro-Regular"/>
        </w:rPr>
        <w:t>dL</w:t>
      </w:r>
      <w:proofErr w:type="spellEnd"/>
      <w:r w:rsidRPr="009932EB">
        <w:rPr>
          <w:rFonts w:eastAsia="HelenPro-Regular"/>
        </w:rPr>
        <w:t xml:space="preserve"> by 0.25. To convert </w:t>
      </w:r>
      <w:proofErr w:type="spellStart"/>
      <w:r w:rsidRPr="009932EB">
        <w:rPr>
          <w:rFonts w:eastAsia="HelenPro-Regular"/>
        </w:rPr>
        <w:t>mmol</w:t>
      </w:r>
      <w:proofErr w:type="spellEnd"/>
      <w:r w:rsidRPr="009932EB">
        <w:rPr>
          <w:rFonts w:eastAsia="HelenPro-Regular"/>
        </w:rPr>
        <w:t>/L to mg/</w:t>
      </w:r>
      <w:proofErr w:type="spellStart"/>
      <w:r w:rsidRPr="009932EB">
        <w:rPr>
          <w:rFonts w:eastAsia="HelenPro-Regular"/>
        </w:rPr>
        <w:t>dL</w:t>
      </w:r>
      <w:proofErr w:type="spellEnd"/>
      <w:r w:rsidRPr="009932EB">
        <w:rPr>
          <w:rFonts w:eastAsia="HelenPro-Regular"/>
        </w:rPr>
        <w:t xml:space="preserve">, divide </w:t>
      </w:r>
      <w:proofErr w:type="spellStart"/>
      <w:r w:rsidRPr="009932EB">
        <w:rPr>
          <w:rFonts w:eastAsia="HelenPro-Regular"/>
        </w:rPr>
        <w:t>mmol</w:t>
      </w:r>
      <w:proofErr w:type="spellEnd"/>
      <w:r w:rsidRPr="009932EB">
        <w:rPr>
          <w:rFonts w:eastAsia="HelenPro-Regular"/>
        </w:rPr>
        <w:t>/L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by 0.25.</w:t>
      </w:r>
    </w:p>
    <w:p w:rsidR="009C10C9" w:rsidRPr="00DA6C6A" w:rsidRDefault="009C10C9" w:rsidP="009932EB">
      <w:pPr>
        <w:autoSpaceDE w:val="0"/>
        <w:autoSpaceDN w:val="0"/>
        <w:adjustRightInd w:val="0"/>
        <w:rPr>
          <w:rFonts w:eastAsia="HelenPro-Regular"/>
        </w:rPr>
      </w:pPr>
      <w:r w:rsidRPr="00DA6C6A">
        <w:rPr>
          <w:rFonts w:eastAsia="HelenPro-Regular"/>
        </w:rPr>
        <w:t xml:space="preserve">The result unit for the </w:t>
      </w:r>
      <w:r>
        <w:rPr>
          <w:rFonts w:eastAsia="HelenPro-Regular"/>
        </w:rPr>
        <w:t xml:space="preserve">Urine Calcium assay can be </w:t>
      </w:r>
      <w:r w:rsidRPr="00DA6C6A">
        <w:rPr>
          <w:rFonts w:eastAsia="HelenPro-Regular"/>
        </w:rPr>
        <w:t xml:space="preserve">reported as </w:t>
      </w:r>
      <w:r>
        <w:rPr>
          <w:rFonts w:eastAsia="HelenPro-Regular"/>
        </w:rPr>
        <w:t xml:space="preserve">mg/day or </w:t>
      </w:r>
      <w:proofErr w:type="spellStart"/>
      <w:r>
        <w:rPr>
          <w:rFonts w:eastAsia="HelenPro-Regular"/>
        </w:rPr>
        <w:t>mmol</w:t>
      </w:r>
      <w:proofErr w:type="spellEnd"/>
      <w:r>
        <w:rPr>
          <w:rFonts w:eastAsia="HelenPro-Regular"/>
        </w:rPr>
        <w:t>/day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9932EB" w:rsidRDefault="009932EB" w:rsidP="00AB793D">
      <w:pPr>
        <w:rPr>
          <w:rFonts w:ascii="Arial" w:hAnsi="Arial" w:cs="Arial"/>
          <w:b/>
          <w:bCs/>
          <w:sz w:val="28"/>
          <w:szCs w:val="28"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6D40ED" w:rsidRDefault="006D40ED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C10C9" w:rsidP="00AB793D">
      <w:pPr>
        <w:rPr>
          <w:rFonts w:ascii="Arial" w:hAnsi="Arial" w:cs="Arial"/>
          <w:b/>
          <w:bCs/>
        </w:rPr>
      </w:pPr>
    </w:p>
    <w:p w:rsidR="009C10C9" w:rsidRDefault="00953EA1" w:rsidP="00DA6C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Serum</w:t>
      </w:r>
      <w:r w:rsidR="000F0494">
        <w:rPr>
          <w:rFonts w:ascii="Arial" w:hAnsi="Arial" w:cs="Arial"/>
          <w:b/>
          <w:bCs/>
        </w:rPr>
        <w:t>/Plasma</w:t>
      </w:r>
      <w:r w:rsidR="006243D4">
        <w:rPr>
          <w:rFonts w:ascii="Arial" w:hAnsi="Arial" w:cs="Arial"/>
          <w:b/>
          <w:bCs/>
        </w:rPr>
        <w:t>:</w:t>
      </w:r>
    </w:p>
    <w:p w:rsidR="006243D4" w:rsidRDefault="006243D4" w:rsidP="00DA6C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0-10 days: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7.6-10.4 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6243D4" w:rsidRPr="006243D4" w:rsidRDefault="006243D4" w:rsidP="00DA6C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 days – 24 months:</w:t>
      </w:r>
      <w:r>
        <w:rPr>
          <w:rFonts w:ascii="Arial" w:hAnsi="Arial" w:cs="Arial"/>
          <w:bCs/>
        </w:rPr>
        <w:tab/>
        <w:t>9.0-11.0 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DA6C6A" w:rsidRDefault="006243D4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Child: 2 years -12 years:</w:t>
      </w:r>
      <w:r>
        <w:rPr>
          <w:rFonts w:ascii="Arial" w:hAnsi="Arial" w:cs="Arial"/>
          <w:bCs/>
        </w:rPr>
        <w:tab/>
        <w:t>8.8-10.8 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6243D4" w:rsidRDefault="006243D4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Adult: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8.4-10.2 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6243D4" w:rsidRPr="006243D4" w:rsidRDefault="006243D4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Male &gt;60 years: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8.8-10.0 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DA6C6A" w:rsidRDefault="00DA6C6A" w:rsidP="00AB793D">
      <w:pPr>
        <w:rPr>
          <w:rFonts w:ascii="Arial" w:hAnsi="Arial" w:cs="Arial"/>
          <w:b/>
          <w:bCs/>
        </w:rPr>
      </w:pPr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6243D4">
        <w:rPr>
          <w:b/>
        </w:rPr>
        <w:t>:</w:t>
      </w:r>
    </w:p>
    <w:p w:rsidR="006243D4" w:rsidRDefault="006243D4" w:rsidP="006243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0-10 days: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&lt;7.0 and &gt;13</w:t>
      </w:r>
      <w:r>
        <w:rPr>
          <w:rFonts w:ascii="Arial" w:hAnsi="Arial" w:cs="Arial"/>
          <w:bCs/>
        </w:rPr>
        <w:t xml:space="preserve"> 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6243D4" w:rsidRPr="006243D4" w:rsidRDefault="006243D4" w:rsidP="006243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 days – 24 months: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&lt;7.0 and &gt;13 </w:t>
      </w:r>
      <w:r>
        <w:rPr>
          <w:rFonts w:ascii="Arial" w:hAnsi="Arial" w:cs="Arial"/>
          <w:bCs/>
        </w:rPr>
        <w:t>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6243D4" w:rsidRDefault="006243D4" w:rsidP="006243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Child: 2 years -12 years: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&lt;6.0 and &gt;12 </w:t>
      </w:r>
      <w:r>
        <w:rPr>
          <w:rFonts w:ascii="Arial" w:hAnsi="Arial" w:cs="Arial"/>
          <w:bCs/>
        </w:rPr>
        <w:t>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6243D4" w:rsidRDefault="006243D4" w:rsidP="006243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Adult: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&lt;6.0 and &gt;12 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6243D4" w:rsidRPr="006243D4" w:rsidRDefault="006243D4" w:rsidP="006243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Male &gt;60 years: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&lt;6.0 and &gt;12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6243D4" w:rsidRPr="00B63E8F" w:rsidRDefault="006243D4" w:rsidP="00623EFB">
      <w:pPr>
        <w:ind w:right="720"/>
        <w:jc w:val="both"/>
        <w:rPr>
          <w:b/>
        </w:rPr>
      </w:pP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953EA1" w:rsidRPr="004357A3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357A3">
        <w:rPr>
          <w:rFonts w:eastAsia="HelenPro-Bold"/>
          <w:b/>
          <w:bCs/>
        </w:rPr>
        <w:t>Linearity</w:t>
      </w:r>
    </w:p>
    <w:p w:rsidR="00501C1C" w:rsidRPr="008F3DEF" w:rsidRDefault="009C10C9" w:rsidP="008F3DEF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The linearity of Calcium serum</w:t>
      </w:r>
      <w:r w:rsidR="008F3DEF">
        <w:rPr>
          <w:rFonts w:eastAsia="HelenPro-Regular"/>
        </w:rPr>
        <w:t xml:space="preserve"> and urine is 2.0 to 24.0 mg/</w:t>
      </w:r>
      <w:proofErr w:type="spellStart"/>
      <w:r w:rsidR="008F3DEF">
        <w:rPr>
          <w:rFonts w:eastAsia="HelenPro-Regular"/>
        </w:rPr>
        <w:t>dL</w:t>
      </w:r>
      <w:proofErr w:type="spellEnd"/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 xml:space="preserve">(0.50 to 6.00 </w:t>
      </w:r>
      <w:proofErr w:type="spellStart"/>
      <w:r w:rsidRPr="008F3DEF">
        <w:rPr>
          <w:rFonts w:eastAsia="HelenPro-Regular"/>
        </w:rPr>
        <w:t>mmol</w:t>
      </w:r>
      <w:proofErr w:type="spellEnd"/>
      <w:r w:rsidRPr="008F3DEF">
        <w:rPr>
          <w:rFonts w:eastAsia="HelenPro-Regular"/>
        </w:rPr>
        <w:t>/L). Calcium is linear within ± 5% or ± 0.2 mg/</w:t>
      </w:r>
      <w:proofErr w:type="spellStart"/>
      <w:r w:rsidRPr="008F3DEF">
        <w:rPr>
          <w:rFonts w:eastAsia="HelenPro-Regular"/>
        </w:rPr>
        <w:t>dL</w:t>
      </w:r>
      <w:proofErr w:type="spellEnd"/>
      <w:r w:rsidRPr="008F3DEF">
        <w:rPr>
          <w:rFonts w:eastAsia="HelenPro-Regular"/>
        </w:rPr>
        <w:t>,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whichever is greater from 2.0 to 18.0 mg/</w:t>
      </w:r>
      <w:proofErr w:type="spellStart"/>
      <w:r w:rsidRPr="008F3DEF">
        <w:rPr>
          <w:rFonts w:eastAsia="HelenPro-Regular"/>
        </w:rPr>
        <w:t>dL</w:t>
      </w:r>
      <w:proofErr w:type="spellEnd"/>
      <w:r w:rsidRPr="008F3DEF">
        <w:rPr>
          <w:rFonts w:eastAsia="HelenPro-Regular"/>
        </w:rPr>
        <w:t xml:space="preserve"> (0.50 to 4.50 </w:t>
      </w:r>
      <w:proofErr w:type="spellStart"/>
      <w:r w:rsidRPr="008F3DEF">
        <w:rPr>
          <w:rFonts w:eastAsia="HelenPro-Regular"/>
        </w:rPr>
        <w:t>mmol</w:t>
      </w:r>
      <w:proofErr w:type="spellEnd"/>
      <w:r w:rsidRPr="008F3DEF">
        <w:rPr>
          <w:rFonts w:eastAsia="HelenPro-Regular"/>
        </w:rPr>
        <w:t>/L) and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within ± 10% from &gt; 18.0 to 24.0 mg/</w:t>
      </w:r>
      <w:proofErr w:type="spellStart"/>
      <w:r w:rsidRPr="008F3DEF">
        <w:rPr>
          <w:rFonts w:eastAsia="HelenPro-Regular"/>
        </w:rPr>
        <w:t>dL</w:t>
      </w:r>
      <w:proofErr w:type="spellEnd"/>
      <w:r w:rsidRPr="008F3DEF">
        <w:rPr>
          <w:rFonts w:eastAsia="HelenPro-Regular"/>
        </w:rPr>
        <w:t xml:space="preserve"> (&gt; 4.50 to 6.00 </w:t>
      </w:r>
      <w:proofErr w:type="spellStart"/>
      <w:r w:rsidRPr="008F3DEF">
        <w:rPr>
          <w:rFonts w:eastAsia="HelenPro-Regular"/>
        </w:rPr>
        <w:t>mmol</w:t>
      </w:r>
      <w:proofErr w:type="spellEnd"/>
      <w:r w:rsidRPr="008F3DEF">
        <w:rPr>
          <w:rFonts w:eastAsia="HelenPro-Regular"/>
        </w:rPr>
        <w:t>/L) with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95% confidence.</w:t>
      </w:r>
    </w:p>
    <w:p w:rsidR="009C10C9" w:rsidRPr="008F3DEF" w:rsidRDefault="009C10C9" w:rsidP="009C10C9">
      <w:pPr>
        <w:ind w:left="90"/>
        <w:rPr>
          <w:rFonts w:eastAsia="HelenPro-Bold"/>
          <w:b/>
          <w:bCs/>
        </w:rPr>
      </w:pPr>
    </w:p>
    <w:p w:rsidR="00953EA1" w:rsidRPr="008F3DEF" w:rsidRDefault="00953EA1" w:rsidP="001B29A7">
      <w:pPr>
        <w:ind w:left="90"/>
        <w:rPr>
          <w:rFonts w:eastAsia="HelenPro-Bold"/>
          <w:b/>
          <w:bCs/>
        </w:rPr>
      </w:pPr>
      <w:r w:rsidRPr="008F3DEF">
        <w:rPr>
          <w:rFonts w:eastAsia="HelenPro-Bold"/>
          <w:b/>
          <w:bCs/>
        </w:rPr>
        <w:t>Dilution: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Bold"/>
          <w:b/>
          <w:bCs/>
        </w:rPr>
        <w:t xml:space="preserve">Serum and Plasma: </w:t>
      </w:r>
      <w:r w:rsidRPr="008F3DEF">
        <w:rPr>
          <w:rFonts w:eastAsia="HelenPro-Regular"/>
        </w:rPr>
        <w:t>Specimen</w:t>
      </w:r>
      <w:r w:rsidR="008F3DEF">
        <w:rPr>
          <w:rFonts w:eastAsia="HelenPro-Regular"/>
        </w:rPr>
        <w:t xml:space="preserve">s with calcium values exceeding </w:t>
      </w:r>
      <w:r w:rsidRPr="008F3DEF">
        <w:rPr>
          <w:rFonts w:eastAsia="HelenPro-Regular"/>
        </w:rPr>
        <w:t>24.0 mg/</w:t>
      </w:r>
      <w:proofErr w:type="spellStart"/>
      <w:r w:rsidRPr="008F3DEF">
        <w:rPr>
          <w:rFonts w:eastAsia="HelenPro-Regular"/>
        </w:rPr>
        <w:t>dL</w:t>
      </w:r>
      <w:proofErr w:type="spellEnd"/>
      <w:r w:rsidRPr="008F3DEF">
        <w:rPr>
          <w:rFonts w:eastAsia="HelenPro-Regular"/>
        </w:rPr>
        <w:t xml:space="preserve"> (6.00 </w:t>
      </w:r>
      <w:proofErr w:type="spellStart"/>
      <w:r w:rsidRPr="008F3DEF">
        <w:rPr>
          <w:rFonts w:eastAsia="HelenPro-Regular"/>
        </w:rPr>
        <w:t>mmol</w:t>
      </w:r>
      <w:proofErr w:type="spellEnd"/>
      <w:r w:rsidRPr="008F3DEF">
        <w:rPr>
          <w:rFonts w:eastAsia="HelenPro-Regular"/>
        </w:rPr>
        <w:t>/L) are flagged and may be diluted by following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either the Automated Dilution Protocol or the Manual Dilution Procedure.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Bold"/>
          <w:b/>
          <w:bCs/>
        </w:rPr>
        <w:t xml:space="preserve">Urine: </w:t>
      </w:r>
      <w:r w:rsidRPr="008F3DEF">
        <w:rPr>
          <w:rFonts w:eastAsia="HelenPro-Regular"/>
        </w:rPr>
        <w:t>Specimens with calc</w:t>
      </w:r>
      <w:r w:rsidR="008F3DEF">
        <w:rPr>
          <w:rFonts w:eastAsia="HelenPro-Regular"/>
        </w:rPr>
        <w:t>ium values exceeding 24.0 mg/</w:t>
      </w:r>
      <w:proofErr w:type="spellStart"/>
      <w:r w:rsidR="008F3DEF">
        <w:rPr>
          <w:rFonts w:eastAsia="HelenPro-Regular"/>
        </w:rPr>
        <w:t>dL</w:t>
      </w:r>
      <w:proofErr w:type="spellEnd"/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 xml:space="preserve">(6.00 </w:t>
      </w:r>
      <w:proofErr w:type="spellStart"/>
      <w:r w:rsidRPr="008F3DEF">
        <w:rPr>
          <w:rFonts w:eastAsia="HelenPro-Regular"/>
        </w:rPr>
        <w:t>mmol</w:t>
      </w:r>
      <w:proofErr w:type="spellEnd"/>
      <w:r w:rsidRPr="008F3DEF">
        <w:rPr>
          <w:rFonts w:eastAsia="HelenPro-Regular"/>
        </w:rPr>
        <w:t>/L) are flagged and may be diluted by following either the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Automated Dilution Protocol or the Manual Dilution Procedure.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F3DEF">
        <w:rPr>
          <w:rFonts w:eastAsia="HelenPro-Bold"/>
          <w:b/>
          <w:bCs/>
        </w:rPr>
        <w:t>Automated Dilution Protocol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If using the Automated Dilution Protocol,</w:t>
      </w:r>
      <w:r w:rsidR="008F3DEF">
        <w:rPr>
          <w:rFonts w:eastAsia="HelenPro-Regular"/>
        </w:rPr>
        <w:t xml:space="preserve"> the system performs a dilution </w:t>
      </w:r>
      <w:r w:rsidRPr="008F3DEF">
        <w:rPr>
          <w:rFonts w:eastAsia="HelenPro-Regular"/>
        </w:rPr>
        <w:t>of the specimen and automatically corrects the concentration by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multiplying the result by the appropriate dilution factor. To set up the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 xml:space="preserve">automated dilution feature, refer to </w:t>
      </w:r>
      <w:r w:rsidRPr="008F3DEF">
        <w:rPr>
          <w:rFonts w:eastAsia="HelenPro-Bold"/>
          <w:i/>
          <w:iCs/>
        </w:rPr>
        <w:t xml:space="preserve">Section 2 </w:t>
      </w:r>
      <w:r w:rsidRPr="008F3DEF">
        <w:rPr>
          <w:rFonts w:eastAsia="HelenPro-Regular"/>
        </w:rPr>
        <w:t xml:space="preserve">of the </w:t>
      </w:r>
      <w:r w:rsidRPr="008F3DEF">
        <w:rPr>
          <w:rFonts w:eastAsia="HelenPro-Bold"/>
          <w:b/>
          <w:bCs/>
        </w:rPr>
        <w:t>ARCHITECT System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Bold"/>
          <w:b/>
          <w:bCs/>
        </w:rPr>
        <w:t xml:space="preserve">Operations Manual </w:t>
      </w:r>
      <w:r w:rsidRPr="008F3DEF">
        <w:rPr>
          <w:rFonts w:eastAsia="HelenPro-Regular"/>
        </w:rPr>
        <w:t>for additional information.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F3DEF">
        <w:rPr>
          <w:rFonts w:eastAsia="HelenPro-Bold"/>
          <w:b/>
          <w:bCs/>
        </w:rPr>
        <w:t>Manual Dilution Procedure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Manual dilutions should be performed as follows: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 xml:space="preserve">• Use saline (0.85% to 0.90% </w:t>
      </w:r>
      <w:proofErr w:type="spellStart"/>
      <w:r w:rsidRPr="008F3DEF">
        <w:rPr>
          <w:rFonts w:eastAsia="HelenPro-Regular"/>
        </w:rPr>
        <w:t>NaCl</w:t>
      </w:r>
      <w:proofErr w:type="spellEnd"/>
      <w:r w:rsidRPr="008F3DEF">
        <w:rPr>
          <w:rFonts w:eastAsia="HelenPro-Regular"/>
        </w:rPr>
        <w:t>) to dilute the sample.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• The operator must enter the dilution f</w:t>
      </w:r>
      <w:r w:rsidR="008F3DEF">
        <w:rPr>
          <w:rFonts w:eastAsia="HelenPro-Regular"/>
        </w:rPr>
        <w:t xml:space="preserve">actor in the patient or control </w:t>
      </w:r>
      <w:r w:rsidRPr="008F3DEF">
        <w:rPr>
          <w:rFonts w:eastAsia="HelenPro-Regular"/>
        </w:rPr>
        <w:t>order screen. The system uses this dilution factor to automatically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correct the concentration by multiplying the result by the entered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factor.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• If the operator does not enter the dilu</w:t>
      </w:r>
      <w:r w:rsidR="008F3DEF">
        <w:rPr>
          <w:rFonts w:eastAsia="HelenPro-Regular"/>
        </w:rPr>
        <w:t xml:space="preserve">tion factor, the result must be </w:t>
      </w:r>
      <w:r w:rsidRPr="008F3DEF">
        <w:rPr>
          <w:rFonts w:eastAsia="HelenPro-Regular"/>
        </w:rPr>
        <w:t>multiplied by the appropriate dilution factor before reporting the result.</w:t>
      </w:r>
    </w:p>
    <w:p w:rsidR="009C10C9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Bold"/>
          <w:b/>
          <w:bCs/>
        </w:rPr>
        <w:t xml:space="preserve">NOTE: </w:t>
      </w:r>
      <w:r w:rsidRPr="008F3DEF">
        <w:rPr>
          <w:rFonts w:eastAsia="HelenPro-Regular"/>
        </w:rPr>
        <w:t>If a diluted sample result is flagged</w:t>
      </w:r>
      <w:r w:rsidR="008F3DEF">
        <w:rPr>
          <w:rFonts w:eastAsia="HelenPro-Regular"/>
        </w:rPr>
        <w:t xml:space="preserve"> indicating it is less than the </w:t>
      </w:r>
      <w:r w:rsidRPr="008F3DEF">
        <w:rPr>
          <w:rFonts w:eastAsia="HelenPro-Regular"/>
        </w:rPr>
        <w:t>linear low limit, do not report the result. Rerun using an appropriate</w:t>
      </w:r>
      <w:r w:rsidR="008F3DEF">
        <w:rPr>
          <w:rFonts w:eastAsia="HelenPro-Regular"/>
        </w:rPr>
        <w:t xml:space="preserve"> </w:t>
      </w:r>
      <w:r w:rsidRPr="008F3DEF">
        <w:rPr>
          <w:rFonts w:eastAsia="HelenPro-Regular"/>
        </w:rPr>
        <w:t>dilution.</w:t>
      </w:r>
    </w:p>
    <w:p w:rsidR="00973EAF" w:rsidRPr="008F3DEF" w:rsidRDefault="009C10C9" w:rsidP="009C10C9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lastRenderedPageBreak/>
        <w:t xml:space="preserve">For detailed information on ordering dilutions, refer to </w:t>
      </w:r>
      <w:r w:rsidRPr="008F3DEF">
        <w:rPr>
          <w:rFonts w:eastAsia="HelenPro-Bold"/>
          <w:i/>
          <w:iCs/>
        </w:rPr>
        <w:t xml:space="preserve">Section 5 </w:t>
      </w:r>
      <w:r w:rsidRPr="008F3DEF">
        <w:rPr>
          <w:rFonts w:eastAsia="HelenPro-Regular"/>
        </w:rPr>
        <w:t>of t</w:t>
      </w:r>
      <w:r w:rsidR="008F3DEF">
        <w:rPr>
          <w:rFonts w:eastAsia="HelenPro-Regular"/>
        </w:rPr>
        <w:t xml:space="preserve">he </w:t>
      </w:r>
      <w:r w:rsidRPr="008F3DEF">
        <w:rPr>
          <w:rFonts w:eastAsia="HelenPro-Bold"/>
          <w:b/>
          <w:bCs/>
        </w:rPr>
        <w:t>ARCHITECT System Operations Manual</w:t>
      </w:r>
      <w:r w:rsidRPr="008F3DEF">
        <w:rPr>
          <w:rFonts w:eastAsia="HelenPro-Regular"/>
        </w:rPr>
        <w:t>.</w:t>
      </w:r>
    </w:p>
    <w:p w:rsidR="000F0494" w:rsidRPr="008F3DEF" w:rsidRDefault="000F0494" w:rsidP="00DA6C6A">
      <w:pPr>
        <w:autoSpaceDE w:val="0"/>
        <w:autoSpaceDN w:val="0"/>
        <w:adjustRightInd w:val="0"/>
        <w:rPr>
          <w:b/>
        </w:rPr>
      </w:pPr>
    </w:p>
    <w:p w:rsidR="00912FE4" w:rsidRPr="008F3DEF" w:rsidRDefault="00F95946" w:rsidP="00DA6C6A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b/>
        </w:rPr>
        <w:t>Limit of Quantitation (LOQ)</w:t>
      </w:r>
      <w:r w:rsidR="00F82D85" w:rsidRPr="008F3DEF">
        <w:rPr>
          <w:b/>
          <w:lang w:val="ru-RU"/>
        </w:rPr>
        <w:t>:</w:t>
      </w:r>
      <w:r w:rsidR="00F82D85" w:rsidRPr="008F3DEF">
        <w:rPr>
          <w:b/>
        </w:rPr>
        <w:t xml:space="preserve">  </w:t>
      </w:r>
      <w:r w:rsidR="00F82D85" w:rsidRPr="008F3DEF">
        <w:rPr>
          <w:b/>
          <w:color w:val="000000"/>
          <w:lang w:val="ru-RU"/>
        </w:rPr>
        <w:t xml:space="preserve"> </w:t>
      </w:r>
      <w:r w:rsidR="009C10C9" w:rsidRPr="008F3DEF">
        <w:rPr>
          <w:rFonts w:eastAsia="HelenPro-Regular"/>
        </w:rPr>
        <w:t>The LOQ for Calcium serum and urine is 1.0 mg/</w:t>
      </w:r>
      <w:proofErr w:type="spellStart"/>
      <w:r w:rsidR="009C10C9" w:rsidRPr="008F3DEF">
        <w:rPr>
          <w:rFonts w:eastAsia="HelenPro-Regular"/>
        </w:rPr>
        <w:t>dL</w:t>
      </w:r>
      <w:proofErr w:type="spellEnd"/>
      <w:r w:rsidR="009C10C9" w:rsidRPr="008F3DEF">
        <w:rPr>
          <w:rFonts w:eastAsia="HelenPro-Regular"/>
        </w:rPr>
        <w:t xml:space="preserve"> (0.25 </w:t>
      </w:r>
      <w:proofErr w:type="spellStart"/>
      <w:r w:rsidR="009C10C9" w:rsidRPr="008F3DEF">
        <w:rPr>
          <w:rFonts w:eastAsia="HelenPro-Regular"/>
        </w:rPr>
        <w:t>mmol</w:t>
      </w:r>
      <w:proofErr w:type="spellEnd"/>
      <w:r w:rsidR="009C10C9" w:rsidRPr="008F3DEF">
        <w:rPr>
          <w:rFonts w:eastAsia="HelenPro-Regular"/>
        </w:rPr>
        <w:t>/L).</w:t>
      </w: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  <w:b/>
        </w:rPr>
        <w:t>Limit of Detection (LOD):</w:t>
      </w:r>
      <w:r w:rsidRPr="008F3DEF">
        <w:rPr>
          <w:rFonts w:eastAsia="HelenPro-Regular"/>
        </w:rPr>
        <w:t xml:space="preserve">  </w:t>
      </w:r>
      <w:r w:rsidR="009C10C9" w:rsidRPr="008F3DEF">
        <w:rPr>
          <w:rFonts w:eastAsia="HelenPro-Regular"/>
        </w:rPr>
        <w:t>The LOD for Calcium serum and urine is 0.5 mg/</w:t>
      </w:r>
      <w:proofErr w:type="spellStart"/>
      <w:r w:rsidR="009C10C9" w:rsidRPr="008F3DEF">
        <w:rPr>
          <w:rFonts w:eastAsia="HelenPro-Regular"/>
        </w:rPr>
        <w:t>dL</w:t>
      </w:r>
      <w:proofErr w:type="spellEnd"/>
      <w:r w:rsidR="009C10C9" w:rsidRPr="008F3DEF">
        <w:rPr>
          <w:rFonts w:eastAsia="HelenPro-Regular"/>
        </w:rPr>
        <w:t xml:space="preserve"> (0.125 </w:t>
      </w:r>
      <w:proofErr w:type="spellStart"/>
      <w:r w:rsidR="009C10C9" w:rsidRPr="008F3DEF">
        <w:rPr>
          <w:rFonts w:eastAsia="HelenPro-Regular"/>
        </w:rPr>
        <w:t>mmol</w:t>
      </w:r>
      <w:proofErr w:type="spellEnd"/>
      <w:r w:rsidR="009C10C9" w:rsidRPr="008F3DEF">
        <w:rPr>
          <w:rFonts w:eastAsia="HelenPro-Regular"/>
        </w:rPr>
        <w:t>/L).</w:t>
      </w: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</w:rPr>
      </w:pP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F3DEF">
        <w:rPr>
          <w:rFonts w:eastAsia="HelenPro-Regular"/>
          <w:b/>
        </w:rPr>
        <w:t>Limitation of Procedure:</w:t>
      </w:r>
    </w:p>
    <w:p w:rsidR="008D7886" w:rsidRPr="008F3DEF" w:rsidRDefault="00452710" w:rsidP="00757326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N/A</w:t>
      </w:r>
    </w:p>
    <w:p w:rsidR="00DA6C6A" w:rsidRPr="008F3DEF" w:rsidRDefault="00DA6C6A" w:rsidP="00F95946">
      <w:pPr>
        <w:rPr>
          <w:b/>
          <w:color w:val="000000"/>
        </w:rPr>
      </w:pPr>
    </w:p>
    <w:p w:rsidR="00912FE4" w:rsidRPr="008F3DEF" w:rsidRDefault="008D7886" w:rsidP="00F95946">
      <w:pPr>
        <w:rPr>
          <w:rFonts w:eastAsia="HelenPro-Regular"/>
        </w:rPr>
      </w:pPr>
      <w:r w:rsidRPr="008F3DEF">
        <w:rPr>
          <w:b/>
          <w:color w:val="000000"/>
        </w:rPr>
        <w:t>P</w:t>
      </w:r>
      <w:r w:rsidR="00912FE4" w:rsidRPr="008F3DEF">
        <w:rPr>
          <w:b/>
          <w:color w:val="000000"/>
        </w:rPr>
        <w:t>recision:</w:t>
      </w:r>
      <w:r w:rsidR="0038442D" w:rsidRPr="008F3DEF">
        <w:rPr>
          <w:b/>
          <w:color w:val="000000"/>
        </w:rPr>
        <w:t xml:space="preserve"> </w:t>
      </w:r>
    </w:p>
    <w:p w:rsidR="00723CD6" w:rsidRPr="008F3DEF" w:rsidRDefault="008F3DEF" w:rsidP="00F95946">
      <w:pPr>
        <w:autoSpaceDE w:val="0"/>
        <w:autoSpaceDN w:val="0"/>
        <w:adjustRightInd w:val="0"/>
        <w:rPr>
          <w:noProof/>
        </w:rPr>
      </w:pPr>
      <w:r w:rsidRPr="008F3DEF">
        <w:rPr>
          <w:rFonts w:eastAsia="HelenPro-Regular"/>
        </w:rPr>
        <w:t>The imprecision of the Calcium assay is ≤ 3% Total CV.</w:t>
      </w:r>
    </w:p>
    <w:p w:rsidR="008F3DEF" w:rsidRDefault="009932EB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4320481C" wp14:editId="73D27185">
            <wp:extent cx="3457575" cy="2800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DEF" w:rsidRPr="00F95946" w:rsidRDefault="009932EB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412093F" wp14:editId="4ACF46F5">
            <wp:extent cx="3524250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Regular"/>
        </w:rPr>
      </w:pPr>
    </w:p>
    <w:p w:rsidR="00BC1EC4" w:rsidRPr="00BC1EC4" w:rsidRDefault="008D7886" w:rsidP="00BC1EC4">
      <w:pPr>
        <w:pStyle w:val="Heading4"/>
        <w:rPr>
          <w:sz w:val="32"/>
        </w:rPr>
      </w:pPr>
      <w:r>
        <w:lastRenderedPageBreak/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8D7886" w:rsidRPr="008D7886" w:rsidRDefault="008D7886" w:rsidP="008D7886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rFonts w:eastAsia="HelenPro-Regular"/>
        </w:rPr>
        <w:t>Interference effects were assessed by Dose Response and</w:t>
      </w:r>
      <w:r>
        <w:rPr>
          <w:rFonts w:eastAsia="HelenPro-Regular"/>
        </w:rPr>
        <w:t xml:space="preserve"> </w:t>
      </w:r>
      <w:r w:rsidRPr="008D7886">
        <w:rPr>
          <w:rFonts w:eastAsia="HelenPro-Regular"/>
        </w:rPr>
        <w:t xml:space="preserve">Paired Difference methods, at the medical decision level of the </w:t>
      </w:r>
      <w:proofErr w:type="spellStart"/>
      <w:r w:rsidRPr="008D7886">
        <w:rPr>
          <w:rFonts w:eastAsia="HelenPro-Regular"/>
        </w:rPr>
        <w:t>analyte</w:t>
      </w:r>
      <w:proofErr w:type="spellEnd"/>
      <w:r w:rsidRPr="008D7886">
        <w:rPr>
          <w:rFonts w:eastAsia="HelenPro-Regular"/>
        </w:rPr>
        <w:t>.</w:t>
      </w:r>
    </w:p>
    <w:p w:rsidR="008D7886" w:rsidRDefault="008D7886" w:rsidP="008D7886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74336C" w:rsidRDefault="009932EB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6DFB1F2A" wp14:editId="1A978869">
            <wp:extent cx="3476625" cy="2924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Default="00BC1EC4" w:rsidP="00AB5354">
      <w:pPr>
        <w:rPr>
          <w:rFonts w:eastAsia="HelenPro-Regular"/>
        </w:rPr>
      </w:pPr>
    </w:p>
    <w:p w:rsidR="008F3DEF" w:rsidRDefault="008F3DEF" w:rsidP="00D16B69">
      <w:pPr>
        <w:jc w:val="both"/>
        <w:rPr>
          <w:b/>
        </w:rPr>
      </w:pPr>
    </w:p>
    <w:p w:rsidR="008F3DEF" w:rsidRDefault="008F3DEF" w:rsidP="00D16B69">
      <w:pPr>
        <w:jc w:val="both"/>
        <w:rPr>
          <w:b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8F3DEF">
        <w:rPr>
          <w:rFonts w:ascii="Arial" w:hAnsi="Arial" w:cs="Arial"/>
          <w:sz w:val="22"/>
          <w:szCs w:val="22"/>
        </w:rPr>
        <w:t>Calcium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0A13F2" w:rsidRDefault="009932EB" w:rsidP="000A13F2">
      <w:pPr>
        <w:pStyle w:val="ListParagraph"/>
        <w:rPr>
          <w:rFonts w:eastAsia="HelenPro-Bold"/>
          <w:bCs/>
        </w:rPr>
      </w:pPr>
      <w:r>
        <w:rPr>
          <w:rFonts w:ascii="Arial" w:hAnsi="Arial" w:cs="Arial"/>
          <w:bCs/>
          <w:sz w:val="22"/>
          <w:szCs w:val="22"/>
        </w:rPr>
        <w:t>Jan</w:t>
      </w:r>
      <w:r w:rsidR="00501C1C">
        <w:rPr>
          <w:rFonts w:ascii="Arial" w:hAnsi="Arial" w:cs="Arial"/>
          <w:bCs/>
          <w:sz w:val="22"/>
          <w:szCs w:val="22"/>
        </w:rPr>
        <w:t xml:space="preserve"> </w:t>
      </w:r>
      <w:r w:rsidR="0075732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16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9932EB">
        <w:rPr>
          <w:rFonts w:ascii="HelenPro-Bold" w:eastAsia="HelenPro-Bold" w:cs="HelenPro-Bold"/>
          <w:bCs/>
          <w:szCs w:val="28"/>
        </w:rPr>
        <w:t xml:space="preserve">306781 </w:t>
      </w:r>
      <w:r w:rsidRPr="009932EB">
        <w:rPr>
          <w:rFonts w:ascii="HelenPro-BlackCond" w:eastAsia="HelenPro-Bold" w:hAnsi="HelenPro-BlackCond" w:cs="HelenPro-BlackCond"/>
          <w:szCs w:val="28"/>
        </w:rPr>
        <w:t xml:space="preserve">/ </w:t>
      </w:r>
      <w:r w:rsidRPr="009932EB">
        <w:rPr>
          <w:rFonts w:ascii="HelenPro-Bold" w:eastAsia="HelenPro-Bold" w:cs="HelenPro-Bold"/>
          <w:bCs/>
          <w:szCs w:val="28"/>
        </w:rPr>
        <w:t>R06</w:t>
      </w:r>
    </w:p>
    <w:p w:rsidR="00723CD6" w:rsidRPr="00723CD6" w:rsidRDefault="00723CD6" w:rsidP="00723CD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eastAsia="HelenPro-Bold"/>
          <w:bCs/>
        </w:rPr>
        <w:t xml:space="preserve">ABBOTT </w:t>
      </w:r>
      <w:proofErr w:type="spellStart"/>
      <w:r>
        <w:rPr>
          <w:rFonts w:eastAsia="HelenPro-Bold"/>
          <w:bCs/>
        </w:rPr>
        <w:t>Multiconstituent</w:t>
      </w:r>
      <w:proofErr w:type="spellEnd"/>
      <w:r>
        <w:rPr>
          <w:rFonts w:eastAsia="HelenPro-Bold"/>
          <w:bCs/>
        </w:rPr>
        <w:t xml:space="preserve"> Calibrator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723CD6" w:rsidRPr="000A13F2" w:rsidRDefault="00484BE3" w:rsidP="00723CD6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June</w:t>
      </w:r>
      <w:r w:rsidR="00723CD6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13</w:t>
      </w:r>
      <w:r w:rsidR="00723CD6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484BE3">
        <w:rPr>
          <w:rFonts w:eastAsia="HelenPro-Regular"/>
        </w:rPr>
        <w:t>306297/R04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246FA8" w:rsidRPr="001413B4" w:rsidRDefault="00157696" w:rsidP="0009322F">
      <w:pPr>
        <w:rPr>
          <w:i/>
          <w:color w:val="FF0000"/>
        </w:rPr>
      </w:pPr>
      <w:bookmarkStart w:id="0" w:name="_GoBack"/>
      <w:bookmarkEnd w:id="0"/>
      <w:r>
        <w:rPr>
          <w:b/>
        </w:rPr>
        <w:t>Attachments:</w:t>
      </w:r>
      <w:r w:rsidR="00973EAF">
        <w:rPr>
          <w:b/>
        </w:rPr>
        <w:t xml:space="preserve"> </w:t>
      </w:r>
    </w:p>
    <w:p w:rsidR="00246FA8" w:rsidRDefault="00246FA8" w:rsidP="0009322F">
      <w:pPr>
        <w:rPr>
          <w:b/>
        </w:rPr>
      </w:pPr>
    </w:p>
    <w:sectPr w:rsidR="00246FA8" w:rsidSect="00507B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81" w:rsidRDefault="00EC6681">
      <w:r>
        <w:separator/>
      </w:r>
    </w:p>
  </w:endnote>
  <w:endnote w:type="continuationSeparator" w:id="0">
    <w:p w:rsidR="00EC6681" w:rsidRDefault="00E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HelenPro-Black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EF9" w:rsidRDefault="003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6243D4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6243D4">
      <w:rPr>
        <w:noProof/>
        <w:sz w:val="20"/>
        <w:szCs w:val="20"/>
      </w:rPr>
      <w:t>8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EF9" w:rsidRDefault="003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81" w:rsidRDefault="00EC6681">
      <w:r>
        <w:separator/>
      </w:r>
    </w:p>
  </w:footnote>
  <w:footnote w:type="continuationSeparator" w:id="0">
    <w:p w:rsidR="00EC6681" w:rsidRDefault="00EC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EF9" w:rsidRDefault="00371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</w:t>
    </w:r>
    <w:r w:rsidR="00371EF9">
      <w:rPr>
        <w:b/>
        <w:sz w:val="20"/>
        <w:szCs w:val="20"/>
      </w:rPr>
      <w:t>4840-CH-115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7B3A53">
      <w:rPr>
        <w:sz w:val="20"/>
        <w:szCs w:val="20"/>
      </w:rPr>
      <w:t>Calcium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EF9" w:rsidRDefault="003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502B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0494"/>
    <w:rsid w:val="000F49B2"/>
    <w:rsid w:val="00100BF8"/>
    <w:rsid w:val="0010358F"/>
    <w:rsid w:val="00107444"/>
    <w:rsid w:val="00132081"/>
    <w:rsid w:val="00133F38"/>
    <w:rsid w:val="001413B4"/>
    <w:rsid w:val="0014554C"/>
    <w:rsid w:val="00155687"/>
    <w:rsid w:val="00157696"/>
    <w:rsid w:val="0016247C"/>
    <w:rsid w:val="00167572"/>
    <w:rsid w:val="00172CF7"/>
    <w:rsid w:val="0019760C"/>
    <w:rsid w:val="001A0637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21C81"/>
    <w:rsid w:val="00246FA8"/>
    <w:rsid w:val="0025031C"/>
    <w:rsid w:val="00255C54"/>
    <w:rsid w:val="002649AA"/>
    <w:rsid w:val="002746A8"/>
    <w:rsid w:val="002879ED"/>
    <w:rsid w:val="002B0D2A"/>
    <w:rsid w:val="002B1993"/>
    <w:rsid w:val="002C0E55"/>
    <w:rsid w:val="002C7FD5"/>
    <w:rsid w:val="002D2075"/>
    <w:rsid w:val="002D370D"/>
    <w:rsid w:val="002D38DF"/>
    <w:rsid w:val="002E5C0B"/>
    <w:rsid w:val="002F52E0"/>
    <w:rsid w:val="003056A7"/>
    <w:rsid w:val="00347BEC"/>
    <w:rsid w:val="00353FD5"/>
    <w:rsid w:val="00371EF9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57A3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84BE3"/>
    <w:rsid w:val="00493DD1"/>
    <w:rsid w:val="004A03BD"/>
    <w:rsid w:val="004A2AA3"/>
    <w:rsid w:val="004A4274"/>
    <w:rsid w:val="004C05F8"/>
    <w:rsid w:val="004C104D"/>
    <w:rsid w:val="004C2C23"/>
    <w:rsid w:val="004C37CB"/>
    <w:rsid w:val="004F5F8A"/>
    <w:rsid w:val="00501C1C"/>
    <w:rsid w:val="00507B0C"/>
    <w:rsid w:val="00533CE1"/>
    <w:rsid w:val="00551335"/>
    <w:rsid w:val="0055619E"/>
    <w:rsid w:val="0056023B"/>
    <w:rsid w:val="00574309"/>
    <w:rsid w:val="005806E5"/>
    <w:rsid w:val="0058304A"/>
    <w:rsid w:val="00586792"/>
    <w:rsid w:val="005902C0"/>
    <w:rsid w:val="005A1D53"/>
    <w:rsid w:val="005A4739"/>
    <w:rsid w:val="005A7348"/>
    <w:rsid w:val="005B0D1C"/>
    <w:rsid w:val="005E3AB5"/>
    <w:rsid w:val="005E3D52"/>
    <w:rsid w:val="005F3E81"/>
    <w:rsid w:val="00607638"/>
    <w:rsid w:val="00610572"/>
    <w:rsid w:val="006107A2"/>
    <w:rsid w:val="00621ABB"/>
    <w:rsid w:val="00623EFB"/>
    <w:rsid w:val="006243D4"/>
    <w:rsid w:val="00626F02"/>
    <w:rsid w:val="0063150E"/>
    <w:rsid w:val="00644800"/>
    <w:rsid w:val="006559EB"/>
    <w:rsid w:val="00674186"/>
    <w:rsid w:val="006A5AAE"/>
    <w:rsid w:val="006B3C65"/>
    <w:rsid w:val="006D28ED"/>
    <w:rsid w:val="006D40ED"/>
    <w:rsid w:val="006E5155"/>
    <w:rsid w:val="006F7F4F"/>
    <w:rsid w:val="00714B7D"/>
    <w:rsid w:val="00714F24"/>
    <w:rsid w:val="00723CD6"/>
    <w:rsid w:val="0074336C"/>
    <w:rsid w:val="007555AA"/>
    <w:rsid w:val="00757326"/>
    <w:rsid w:val="007703C0"/>
    <w:rsid w:val="007840DD"/>
    <w:rsid w:val="00795231"/>
    <w:rsid w:val="007B09E3"/>
    <w:rsid w:val="007B0CCE"/>
    <w:rsid w:val="007B247B"/>
    <w:rsid w:val="007B3A53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3DEF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932EB"/>
    <w:rsid w:val="009A4991"/>
    <w:rsid w:val="009B4C90"/>
    <w:rsid w:val="009C10C9"/>
    <w:rsid w:val="009C7BD7"/>
    <w:rsid w:val="009D1D61"/>
    <w:rsid w:val="009D498B"/>
    <w:rsid w:val="009E0FF1"/>
    <w:rsid w:val="009E49EB"/>
    <w:rsid w:val="009F52BA"/>
    <w:rsid w:val="009F648F"/>
    <w:rsid w:val="00A016EE"/>
    <w:rsid w:val="00A06412"/>
    <w:rsid w:val="00A1152E"/>
    <w:rsid w:val="00A15B97"/>
    <w:rsid w:val="00A226F3"/>
    <w:rsid w:val="00A241F8"/>
    <w:rsid w:val="00A320E4"/>
    <w:rsid w:val="00A32FAE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E6F5B"/>
    <w:rsid w:val="00AF597C"/>
    <w:rsid w:val="00B1189F"/>
    <w:rsid w:val="00B11C38"/>
    <w:rsid w:val="00B13AB5"/>
    <w:rsid w:val="00B30875"/>
    <w:rsid w:val="00B36577"/>
    <w:rsid w:val="00B434E9"/>
    <w:rsid w:val="00B438DB"/>
    <w:rsid w:val="00B46687"/>
    <w:rsid w:val="00B50C75"/>
    <w:rsid w:val="00B63263"/>
    <w:rsid w:val="00B63E8F"/>
    <w:rsid w:val="00B70AAC"/>
    <w:rsid w:val="00B72271"/>
    <w:rsid w:val="00B864B3"/>
    <w:rsid w:val="00BA0054"/>
    <w:rsid w:val="00BC1EC4"/>
    <w:rsid w:val="00BC5937"/>
    <w:rsid w:val="00BC76E2"/>
    <w:rsid w:val="00BE40A6"/>
    <w:rsid w:val="00C32412"/>
    <w:rsid w:val="00C53E37"/>
    <w:rsid w:val="00C63D0C"/>
    <w:rsid w:val="00C90E57"/>
    <w:rsid w:val="00C912E2"/>
    <w:rsid w:val="00C967D5"/>
    <w:rsid w:val="00CA11D0"/>
    <w:rsid w:val="00CA1F88"/>
    <w:rsid w:val="00CC2751"/>
    <w:rsid w:val="00CC37B4"/>
    <w:rsid w:val="00CC3D62"/>
    <w:rsid w:val="00CE2DC7"/>
    <w:rsid w:val="00CF7868"/>
    <w:rsid w:val="00D16262"/>
    <w:rsid w:val="00D16B69"/>
    <w:rsid w:val="00D27C5A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4542"/>
    <w:rsid w:val="00DA6C6A"/>
    <w:rsid w:val="00DB49D0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840BC"/>
    <w:rsid w:val="00E97A8C"/>
    <w:rsid w:val="00EA1269"/>
    <w:rsid w:val="00EA713D"/>
    <w:rsid w:val="00EB2F9F"/>
    <w:rsid w:val="00EB33FE"/>
    <w:rsid w:val="00EC002B"/>
    <w:rsid w:val="00EC5159"/>
    <w:rsid w:val="00EC528B"/>
    <w:rsid w:val="00EC6681"/>
    <w:rsid w:val="00EC7B32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74FE-B42A-47E6-86BB-D7CBBF92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1702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11630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3</cp:revision>
  <cp:lastPrinted>2012-02-10T12:42:00Z</cp:lastPrinted>
  <dcterms:created xsi:type="dcterms:W3CDTF">2018-08-21T12:28:00Z</dcterms:created>
  <dcterms:modified xsi:type="dcterms:W3CDTF">2018-10-19T17:49:00Z</dcterms:modified>
</cp:coreProperties>
</file>