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961E1D">
      <w:pPr>
        <w:rPr>
          <w:b/>
        </w:rPr>
      </w:pPr>
      <w:r>
        <w:rPr>
          <w:noProof/>
        </w:rPr>
        <w:drawing>
          <wp:inline distT="0" distB="0" distL="0" distR="0" wp14:anchorId="28F406BF" wp14:editId="34B38429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1D" w:rsidRPr="007E4CE6" w:rsidRDefault="00961E1D">
      <w:pPr>
        <w:rPr>
          <w:b/>
        </w:rPr>
      </w:pPr>
    </w:p>
    <w:p w:rsidR="00BC5937" w:rsidRPr="00BC5937" w:rsidRDefault="00BC5937" w:rsidP="006107A2">
      <w:pPr>
        <w:jc w:val="center"/>
        <w:rPr>
          <w:b/>
          <w:sz w:val="28"/>
          <w:szCs w:val="28"/>
        </w:rPr>
      </w:pPr>
      <w:r w:rsidRPr="00BC5937">
        <w:rPr>
          <w:rFonts w:eastAsia="HelenPro-Regular"/>
          <w:b/>
          <w:sz w:val="28"/>
          <w:szCs w:val="28"/>
        </w:rPr>
        <w:t>ASPARTATE AMINOTRANSFERASE</w:t>
      </w:r>
      <w:r w:rsidRPr="00BC5937">
        <w:rPr>
          <w:b/>
          <w:sz w:val="28"/>
          <w:szCs w:val="28"/>
        </w:rPr>
        <w:t xml:space="preserve"> 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</w:t>
      </w:r>
      <w:r w:rsidR="002E5C0B">
        <w:rPr>
          <w:b/>
          <w:sz w:val="28"/>
          <w:szCs w:val="28"/>
        </w:rPr>
        <w:t>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8A7F96" w:rsidRPr="001A0637" w:rsidRDefault="009C7BD7" w:rsidP="001A0637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The </w:t>
      </w:r>
      <w:r w:rsidR="00317AA0">
        <w:rPr>
          <w:rFonts w:eastAsia="HelenPro-Regular"/>
        </w:rPr>
        <w:t>Aspartate</w:t>
      </w:r>
      <w:r>
        <w:rPr>
          <w:rFonts w:eastAsia="HelenPro-Regular"/>
        </w:rPr>
        <w:t xml:space="preserve"> Aminotransferase (AS</w:t>
      </w:r>
      <w:r w:rsidR="001A0637" w:rsidRPr="001A0637">
        <w:rPr>
          <w:rFonts w:eastAsia="HelenPro-Regular"/>
        </w:rPr>
        <w:t xml:space="preserve">T) assay </w:t>
      </w:r>
      <w:r w:rsidR="001A0637">
        <w:rPr>
          <w:rFonts w:eastAsia="HelenPro-Regular"/>
        </w:rPr>
        <w:t xml:space="preserve">is used for the quantitation of </w:t>
      </w:r>
      <w:r>
        <w:rPr>
          <w:rFonts w:eastAsia="HelenPro-Regular"/>
        </w:rPr>
        <w:t>aspartate</w:t>
      </w:r>
      <w:r w:rsidR="001A0637" w:rsidRPr="001A0637">
        <w:rPr>
          <w:rFonts w:eastAsia="HelenPro-Regular"/>
        </w:rPr>
        <w:t xml:space="preserve"> aminotransferase in human serum or plasma.</w:t>
      </w:r>
    </w:p>
    <w:p w:rsidR="004A03BD" w:rsidRDefault="004A03BD" w:rsidP="006107A2">
      <w:pPr>
        <w:jc w:val="both"/>
        <w:rPr>
          <w:b/>
          <w:sz w:val="28"/>
          <w:szCs w:val="28"/>
        </w:rPr>
      </w:pPr>
    </w:p>
    <w:p w:rsidR="0009322F" w:rsidRPr="0009322F" w:rsidRDefault="006559EB" w:rsidP="006107A2">
      <w:pPr>
        <w:jc w:val="both"/>
      </w:pPr>
      <w:r w:rsidRPr="007E4CE6">
        <w:rPr>
          <w:b/>
          <w:sz w:val="28"/>
          <w:szCs w:val="28"/>
        </w:rPr>
        <w:t>Clinical Significance</w:t>
      </w:r>
      <w:r w:rsidR="006107A2" w:rsidRPr="007E4CE6">
        <w:rPr>
          <w:sz w:val="28"/>
          <w:szCs w:val="28"/>
        </w:rPr>
        <w:t xml:space="preserve"> </w:t>
      </w:r>
    </w:p>
    <w:p w:rsidR="00C32412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>Aspartate aminotransferase (AST)</w:t>
      </w:r>
      <w:r>
        <w:rPr>
          <w:rFonts w:eastAsia="HelenPro-Regular"/>
        </w:rPr>
        <w:t xml:space="preserve">, also referred to as glutamate </w:t>
      </w:r>
      <w:r w:rsidRPr="009C7BD7">
        <w:rPr>
          <w:rFonts w:eastAsia="HelenPro-Regular"/>
        </w:rPr>
        <w:t>oxaloacetate transaminase (GOT), is one of a group of enzymes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 xml:space="preserve">which catalyzes the </w:t>
      </w:r>
      <w:proofErr w:type="spellStart"/>
      <w:r w:rsidRPr="009C7BD7">
        <w:rPr>
          <w:rFonts w:eastAsia="HelenPro-Regular"/>
        </w:rPr>
        <w:t>interconversion</w:t>
      </w:r>
      <w:proofErr w:type="spellEnd"/>
      <w:r w:rsidRPr="009C7BD7">
        <w:rPr>
          <w:rFonts w:eastAsia="HelenPro-Regular"/>
        </w:rPr>
        <w:t xml:space="preserve"> of amino acids and α-</w:t>
      </w:r>
      <w:proofErr w:type="spellStart"/>
      <w:r w:rsidRPr="009C7BD7">
        <w:rPr>
          <w:rFonts w:eastAsia="HelenPro-Regular"/>
        </w:rPr>
        <w:t>keto</w:t>
      </w:r>
      <w:proofErr w:type="spellEnd"/>
      <w:r w:rsidRPr="009C7BD7">
        <w:rPr>
          <w:rFonts w:eastAsia="HelenPro-Regular"/>
        </w:rPr>
        <w:t xml:space="preserve"> acids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by transfer of amino groups. Both AST and alanine aminotransferase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(ALT) are normally found in most body fluids, but not in urine except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in instances of kidney lesions. The greatest concentrations of AST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are found in heart, liver, muscle, and kidney tissues. Damage to these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tissues can greatly elevate serum AST levels. Following myocardial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infarction, AST in serum begins to increase within 6 to 8 hours of onset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of pain, reaching a peak within 18 to 24 hours and falling to normal by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the fourth or fifth day. Serum values may increase to 10 to 15 times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normal levels and the increase is roughly proportional to the degree of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tissue damage.</w:t>
      </w:r>
    </w:p>
    <w:p w:rsidR="009C7BD7" w:rsidRDefault="009C7BD7" w:rsidP="008A7F96">
      <w:pPr>
        <w:jc w:val="both"/>
        <w:rPr>
          <w:b/>
          <w:sz w:val="28"/>
          <w:szCs w:val="28"/>
        </w:rPr>
      </w:pPr>
    </w:p>
    <w:p w:rsidR="008A7F96" w:rsidRPr="00973EAF" w:rsidRDefault="008A7F96" w:rsidP="008A7F96">
      <w:pPr>
        <w:jc w:val="both"/>
        <w:rPr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Principle</w:t>
      </w:r>
      <w:r w:rsidRPr="007E4CE6">
        <w:rPr>
          <w:sz w:val="28"/>
          <w:szCs w:val="28"/>
        </w:rPr>
        <w:t xml:space="preserve"> </w:t>
      </w:r>
    </w:p>
    <w:p w:rsidR="008A7F96" w:rsidRPr="0009322F" w:rsidRDefault="008A7F96" w:rsidP="008A7F96">
      <w:pPr>
        <w:jc w:val="both"/>
      </w:pPr>
    </w:p>
    <w:p w:rsidR="009C7BD7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>AST present in the sample cata</w:t>
      </w:r>
      <w:r>
        <w:rPr>
          <w:rFonts w:eastAsia="HelenPro-Regular"/>
        </w:rPr>
        <w:t xml:space="preserve">lyzes the transfer of the amino </w:t>
      </w:r>
      <w:r w:rsidRPr="009C7BD7">
        <w:rPr>
          <w:rFonts w:eastAsia="HelenPro-Regular"/>
        </w:rPr>
        <w:t xml:space="preserve">group from </w:t>
      </w:r>
      <w:r w:rsidRPr="009C7BD7">
        <w:rPr>
          <w:rFonts w:eastAsia="HelenPro-Regular"/>
          <w:i/>
          <w:iCs/>
        </w:rPr>
        <w:t>L</w:t>
      </w:r>
      <w:r w:rsidRPr="009C7BD7">
        <w:rPr>
          <w:rFonts w:eastAsia="HelenPro-Regular"/>
        </w:rPr>
        <w:t>-aspartate to α-</w:t>
      </w:r>
      <w:proofErr w:type="spellStart"/>
      <w:r w:rsidRPr="009C7BD7">
        <w:rPr>
          <w:rFonts w:eastAsia="HelenPro-Regular"/>
        </w:rPr>
        <w:t>ketoglutarate</w:t>
      </w:r>
      <w:proofErr w:type="spellEnd"/>
      <w:r w:rsidRPr="009C7BD7">
        <w:rPr>
          <w:rFonts w:eastAsia="HelenPro-Regular"/>
        </w:rPr>
        <w:t>, forming oxaloacetate and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  <w:i/>
          <w:iCs/>
        </w:rPr>
        <w:t>L</w:t>
      </w:r>
      <w:r w:rsidRPr="009C7BD7">
        <w:rPr>
          <w:rFonts w:eastAsia="HelenPro-Regular"/>
        </w:rPr>
        <w:t>-glutamate. Oxaloacetate in the presence of NADH and malate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 xml:space="preserve">dehydrogenase (MDH) is reduced to </w:t>
      </w:r>
      <w:r w:rsidRPr="009C7BD7">
        <w:rPr>
          <w:rFonts w:eastAsia="HelenPro-Regular"/>
          <w:i/>
          <w:iCs/>
        </w:rPr>
        <w:t>L</w:t>
      </w:r>
      <w:r w:rsidRPr="009C7BD7">
        <w:rPr>
          <w:rFonts w:eastAsia="HelenPro-Regular"/>
        </w:rPr>
        <w:t>-malate. In this reaction, NADH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is oxidized to NAD. The reaction is monitored by measuring the rate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of decrease in absorbance at 340 nm due to the oxidation of NADH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to NAD.</w:t>
      </w:r>
    </w:p>
    <w:p w:rsidR="009C7BD7" w:rsidRDefault="009C7BD7" w:rsidP="009C7BD7">
      <w:pPr>
        <w:rPr>
          <w:rFonts w:eastAsia="HelenPro-Bold"/>
          <w:b/>
          <w:bCs/>
        </w:rPr>
      </w:pPr>
    </w:p>
    <w:p w:rsidR="0056023B" w:rsidRDefault="009C7BD7" w:rsidP="009C7BD7">
      <w:pPr>
        <w:rPr>
          <w:b/>
          <w:sz w:val="28"/>
          <w:szCs w:val="28"/>
        </w:rPr>
      </w:pPr>
      <w:r w:rsidRPr="009C7BD7">
        <w:rPr>
          <w:rFonts w:eastAsia="HelenPro-Bold"/>
          <w:b/>
          <w:bCs/>
        </w:rPr>
        <w:t xml:space="preserve">Methodology: </w:t>
      </w:r>
      <w:r w:rsidRPr="009C7BD7">
        <w:rPr>
          <w:rFonts w:eastAsia="HelenPro-Regular"/>
        </w:rPr>
        <w:t>NADH (without P-5'-P)</w:t>
      </w: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6559EB" w:rsidRDefault="006559EB" w:rsidP="006559EB">
      <w:pPr>
        <w:rPr>
          <w:b/>
          <w:sz w:val="28"/>
          <w:szCs w:val="28"/>
        </w:rPr>
      </w:pPr>
      <w:r w:rsidRPr="007E4CE6">
        <w:rPr>
          <w:b/>
          <w:sz w:val="28"/>
          <w:szCs w:val="28"/>
        </w:rPr>
        <w:t>Specimen Collection and Handling</w:t>
      </w:r>
      <w:r w:rsidR="00D60AFA">
        <w:rPr>
          <w:b/>
          <w:sz w:val="28"/>
          <w:szCs w:val="28"/>
        </w:rPr>
        <w:t xml:space="preserve"> </w:t>
      </w:r>
    </w:p>
    <w:p w:rsidR="004A03BD" w:rsidRDefault="004A03BD" w:rsidP="006559EB">
      <w:pPr>
        <w:rPr>
          <w:b/>
        </w:rPr>
      </w:pP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Suitable Specimens</w:t>
      </w:r>
    </w:p>
    <w:p w:rsidR="009C7BD7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lastRenderedPageBreak/>
        <w:t>Serum and plasma are acceptable specimens.</w:t>
      </w:r>
    </w:p>
    <w:p w:rsidR="009C7BD7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 xml:space="preserve">• </w:t>
      </w:r>
      <w:r w:rsidRPr="009C7BD7">
        <w:rPr>
          <w:rFonts w:eastAsia="HelenPro-Bold"/>
          <w:b/>
          <w:bCs/>
        </w:rPr>
        <w:t xml:space="preserve">Serum: </w:t>
      </w:r>
      <w:r w:rsidRPr="009C7BD7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9C7BD7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complete clot formation has taken place prior to centrifugation.</w:t>
      </w:r>
    </w:p>
    <w:p w:rsidR="009C7BD7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>When processing samples, sep</w:t>
      </w:r>
      <w:r>
        <w:rPr>
          <w:rFonts w:eastAsia="HelenPro-Regular"/>
        </w:rPr>
        <w:t xml:space="preserve">arate serum from blood cells or </w:t>
      </w:r>
      <w:r w:rsidRPr="009C7BD7">
        <w:rPr>
          <w:rFonts w:eastAsia="HelenPro-Regular"/>
        </w:rPr>
        <w:t>gel according to the specimen collection tube manufacturer’s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instructions.</w:t>
      </w:r>
    </w:p>
    <w:p w:rsidR="009C7BD7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>Some specimens, especiall</w:t>
      </w:r>
      <w:r>
        <w:rPr>
          <w:rFonts w:eastAsia="HelenPro-Regular"/>
        </w:rPr>
        <w:t xml:space="preserve">y those from patients receiving </w:t>
      </w:r>
      <w:r w:rsidRPr="009C7BD7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sera and the clots could cause erroneous test results.</w:t>
      </w:r>
    </w:p>
    <w:p w:rsidR="00DA4542" w:rsidRPr="009C7BD7" w:rsidRDefault="009C7BD7" w:rsidP="009C7BD7">
      <w:pPr>
        <w:autoSpaceDE w:val="0"/>
        <w:autoSpaceDN w:val="0"/>
        <w:adjustRightInd w:val="0"/>
        <w:rPr>
          <w:rFonts w:eastAsia="HelenPro-Regular"/>
        </w:rPr>
      </w:pPr>
      <w:r w:rsidRPr="009C7BD7">
        <w:rPr>
          <w:rFonts w:eastAsia="HelenPro-Regular"/>
        </w:rPr>
        <w:t xml:space="preserve">• </w:t>
      </w:r>
      <w:r w:rsidRPr="009C7BD7">
        <w:rPr>
          <w:rFonts w:eastAsia="HelenPro-Bold"/>
          <w:b/>
          <w:bCs/>
        </w:rPr>
        <w:t xml:space="preserve">Plasma: </w:t>
      </w:r>
      <w:r w:rsidRPr="009C7BD7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9C7BD7">
        <w:rPr>
          <w:rFonts w:eastAsia="HelenPro-Regular"/>
        </w:rPr>
        <w:t>into glass or plastic tubes. Acceptable anticoagulants are lithium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heparin (with or without gel barrier) and sodium heparin. Do not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use ammonium heparin. Ensure centrifugation is adequate to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remove platelets. When processing samples, separate plasma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from blood cells or gel according to the specimen collection tube</w:t>
      </w:r>
      <w:r>
        <w:rPr>
          <w:rFonts w:eastAsia="HelenPro-Regular"/>
        </w:rPr>
        <w:t xml:space="preserve"> </w:t>
      </w:r>
      <w:r w:rsidRPr="009C7BD7">
        <w:rPr>
          <w:rFonts w:eastAsia="HelenPro-Regular"/>
        </w:rPr>
        <w:t>manufacturer’s instructions.</w:t>
      </w:r>
    </w:p>
    <w:p w:rsidR="00DA4542" w:rsidRPr="000F049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Specimen Storage</w:t>
      </w:r>
    </w:p>
    <w:p w:rsidR="000F0494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 xml:space="preserve">Serum and Plasma: </w:t>
      </w:r>
    </w:p>
    <w:p w:rsidR="009C7BD7" w:rsidRPr="000F0494" w:rsidRDefault="009C7BD7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45AB33F" wp14:editId="4AB8B680">
            <wp:extent cx="2581275" cy="1190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0F0494" w:rsidRDefault="00F7103F" w:rsidP="00973EAF">
      <w:pPr>
        <w:ind w:firstLine="720"/>
      </w:pPr>
      <w:r w:rsidRPr="00F7103F">
        <w:rPr>
          <w:rFonts w:eastAsia="HelenPro-Regular"/>
        </w:rPr>
        <w:t xml:space="preserve"> </w:t>
      </w:r>
      <w:r w:rsidR="00452710">
        <w:rPr>
          <w:rFonts w:eastAsia="HelenPro-Regular"/>
        </w:rPr>
        <w:t>7D81 AS</w:t>
      </w:r>
      <w:r w:rsidR="000F0494" w:rsidRPr="000F0494">
        <w:rPr>
          <w:rFonts w:eastAsia="HelenPro-Regular"/>
        </w:rPr>
        <w:t>T Reagent Kit</w:t>
      </w:r>
    </w:p>
    <w:p w:rsidR="00F7103F" w:rsidRPr="00F7103F" w:rsidRDefault="00F7103F" w:rsidP="00F7103F"/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953EA1" w:rsidRP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4. Do not mix reagents prepared at different times.</w:t>
      </w:r>
    </w:p>
    <w:p w:rsidR="00F7103F" w:rsidRPr="00F7103F" w:rsidRDefault="00F7103F" w:rsidP="000F0494">
      <w:pPr>
        <w:autoSpaceDE w:val="0"/>
        <w:autoSpaceDN w:val="0"/>
        <w:adjustRightInd w:val="0"/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lastRenderedPageBreak/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>at 2 to 8°C.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452710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0F0494" w:rsidRDefault="00452710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7D81-21 AS</w:t>
      </w:r>
      <w:r w:rsidR="000F0494" w:rsidRPr="000F0494">
        <w:rPr>
          <w:rFonts w:eastAsia="HelenPro-Regular"/>
        </w:rPr>
        <w:t>T is supplied as a liquid, ready-to-use, two-reagent kit</w:t>
      </w:r>
      <w:r w:rsidR="000F0494">
        <w:rPr>
          <w:rFonts w:eastAsia="HelenPro-Regular"/>
        </w:rPr>
        <w:t xml:space="preserve"> </w:t>
      </w:r>
      <w:r w:rsidR="000F0494" w:rsidRPr="000F0494">
        <w:rPr>
          <w:rFonts w:eastAsia="HelenPro-Regular"/>
        </w:rPr>
        <w:t>which contains: R1 &amp; R2</w:t>
      </w:r>
    </w:p>
    <w:p w:rsidR="00D64E39" w:rsidRPr="00E54019" w:rsidRDefault="00452710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331FBB66" wp14:editId="358685B8">
            <wp:extent cx="4162425" cy="1733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827DE8">
        <w:t xml:space="preserve"> (Normal and Abnormal)</w:t>
      </w:r>
    </w:p>
    <w:p w:rsidR="00D64E39" w:rsidRPr="00162EEA" w:rsidRDefault="00D64E39" w:rsidP="0025031C"/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452710" w:rsidRDefault="00452710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452710">
        <w:t>30</w:t>
      </w:r>
      <w:r w:rsidRPr="00E4787B">
        <w:t xml:space="preserve"> days (</w:t>
      </w:r>
      <w:r w:rsidR="00452710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lastRenderedPageBreak/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0F0494" w:rsidRPr="000F0494" w:rsidRDefault="000F0494" w:rsidP="000F0494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0F0494">
        <w:rPr>
          <w:rFonts w:eastAsia="HelenPro-Regular"/>
        </w:rPr>
        <w:t xml:space="preserve">A calibration factor must be entered on the </w:t>
      </w:r>
      <w:r w:rsidRPr="000F0494">
        <w:rPr>
          <w:rFonts w:eastAsia="HelenPro-Bold"/>
          <w:b/>
          <w:bCs/>
        </w:rPr>
        <w:t>Configure assay parameters</w:t>
      </w:r>
      <w:r>
        <w:rPr>
          <w:rFonts w:eastAsia="HelenPro-Bold"/>
          <w:b/>
          <w:bCs/>
        </w:rPr>
        <w:t xml:space="preserve"> </w:t>
      </w:r>
      <w:r w:rsidRPr="000F0494">
        <w:rPr>
          <w:rFonts w:eastAsia="HelenPro-Regular"/>
        </w:rPr>
        <w:t xml:space="preserve">window, </w:t>
      </w:r>
      <w:r w:rsidRPr="000F0494">
        <w:rPr>
          <w:rFonts w:eastAsia="HelenPro-Bold"/>
          <w:b/>
          <w:bCs/>
        </w:rPr>
        <w:t xml:space="preserve">Calibration </w:t>
      </w:r>
      <w:r w:rsidRPr="000F0494">
        <w:rPr>
          <w:rFonts w:eastAsia="HelenPro-Regular"/>
        </w:rPr>
        <w:t>view. Refer to the ASSAY PARAMETERS section of</w:t>
      </w:r>
      <w:r>
        <w:rPr>
          <w:rFonts w:eastAsia="HelenPro-Bold"/>
          <w:b/>
          <w:bCs/>
        </w:rPr>
        <w:t xml:space="preserve"> </w:t>
      </w:r>
      <w:r>
        <w:rPr>
          <w:rFonts w:eastAsia="HelenPro-Regular"/>
        </w:rPr>
        <w:t>the</w:t>
      </w:r>
      <w:r w:rsidRPr="000F0494">
        <w:rPr>
          <w:rFonts w:eastAsia="HelenPro-Regular"/>
        </w:rPr>
        <w:t xml:space="preserve"> package insert for the specific factor.</w:t>
      </w:r>
    </w:p>
    <w:p w:rsidR="00F3700B" w:rsidRPr="00953EA1" w:rsidRDefault="00953EA1" w:rsidP="000F0494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ARCHITECT </w:t>
      </w:r>
      <w:r w:rsidRPr="00953EA1">
        <w:rPr>
          <w:rFonts w:eastAsia="HelenPro-Regular"/>
          <w:i/>
          <w:iCs/>
        </w:rPr>
        <w:t xml:space="preserve">c </w:t>
      </w:r>
      <w:r w:rsidRPr="00953EA1">
        <w:rPr>
          <w:rFonts w:eastAsia="HelenPro-Regular"/>
        </w:rPr>
        <w:t>Systems—</w:t>
      </w:r>
      <w:r w:rsidRPr="00953EA1">
        <w:rPr>
          <w:rFonts w:eastAsia="HelenPro-Bold"/>
          <w:b/>
          <w:bCs/>
        </w:rPr>
        <w:t xml:space="preserve">Configure assay parameters </w:t>
      </w:r>
      <w:r w:rsidRPr="00953EA1">
        <w:rPr>
          <w:rFonts w:eastAsia="HelenPro-Regular"/>
        </w:rPr>
        <w:t>window,</w:t>
      </w:r>
      <w:r>
        <w:rPr>
          <w:rFonts w:eastAsia="HelenPro-Regular"/>
        </w:rPr>
        <w:t xml:space="preserve"> </w:t>
      </w:r>
      <w:r w:rsidRPr="00953EA1">
        <w:rPr>
          <w:rFonts w:eastAsia="HelenPro-Bold"/>
          <w:b/>
          <w:bCs/>
        </w:rPr>
        <w:t xml:space="preserve">Calibration </w:t>
      </w:r>
      <w:r w:rsidRPr="00953EA1">
        <w:rPr>
          <w:rFonts w:eastAsia="HelenPro-Regular"/>
        </w:rPr>
        <w:t>view</w:t>
      </w:r>
    </w:p>
    <w:p w:rsidR="00953EA1" w:rsidRDefault="00953EA1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452710" w:rsidRDefault="00452710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DA6C6A" w:rsidRDefault="00DA6C6A" w:rsidP="00DA6C6A">
      <w:pPr>
        <w:autoSpaceDE w:val="0"/>
        <w:autoSpaceDN w:val="0"/>
        <w:adjustRightInd w:val="0"/>
        <w:rPr>
          <w:rFonts w:eastAsia="HelenPro-Regular"/>
        </w:rPr>
      </w:pPr>
      <w:r w:rsidRPr="00DA6C6A">
        <w:rPr>
          <w:rFonts w:eastAsia="HelenPro-Regular"/>
        </w:rPr>
        <w:t xml:space="preserve">The result unit for the </w:t>
      </w:r>
      <w:r w:rsidR="00452710">
        <w:rPr>
          <w:rFonts w:eastAsia="HelenPro-Regular"/>
        </w:rPr>
        <w:t>AS</w:t>
      </w:r>
      <w:r w:rsidR="000F0494">
        <w:rPr>
          <w:rFonts w:eastAsia="HelenPro-Regular"/>
        </w:rPr>
        <w:t>T</w:t>
      </w:r>
      <w:r>
        <w:rPr>
          <w:rFonts w:eastAsia="HelenPro-Regular"/>
        </w:rPr>
        <w:t xml:space="preserve"> assay can be </w:t>
      </w:r>
      <w:r w:rsidRPr="00DA6C6A">
        <w:rPr>
          <w:rFonts w:eastAsia="HelenPro-Regular"/>
        </w:rPr>
        <w:t xml:space="preserve">reported as </w:t>
      </w:r>
      <w:r w:rsidR="00953EA1">
        <w:rPr>
          <w:rFonts w:eastAsia="HelenPro-Regular"/>
        </w:rPr>
        <w:t>U/L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D40ED" w:rsidRDefault="006D40ED" w:rsidP="00AB793D">
      <w:pPr>
        <w:rPr>
          <w:rFonts w:ascii="Arial" w:hAnsi="Arial" w:cs="Arial"/>
          <w:b/>
          <w:bCs/>
        </w:rPr>
      </w:pPr>
    </w:p>
    <w:p w:rsidR="00A554D4" w:rsidRDefault="00953EA1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</w:t>
      </w:r>
      <w:r w:rsidR="000F0494">
        <w:rPr>
          <w:rFonts w:ascii="Arial" w:hAnsi="Arial" w:cs="Arial"/>
          <w:b/>
          <w:bCs/>
        </w:rPr>
        <w:t>/Plasma</w:t>
      </w:r>
      <w:r w:rsidR="00FF6125">
        <w:rPr>
          <w:rFonts w:ascii="Arial" w:hAnsi="Arial" w:cs="Arial"/>
          <w:b/>
          <w:bCs/>
        </w:rPr>
        <w:t>:</w:t>
      </w:r>
    </w:p>
    <w:p w:rsidR="00DA6C6A" w:rsidRDefault="00DA6C6A" w:rsidP="00DA6C6A">
      <w:pPr>
        <w:rPr>
          <w:rFonts w:eastAsia="HelenPro-Bold"/>
          <w:b/>
          <w:bCs/>
        </w:rPr>
      </w:pPr>
    </w:p>
    <w:p w:rsidR="00DA6C6A" w:rsidRDefault="00452710" w:rsidP="00AB793D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4844E58" wp14:editId="7DBBCADE">
            <wp:extent cx="23431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A" w:rsidRDefault="00DA6C6A" w:rsidP="00AB793D">
      <w:pPr>
        <w:rPr>
          <w:rFonts w:ascii="Arial" w:hAnsi="Arial" w:cs="Arial"/>
          <w:b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</w:t>
      </w:r>
      <w:r w:rsidR="00FF6125">
        <w:rPr>
          <w:b/>
        </w:rPr>
        <w:t>s: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E36B73" w:rsidRPr="00E36B73" w:rsidRDefault="00E36B73" w:rsidP="00AB793D">
      <w:pPr>
        <w:rPr>
          <w:b/>
          <w:sz w:val="28"/>
          <w:szCs w:val="28"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Linearity</w:t>
      </w:r>
    </w:p>
    <w:p w:rsidR="000F0494" w:rsidRPr="000F0494" w:rsidRDefault="00452710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AST is linear up to 913</w:t>
      </w:r>
      <w:r w:rsidR="000F0494" w:rsidRPr="000F0494">
        <w:rPr>
          <w:rFonts w:eastAsia="HelenPro-Regular"/>
        </w:rPr>
        <w:t xml:space="preserve"> U/L.</w:t>
      </w:r>
    </w:p>
    <w:p w:rsidR="005E3D52" w:rsidRPr="000F0494" w:rsidRDefault="00452710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Flex Rate Linearity is 4,202</w:t>
      </w:r>
      <w:r w:rsidR="000F0494" w:rsidRPr="000F0494">
        <w:rPr>
          <w:rFonts w:eastAsia="HelenPro-Regular"/>
        </w:rPr>
        <w:t xml:space="preserve"> U/L. To use Fl</w:t>
      </w:r>
      <w:r w:rsidR="000F0494">
        <w:rPr>
          <w:rFonts w:eastAsia="HelenPro-Regular"/>
        </w:rPr>
        <w:t xml:space="preserve">ex Rate Linearity, the operator </w:t>
      </w:r>
      <w:r w:rsidR="000F0494" w:rsidRPr="000F0494">
        <w:rPr>
          <w:rFonts w:eastAsia="HelenPro-Regular"/>
        </w:rPr>
        <w:t xml:space="preserve">must edit the linear high value to </w:t>
      </w:r>
      <w:r>
        <w:rPr>
          <w:rFonts w:eastAsia="HelenPro-Regular"/>
        </w:rPr>
        <w:t>4,202</w:t>
      </w:r>
      <w:r w:rsidRPr="000F0494">
        <w:rPr>
          <w:rFonts w:eastAsia="HelenPro-Regular"/>
        </w:rPr>
        <w:t xml:space="preserve"> </w:t>
      </w:r>
      <w:r w:rsidR="000F0494" w:rsidRPr="000F0494">
        <w:rPr>
          <w:rFonts w:eastAsia="HelenPro-Regular"/>
        </w:rPr>
        <w:t xml:space="preserve">on the </w:t>
      </w:r>
      <w:r w:rsidR="000F0494" w:rsidRPr="000F0494">
        <w:rPr>
          <w:rFonts w:eastAsia="HelenPro-Bold"/>
          <w:b/>
          <w:bCs/>
        </w:rPr>
        <w:t>Configure assay</w:t>
      </w:r>
      <w:r w:rsidR="000F0494">
        <w:rPr>
          <w:rFonts w:eastAsia="HelenPro-Regular"/>
        </w:rPr>
        <w:t xml:space="preserve"> </w:t>
      </w:r>
      <w:r w:rsidR="000F0494" w:rsidRPr="000F0494">
        <w:rPr>
          <w:rFonts w:eastAsia="HelenPro-Bold"/>
          <w:b/>
          <w:bCs/>
        </w:rPr>
        <w:t xml:space="preserve">parameters </w:t>
      </w:r>
      <w:r w:rsidR="000F0494" w:rsidRPr="000F0494">
        <w:rPr>
          <w:rFonts w:eastAsia="HelenPro-Regular"/>
        </w:rPr>
        <w:t xml:space="preserve">window, </w:t>
      </w:r>
      <w:r w:rsidR="000F0494" w:rsidRPr="000F0494">
        <w:rPr>
          <w:rFonts w:eastAsia="HelenPro-Bold"/>
          <w:b/>
          <w:bCs/>
        </w:rPr>
        <w:t xml:space="preserve">Results </w:t>
      </w:r>
      <w:r w:rsidR="000F0494" w:rsidRPr="000F0494">
        <w:rPr>
          <w:rFonts w:eastAsia="HelenPro-Regular"/>
        </w:rPr>
        <w:t>view</w:t>
      </w:r>
      <w:r w:rsidR="000F0494">
        <w:rPr>
          <w:rFonts w:ascii="HelenPro-Regular" w:eastAsia="HelenPro-Regular" w:cs="HelenPro-Regular"/>
          <w:sz w:val="16"/>
          <w:szCs w:val="16"/>
        </w:rPr>
        <w:t>.</w:t>
      </w:r>
    </w:p>
    <w:p w:rsidR="00953EA1" w:rsidRDefault="00953EA1" w:rsidP="001B29A7">
      <w:pPr>
        <w:ind w:left="90"/>
        <w:rPr>
          <w:rFonts w:eastAsia="HelenPro-Bold"/>
          <w:b/>
          <w:bCs/>
        </w:rPr>
      </w:pPr>
    </w:p>
    <w:p w:rsidR="00953EA1" w:rsidRDefault="00953EA1" w:rsidP="001B29A7">
      <w:pPr>
        <w:ind w:left="9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>Dilution: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Bold"/>
          <w:b/>
          <w:bCs/>
        </w:rPr>
        <w:t xml:space="preserve">Serum and Plasma: </w:t>
      </w:r>
      <w:r w:rsidRPr="00452710">
        <w:rPr>
          <w:rFonts w:eastAsia="HelenPro-Regular"/>
        </w:rPr>
        <w:t>Specimens wi</w:t>
      </w:r>
      <w:r>
        <w:rPr>
          <w:rFonts w:eastAsia="HelenPro-Regular"/>
        </w:rPr>
        <w:t xml:space="preserve">th AST values exceeding 913 U/L </w:t>
      </w:r>
      <w:r w:rsidRPr="00452710">
        <w:rPr>
          <w:rFonts w:eastAsia="HelenPro-Regular"/>
        </w:rPr>
        <w:t>(4,202 U/L for Flex Rate Linearity) are flagged and may be diluted using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the Automated Dilution Protocol or the Manual Dilution Procedure.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2710">
        <w:rPr>
          <w:rFonts w:eastAsia="HelenPro-Bold"/>
          <w:b/>
          <w:bCs/>
        </w:rPr>
        <w:t>Automated Dilution Protocol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Regular"/>
        </w:rPr>
        <w:t>If using the Automated Dilution Protocol,</w:t>
      </w:r>
      <w:r>
        <w:rPr>
          <w:rFonts w:eastAsia="HelenPro-Regular"/>
        </w:rPr>
        <w:t xml:space="preserve"> the system performs a dilution </w:t>
      </w:r>
      <w:r w:rsidRPr="00452710">
        <w:rPr>
          <w:rFonts w:eastAsia="HelenPro-Regular"/>
        </w:rPr>
        <w:t>of the specimen and automatically corrects the enzyme activity value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by multiplying the result by the appropriate dilution factor. To set up the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 xml:space="preserve">automatic dilution feature, refer to </w:t>
      </w:r>
      <w:r w:rsidRPr="00452710">
        <w:rPr>
          <w:rFonts w:eastAsia="HelenPro-Bold"/>
          <w:i/>
          <w:iCs/>
        </w:rPr>
        <w:t xml:space="preserve">Section 2 </w:t>
      </w:r>
      <w:r w:rsidRPr="00452710">
        <w:rPr>
          <w:rFonts w:eastAsia="HelenPro-Regular"/>
        </w:rPr>
        <w:t>of the instrument-specific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operations manual for additional information.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52710">
        <w:rPr>
          <w:rFonts w:eastAsia="HelenPro-Bold"/>
          <w:b/>
          <w:bCs/>
        </w:rPr>
        <w:t>Manual Dilution Procedure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Regular"/>
        </w:rPr>
        <w:t>Manual dilutions should be performed as follows: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Regular"/>
        </w:rPr>
        <w:t xml:space="preserve">• Use saline (0.85% to 0.90% </w:t>
      </w:r>
      <w:proofErr w:type="spellStart"/>
      <w:r w:rsidRPr="00452710">
        <w:rPr>
          <w:rFonts w:eastAsia="HelenPro-Regular"/>
        </w:rPr>
        <w:t>NaCl</w:t>
      </w:r>
      <w:proofErr w:type="spellEnd"/>
      <w:r w:rsidRPr="00452710">
        <w:rPr>
          <w:rFonts w:eastAsia="HelenPro-Regular"/>
        </w:rPr>
        <w:t>) to dilute the sample.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452710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correct the enzyme activity value by multiplying the result by the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entered factor.</w:t>
      </w:r>
    </w:p>
    <w:p w:rsidR="00452710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452710">
        <w:rPr>
          <w:rFonts w:eastAsia="HelenPro-Regular"/>
        </w:rPr>
        <w:t>multiplied by the appropriate dilution factor before reporting the result.</w:t>
      </w:r>
    </w:p>
    <w:p w:rsidR="00973EAF" w:rsidRPr="00452710" w:rsidRDefault="00452710" w:rsidP="00452710">
      <w:pPr>
        <w:autoSpaceDE w:val="0"/>
        <w:autoSpaceDN w:val="0"/>
        <w:adjustRightInd w:val="0"/>
        <w:rPr>
          <w:rFonts w:eastAsia="HelenPro-Regular"/>
        </w:rPr>
      </w:pPr>
      <w:r w:rsidRPr="00452710">
        <w:rPr>
          <w:rFonts w:eastAsia="HelenPro-Bold"/>
          <w:b/>
          <w:bCs/>
        </w:rPr>
        <w:t xml:space="preserve">NOTE: </w:t>
      </w:r>
      <w:r w:rsidRPr="00452710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452710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452710">
        <w:rPr>
          <w:rFonts w:eastAsia="HelenPro-Regular"/>
        </w:rPr>
        <w:t>dilution.</w:t>
      </w:r>
    </w:p>
    <w:p w:rsidR="000F0494" w:rsidRDefault="000F0494" w:rsidP="00DA6C6A">
      <w:pPr>
        <w:autoSpaceDE w:val="0"/>
        <w:autoSpaceDN w:val="0"/>
        <w:adjustRightInd w:val="0"/>
        <w:rPr>
          <w:b/>
        </w:rPr>
      </w:pPr>
    </w:p>
    <w:p w:rsidR="000F0494" w:rsidRDefault="000F0494" w:rsidP="00DA6C6A">
      <w:pPr>
        <w:autoSpaceDE w:val="0"/>
        <w:autoSpaceDN w:val="0"/>
        <w:adjustRightInd w:val="0"/>
        <w:rPr>
          <w:b/>
        </w:rPr>
      </w:pPr>
    </w:p>
    <w:p w:rsidR="00912FE4" w:rsidRPr="008D7886" w:rsidRDefault="00F95946" w:rsidP="00DA6C6A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b/>
        </w:rPr>
        <w:t>Limit of Quantitation (LOQ)</w:t>
      </w:r>
      <w:r w:rsidR="00F82D85" w:rsidRPr="008D7886">
        <w:rPr>
          <w:b/>
          <w:lang w:val="ru-RU"/>
        </w:rPr>
        <w:t>:</w:t>
      </w:r>
      <w:r w:rsidR="00F82D85" w:rsidRPr="008D7886">
        <w:rPr>
          <w:b/>
        </w:rPr>
        <w:t xml:space="preserve">  </w:t>
      </w:r>
      <w:r w:rsidR="00F82D85" w:rsidRPr="008D7886">
        <w:rPr>
          <w:b/>
          <w:color w:val="000000"/>
          <w:lang w:val="ru-RU"/>
        </w:rPr>
        <w:t xml:space="preserve"> </w:t>
      </w:r>
      <w:r w:rsidR="008D7886" w:rsidRPr="008D7886">
        <w:rPr>
          <w:rFonts w:eastAsia="HelenPro-Regular"/>
        </w:rPr>
        <w:t xml:space="preserve">The LOQ for </w:t>
      </w:r>
      <w:r w:rsidR="00452710">
        <w:rPr>
          <w:rFonts w:eastAsia="HelenPro-Regular"/>
        </w:rPr>
        <w:t>AS</w:t>
      </w:r>
      <w:r w:rsidR="00757326">
        <w:rPr>
          <w:rFonts w:eastAsia="HelenPro-Regular"/>
        </w:rPr>
        <w:t>T</w:t>
      </w:r>
      <w:r w:rsidR="008D7886" w:rsidRPr="008D7886">
        <w:rPr>
          <w:rFonts w:eastAsia="HelenPro-Regular"/>
        </w:rPr>
        <w:t xml:space="preserve"> is </w:t>
      </w:r>
      <w:r w:rsidR="00452710">
        <w:rPr>
          <w:rFonts w:eastAsia="HelenPro-Regular"/>
        </w:rPr>
        <w:t>2.2</w:t>
      </w:r>
      <w:r w:rsidR="008D7886" w:rsidRPr="008D7886">
        <w:rPr>
          <w:rFonts w:eastAsia="HelenPro-Regular"/>
        </w:rPr>
        <w:t xml:space="preserve"> U/L.</w:t>
      </w:r>
    </w:p>
    <w:p w:rsidR="008D7886" w:rsidRDefault="008D7886" w:rsidP="00DA6C6A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  <w:r w:rsidRPr="008D7886">
        <w:rPr>
          <w:rFonts w:eastAsia="HelenPro-Regular"/>
          <w:b/>
        </w:rPr>
        <w:t>Limit of Detection (LOD):</w:t>
      </w:r>
      <w:r w:rsidRPr="008D7886">
        <w:rPr>
          <w:rFonts w:eastAsia="HelenPro-Regular"/>
        </w:rPr>
        <w:t xml:space="preserve">  The LOD for </w:t>
      </w:r>
      <w:r w:rsidR="00452710">
        <w:rPr>
          <w:rFonts w:eastAsia="HelenPro-Regular"/>
        </w:rPr>
        <w:t>AS</w:t>
      </w:r>
      <w:r w:rsidR="00757326">
        <w:rPr>
          <w:rFonts w:eastAsia="HelenPro-Regular"/>
        </w:rPr>
        <w:t>T</w:t>
      </w:r>
      <w:r w:rsidRPr="008D7886">
        <w:rPr>
          <w:rFonts w:eastAsia="HelenPro-Regular"/>
        </w:rPr>
        <w:t xml:space="preserve"> is </w:t>
      </w:r>
      <w:r w:rsidR="00757326">
        <w:rPr>
          <w:rFonts w:eastAsia="HelenPro-Regular"/>
        </w:rPr>
        <w:t>2.0</w:t>
      </w:r>
      <w:r w:rsidRPr="008D7886">
        <w:rPr>
          <w:rFonts w:eastAsia="HelenPro-Regular"/>
        </w:rPr>
        <w:t xml:space="preserve"> U/L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8D7886" w:rsidRDefault="008D7886" w:rsidP="00DA6C6A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8D7886" w:rsidRPr="008D7886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D7886">
        <w:rPr>
          <w:rFonts w:eastAsia="HelenPro-Regular"/>
          <w:b/>
        </w:rPr>
        <w:t>Limitation of Procedure:</w:t>
      </w:r>
    </w:p>
    <w:p w:rsidR="008D7886" w:rsidRPr="00DA6C6A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N/A</w:t>
      </w:r>
    </w:p>
    <w:p w:rsidR="00DA6C6A" w:rsidRDefault="00DA6C6A" w:rsidP="00F95946">
      <w:pPr>
        <w:rPr>
          <w:b/>
          <w:color w:val="000000"/>
          <w:szCs w:val="15"/>
        </w:rPr>
      </w:pPr>
    </w:p>
    <w:p w:rsidR="00912FE4" w:rsidRPr="00912FE4" w:rsidRDefault="008D7886" w:rsidP="00F95946">
      <w:pPr>
        <w:rPr>
          <w:rFonts w:eastAsia="HelenPro-Regular"/>
        </w:rPr>
      </w:pPr>
      <w:r>
        <w:rPr>
          <w:b/>
          <w:color w:val="000000"/>
          <w:szCs w:val="15"/>
        </w:rPr>
        <w:t>P</w:t>
      </w:r>
      <w:r w:rsidR="00912FE4">
        <w:rPr>
          <w:b/>
          <w:color w:val="000000"/>
          <w:szCs w:val="15"/>
        </w:rPr>
        <w:t>recision:</w:t>
      </w:r>
      <w:r w:rsidR="0038442D">
        <w:rPr>
          <w:b/>
          <w:color w:val="000000"/>
          <w:szCs w:val="15"/>
        </w:rPr>
        <w:t xml:space="preserve"> </w:t>
      </w:r>
    </w:p>
    <w:p w:rsidR="00F95946" w:rsidRPr="008D7886" w:rsidRDefault="008D7886" w:rsidP="00F9594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 xml:space="preserve">The imprecision of the </w:t>
      </w:r>
      <w:r w:rsidR="00452710">
        <w:rPr>
          <w:rFonts w:eastAsia="HelenPro-Regular"/>
        </w:rPr>
        <w:t>AST</w:t>
      </w:r>
      <w:r w:rsidRPr="008D7886">
        <w:rPr>
          <w:rFonts w:eastAsia="HelenPro-Regular"/>
        </w:rPr>
        <w:t xml:space="preserve"> assay is ≤ </w:t>
      </w:r>
      <w:r w:rsidR="00452710">
        <w:rPr>
          <w:rFonts w:eastAsia="HelenPro-Regular"/>
        </w:rPr>
        <w:t>4.6</w:t>
      </w:r>
      <w:r w:rsidRPr="008D7886">
        <w:rPr>
          <w:rFonts w:eastAsia="HelenPro-Regular"/>
        </w:rPr>
        <w:t>% Total CV.</w:t>
      </w:r>
    </w:p>
    <w:p w:rsidR="008D7886" w:rsidRPr="00F95946" w:rsidRDefault="00452710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4FF1ABC3" wp14:editId="0557362E">
            <wp:extent cx="4229100" cy="232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Regular"/>
        </w:rPr>
      </w:pP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8D788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>Interference studies were cond</w:t>
      </w:r>
      <w:r>
        <w:rPr>
          <w:rFonts w:eastAsia="HelenPro-Regular"/>
        </w:rPr>
        <w:t xml:space="preserve">ucted using CLSI protocol NCCLS </w:t>
      </w:r>
      <w:r w:rsidRPr="008D7886">
        <w:rPr>
          <w:rFonts w:eastAsia="HelenPro-Regular"/>
        </w:rPr>
        <w:t>EP7-P. Interference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452710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180FE385" wp14:editId="4E57433D">
            <wp:extent cx="4200525" cy="1828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AB5354">
      <w:pPr>
        <w:rPr>
          <w:rFonts w:eastAsia="HelenPro-Regular"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452710">
        <w:rPr>
          <w:rFonts w:ascii="Arial" w:hAnsi="Arial" w:cs="Arial"/>
          <w:sz w:val="22"/>
          <w:szCs w:val="22"/>
        </w:rPr>
        <w:t>AS</w:t>
      </w:r>
      <w:r w:rsidR="00757326">
        <w:rPr>
          <w:rFonts w:ascii="Arial" w:hAnsi="Arial" w:cs="Arial"/>
          <w:sz w:val="22"/>
          <w:szCs w:val="22"/>
        </w:rPr>
        <w:t>T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Pr="000A13F2" w:rsidRDefault="0022007A" w:rsidP="000A13F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Oct</w:t>
      </w:r>
      <w:r w:rsidR="0075732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12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22007A">
        <w:rPr>
          <w:rFonts w:ascii="HelenPro-Bold" w:eastAsia="HelenPro-Bold" w:cs="HelenPro-Bold"/>
          <w:bCs/>
          <w:sz w:val="22"/>
          <w:szCs w:val="22"/>
        </w:rPr>
        <w:t>304801/R02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157696" w:rsidRPr="00BC1EC4" w:rsidRDefault="00157696" w:rsidP="00246FA8">
      <w:pPr>
        <w:rPr>
          <w:i/>
          <w:color w:val="FF0000"/>
        </w:rPr>
      </w:pPr>
      <w:bookmarkStart w:id="0" w:name="_GoBack"/>
      <w:bookmarkEnd w:id="0"/>
      <w:r>
        <w:rPr>
          <w:b/>
        </w:rPr>
        <w:t>Attachments:</w:t>
      </w:r>
      <w:r w:rsidR="00973EAF">
        <w:rPr>
          <w:b/>
        </w:rPr>
        <w:t xml:space="preserve"> </w:t>
      </w:r>
    </w:p>
    <w:p w:rsidR="00246FA8" w:rsidRDefault="00246FA8" w:rsidP="0009322F">
      <w:pPr>
        <w:rPr>
          <w:b/>
        </w:rPr>
      </w:pPr>
    </w:p>
    <w:sectPr w:rsidR="00246FA8" w:rsidSect="00507B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B9" w:rsidRDefault="005D23B9">
      <w:r>
        <w:separator/>
      </w:r>
    </w:p>
  </w:endnote>
  <w:endnote w:type="continuationSeparator" w:id="0">
    <w:p w:rsidR="005D23B9" w:rsidRDefault="005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D" w:rsidRDefault="0096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FF6125">
      <w:rPr>
        <w:noProof/>
        <w:sz w:val="20"/>
        <w:szCs w:val="20"/>
      </w:rPr>
      <w:t>4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FF6125">
      <w:rPr>
        <w:noProof/>
        <w:sz w:val="20"/>
        <w:szCs w:val="20"/>
      </w:rPr>
      <w:t>6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D" w:rsidRDefault="0096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B9" w:rsidRDefault="005D23B9">
      <w:r>
        <w:separator/>
      </w:r>
    </w:p>
  </w:footnote>
  <w:footnote w:type="continuationSeparator" w:id="0">
    <w:p w:rsidR="005D23B9" w:rsidRDefault="005D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D" w:rsidRDefault="00961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961E1D">
      <w:rPr>
        <w:b/>
        <w:sz w:val="20"/>
        <w:szCs w:val="20"/>
      </w:rPr>
      <w:t xml:space="preserve"> 4840-CH-111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BC5937">
      <w:rPr>
        <w:sz w:val="20"/>
        <w:szCs w:val="20"/>
      </w:rPr>
      <w:t>AS</w:t>
    </w:r>
    <w:r w:rsidR="002E5C0B">
      <w:rPr>
        <w:sz w:val="20"/>
        <w:szCs w:val="20"/>
      </w:rPr>
      <w:t>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D" w:rsidRDefault="00961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0EE8"/>
    <w:rsid w:val="0022007A"/>
    <w:rsid w:val="00225A1B"/>
    <w:rsid w:val="00246FA8"/>
    <w:rsid w:val="0025031C"/>
    <w:rsid w:val="00255C54"/>
    <w:rsid w:val="002649AA"/>
    <w:rsid w:val="002746A8"/>
    <w:rsid w:val="00276E96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17AA0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93DD1"/>
    <w:rsid w:val="004A03BD"/>
    <w:rsid w:val="004A2AA3"/>
    <w:rsid w:val="004C05F8"/>
    <w:rsid w:val="004C104D"/>
    <w:rsid w:val="004C2C23"/>
    <w:rsid w:val="004C37CB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D23B9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3150E"/>
    <w:rsid w:val="00644800"/>
    <w:rsid w:val="006559EB"/>
    <w:rsid w:val="00674186"/>
    <w:rsid w:val="006A5AAE"/>
    <w:rsid w:val="006B3C65"/>
    <w:rsid w:val="006D28ED"/>
    <w:rsid w:val="006D40ED"/>
    <w:rsid w:val="006E5155"/>
    <w:rsid w:val="006F7F4F"/>
    <w:rsid w:val="00714B7D"/>
    <w:rsid w:val="00714F24"/>
    <w:rsid w:val="0074336C"/>
    <w:rsid w:val="00757326"/>
    <w:rsid w:val="007703C0"/>
    <w:rsid w:val="00772966"/>
    <w:rsid w:val="007840DD"/>
    <w:rsid w:val="00795231"/>
    <w:rsid w:val="007B09E3"/>
    <w:rsid w:val="007B0CCE"/>
    <w:rsid w:val="007B247B"/>
    <w:rsid w:val="007E4CE6"/>
    <w:rsid w:val="007E6C3C"/>
    <w:rsid w:val="007F6C34"/>
    <w:rsid w:val="0080146D"/>
    <w:rsid w:val="00804822"/>
    <w:rsid w:val="00812CCF"/>
    <w:rsid w:val="00827DE8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1E1D"/>
    <w:rsid w:val="00964971"/>
    <w:rsid w:val="00973EAF"/>
    <w:rsid w:val="00980C01"/>
    <w:rsid w:val="009841EC"/>
    <w:rsid w:val="009A4991"/>
    <w:rsid w:val="009B4C90"/>
    <w:rsid w:val="009C7BD7"/>
    <w:rsid w:val="009D1D61"/>
    <w:rsid w:val="009D498B"/>
    <w:rsid w:val="009E0FF1"/>
    <w:rsid w:val="009E49EB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3A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864B3"/>
    <w:rsid w:val="00BA0054"/>
    <w:rsid w:val="00BC1EC4"/>
    <w:rsid w:val="00BC5937"/>
    <w:rsid w:val="00BC76E2"/>
    <w:rsid w:val="00BE40A6"/>
    <w:rsid w:val="00C32412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D4055"/>
    <w:rsid w:val="00CE2DC7"/>
    <w:rsid w:val="00CF7868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698E"/>
    <w:rsid w:val="00E4787B"/>
    <w:rsid w:val="00E50643"/>
    <w:rsid w:val="00E840BC"/>
    <w:rsid w:val="00E97A8C"/>
    <w:rsid w:val="00EA1269"/>
    <w:rsid w:val="00EA713D"/>
    <w:rsid w:val="00EB2F9F"/>
    <w:rsid w:val="00EB33FE"/>
    <w:rsid w:val="00EC002B"/>
    <w:rsid w:val="00EC528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6601-4167-4D45-AC6E-6E8F2F1B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1288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8773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2018-08-21T13:57:00Z</dcterms:created>
  <dcterms:modified xsi:type="dcterms:W3CDTF">2018-10-19T21:18:00Z</dcterms:modified>
</cp:coreProperties>
</file>