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B2" w:rsidRPr="007E4CE6" w:rsidRDefault="00F2435E">
      <w:pPr>
        <w:rPr>
          <w:b/>
        </w:rPr>
      </w:pPr>
      <w:r>
        <w:rPr>
          <w:noProof/>
        </w:rPr>
        <w:drawing>
          <wp:inline distT="0" distB="0" distL="0" distR="0" wp14:anchorId="42E288C6" wp14:editId="07A5DB1E">
            <wp:extent cx="2095500" cy="571500"/>
            <wp:effectExtent l="19050" t="0" r="0" b="0"/>
            <wp:docPr id="2" name="Picture 2" descr="RUSH logo for em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SH logo for email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6C7" w:rsidRPr="00D006C7" w:rsidRDefault="00026730" w:rsidP="006107A2">
      <w:pPr>
        <w:jc w:val="center"/>
        <w:rPr>
          <w:rFonts w:eastAsia="HelenPro-Regular"/>
          <w:b/>
          <w:sz w:val="28"/>
          <w:szCs w:val="28"/>
        </w:rPr>
      </w:pPr>
      <w:r>
        <w:rPr>
          <w:rFonts w:eastAsia="HelenPro-Regular"/>
          <w:b/>
          <w:sz w:val="28"/>
          <w:szCs w:val="28"/>
        </w:rPr>
        <w:t>AMMONIA</w:t>
      </w:r>
    </w:p>
    <w:p w:rsidR="0056023B" w:rsidRPr="001A639E" w:rsidRDefault="00C32412" w:rsidP="00610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PLASMA</w:t>
      </w:r>
    </w:p>
    <w:p w:rsidR="006107A2" w:rsidRDefault="0088112F" w:rsidP="006107A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ABBOTT ARCHITECT</w:t>
      </w:r>
    </w:p>
    <w:p w:rsidR="006559EB" w:rsidRPr="001A639E" w:rsidRDefault="006559EB" w:rsidP="006559EB">
      <w:pPr>
        <w:rPr>
          <w:b/>
          <w:sz w:val="28"/>
          <w:szCs w:val="28"/>
        </w:rPr>
      </w:pPr>
    </w:p>
    <w:p w:rsidR="008A7F96" w:rsidRPr="00973EAF" w:rsidRDefault="008A7F96" w:rsidP="008A7F96">
      <w:pPr>
        <w:rPr>
          <w:b/>
          <w:color w:val="FF0000"/>
          <w:sz w:val="28"/>
          <w:szCs w:val="28"/>
        </w:rPr>
      </w:pPr>
      <w:r w:rsidRPr="007E4CE6">
        <w:rPr>
          <w:b/>
          <w:sz w:val="28"/>
          <w:szCs w:val="28"/>
        </w:rPr>
        <w:t>Intended Use</w:t>
      </w:r>
      <w:r>
        <w:rPr>
          <w:b/>
          <w:sz w:val="28"/>
          <w:szCs w:val="28"/>
        </w:rPr>
        <w:t xml:space="preserve"> </w:t>
      </w:r>
    </w:p>
    <w:p w:rsidR="002D6FB9" w:rsidRPr="000B1D10" w:rsidRDefault="000B1D10" w:rsidP="000B1D10">
      <w:pPr>
        <w:autoSpaceDE w:val="0"/>
        <w:autoSpaceDN w:val="0"/>
        <w:adjustRightInd w:val="0"/>
        <w:rPr>
          <w:rFonts w:eastAsia="HelenPro-Regular"/>
        </w:rPr>
      </w:pPr>
      <w:r w:rsidRPr="000B1D10">
        <w:rPr>
          <w:rFonts w:eastAsia="HelenPro-Regular"/>
        </w:rPr>
        <w:t>The MULTIGENT Ammonia Ultra assay i</w:t>
      </w:r>
      <w:r>
        <w:rPr>
          <w:rFonts w:eastAsia="HelenPro-Regular"/>
        </w:rPr>
        <w:t xml:space="preserve">s intended for the quantitative </w:t>
      </w:r>
      <w:r w:rsidRPr="000B1D10">
        <w:rPr>
          <w:rFonts w:eastAsia="HelenPro-Regular"/>
        </w:rPr>
        <w:t>enzymatic determination of ammonia in human plasma on the</w:t>
      </w:r>
      <w:r>
        <w:rPr>
          <w:rFonts w:eastAsia="HelenPro-Regular"/>
        </w:rPr>
        <w:t xml:space="preserve"> </w:t>
      </w:r>
      <w:r w:rsidRPr="000B1D10">
        <w:rPr>
          <w:rFonts w:eastAsia="HelenPro-Regular"/>
        </w:rPr>
        <w:t xml:space="preserve">ARCHITECT </w:t>
      </w:r>
      <w:r w:rsidRPr="000B1D10">
        <w:rPr>
          <w:rFonts w:eastAsia="HelenPro-Regular"/>
          <w:i/>
          <w:iCs/>
        </w:rPr>
        <w:t xml:space="preserve">c </w:t>
      </w:r>
      <w:r w:rsidRPr="000B1D10">
        <w:rPr>
          <w:rFonts w:eastAsia="HelenPro-Regular"/>
        </w:rPr>
        <w:t>Systems.</w:t>
      </w:r>
    </w:p>
    <w:p w:rsidR="00DC16C5" w:rsidRPr="000B1D10" w:rsidRDefault="00DC16C5" w:rsidP="00DC16C5">
      <w:pPr>
        <w:jc w:val="both"/>
        <w:rPr>
          <w:b/>
        </w:rPr>
      </w:pPr>
    </w:p>
    <w:p w:rsidR="0009322F" w:rsidRPr="000B1D10" w:rsidRDefault="006559EB" w:rsidP="006107A2">
      <w:pPr>
        <w:jc w:val="both"/>
        <w:rPr>
          <w:sz w:val="28"/>
          <w:szCs w:val="28"/>
        </w:rPr>
      </w:pPr>
      <w:r w:rsidRPr="000B1D10">
        <w:rPr>
          <w:b/>
          <w:sz w:val="28"/>
          <w:szCs w:val="28"/>
        </w:rPr>
        <w:t>Clinical Significance</w:t>
      </w:r>
      <w:r w:rsidR="006107A2" w:rsidRPr="000B1D10">
        <w:rPr>
          <w:sz w:val="28"/>
          <w:szCs w:val="28"/>
        </w:rPr>
        <w:t xml:space="preserve"> </w:t>
      </w:r>
    </w:p>
    <w:p w:rsidR="00DC16C5" w:rsidRPr="000B1D10" w:rsidRDefault="000B1D10" w:rsidP="000B1D10">
      <w:pPr>
        <w:autoSpaceDE w:val="0"/>
        <w:autoSpaceDN w:val="0"/>
        <w:adjustRightInd w:val="0"/>
        <w:rPr>
          <w:rFonts w:eastAsia="HelenPro-Regular"/>
        </w:rPr>
      </w:pPr>
      <w:r w:rsidRPr="000B1D10">
        <w:rPr>
          <w:rFonts w:eastAsia="HelenPro-Regular"/>
        </w:rPr>
        <w:t>Ammonia, derived from the catabol</w:t>
      </w:r>
      <w:r>
        <w:rPr>
          <w:rFonts w:eastAsia="HelenPro-Regular"/>
        </w:rPr>
        <w:t xml:space="preserve">ism of amino acids and from the </w:t>
      </w:r>
      <w:r w:rsidRPr="000B1D10">
        <w:rPr>
          <w:rFonts w:eastAsia="HelenPro-Regular"/>
        </w:rPr>
        <w:t>action of intestinal bacteria on dietary protein, is converted to urea</w:t>
      </w:r>
      <w:r>
        <w:rPr>
          <w:rFonts w:eastAsia="HelenPro-Regular"/>
        </w:rPr>
        <w:t xml:space="preserve"> </w:t>
      </w:r>
      <w:r w:rsidRPr="000B1D10">
        <w:rPr>
          <w:rFonts w:eastAsia="HelenPro-Regular"/>
        </w:rPr>
        <w:t>in the liver hepatocytes and so rendered non-toxic. Studies have</w:t>
      </w:r>
      <w:r>
        <w:rPr>
          <w:rFonts w:eastAsia="HelenPro-Regular"/>
        </w:rPr>
        <w:t xml:space="preserve"> </w:t>
      </w:r>
      <w:r w:rsidRPr="000B1D10">
        <w:rPr>
          <w:rFonts w:eastAsia="HelenPro-Regular"/>
        </w:rPr>
        <w:t>shown that excess ammonia can have a toxic effect on the central</w:t>
      </w:r>
      <w:r>
        <w:rPr>
          <w:rFonts w:eastAsia="HelenPro-Regular"/>
        </w:rPr>
        <w:t xml:space="preserve"> </w:t>
      </w:r>
      <w:r w:rsidRPr="000B1D10">
        <w:rPr>
          <w:rFonts w:eastAsia="HelenPro-Regular"/>
        </w:rPr>
        <w:t>nervous system and clinical manifestations are typically neurological</w:t>
      </w:r>
      <w:r>
        <w:rPr>
          <w:rFonts w:eastAsia="HelenPro-Regular"/>
        </w:rPr>
        <w:t xml:space="preserve"> </w:t>
      </w:r>
      <w:r w:rsidRPr="000B1D10">
        <w:rPr>
          <w:rFonts w:eastAsia="HelenPro-Regular"/>
        </w:rPr>
        <w:t>disturbances. Elevated ammonia may also be observed in severe liver</w:t>
      </w:r>
      <w:r>
        <w:rPr>
          <w:rFonts w:eastAsia="HelenPro-Regular"/>
        </w:rPr>
        <w:t xml:space="preserve"> </w:t>
      </w:r>
      <w:r w:rsidRPr="000B1D10">
        <w:rPr>
          <w:rFonts w:eastAsia="HelenPro-Regular"/>
        </w:rPr>
        <w:t>failure, as may occur in Reye’s Syndrome, viral hepatitis, or cirrhosis.</w:t>
      </w:r>
      <w:r>
        <w:rPr>
          <w:rFonts w:eastAsia="HelenPro-Regular"/>
        </w:rPr>
        <w:t xml:space="preserve"> </w:t>
      </w:r>
      <w:r w:rsidRPr="000B1D10">
        <w:rPr>
          <w:rFonts w:eastAsia="HelenPro-Regular"/>
        </w:rPr>
        <w:t>Hyperammonemia occurs with genetic defects of the urea cycle and</w:t>
      </w:r>
      <w:r>
        <w:rPr>
          <w:rFonts w:eastAsia="HelenPro-Regular"/>
        </w:rPr>
        <w:t xml:space="preserve"> </w:t>
      </w:r>
      <w:r w:rsidRPr="000B1D10">
        <w:rPr>
          <w:rFonts w:eastAsia="HelenPro-Regular"/>
        </w:rPr>
        <w:t>some other hereditary disorders. Therefore, elevated plasma ammonia</w:t>
      </w:r>
      <w:r>
        <w:rPr>
          <w:rFonts w:eastAsia="HelenPro-Regular"/>
        </w:rPr>
        <w:t xml:space="preserve"> </w:t>
      </w:r>
      <w:r w:rsidRPr="000B1D10">
        <w:rPr>
          <w:rFonts w:eastAsia="HelenPro-Regular"/>
        </w:rPr>
        <w:t>may occur in the pediatric population. Elevated ammonia has also been</w:t>
      </w:r>
      <w:r>
        <w:rPr>
          <w:rFonts w:eastAsia="HelenPro-Regular"/>
        </w:rPr>
        <w:t xml:space="preserve"> </w:t>
      </w:r>
      <w:r w:rsidRPr="000B1D10">
        <w:rPr>
          <w:rFonts w:eastAsia="HelenPro-Regular"/>
        </w:rPr>
        <w:t>reported due to administration of valproic acid</w:t>
      </w:r>
      <w:r>
        <w:rPr>
          <w:rFonts w:eastAsia="HelenPro-Regular"/>
        </w:rPr>
        <w:t>.</w:t>
      </w:r>
    </w:p>
    <w:p w:rsidR="00A062F7" w:rsidRPr="000B1D10" w:rsidRDefault="00A062F7" w:rsidP="00A062F7">
      <w:pPr>
        <w:jc w:val="both"/>
        <w:rPr>
          <w:b/>
        </w:rPr>
      </w:pPr>
    </w:p>
    <w:p w:rsidR="008A7F96" w:rsidRPr="000B1D10" w:rsidRDefault="008A7F96" w:rsidP="008A7F96">
      <w:pPr>
        <w:jc w:val="both"/>
        <w:rPr>
          <w:color w:val="FF0000"/>
        </w:rPr>
      </w:pPr>
      <w:r w:rsidRPr="000B1D10">
        <w:rPr>
          <w:b/>
        </w:rPr>
        <w:t>Principle</w:t>
      </w:r>
      <w:r w:rsidRPr="000B1D10">
        <w:t xml:space="preserve"> </w:t>
      </w:r>
    </w:p>
    <w:p w:rsidR="000B1D10" w:rsidRPr="000B1D10" w:rsidRDefault="000B1D10" w:rsidP="000B1D10">
      <w:pPr>
        <w:autoSpaceDE w:val="0"/>
        <w:autoSpaceDN w:val="0"/>
        <w:adjustRightInd w:val="0"/>
        <w:rPr>
          <w:rFonts w:eastAsia="HelenPro-Regular"/>
        </w:rPr>
      </w:pPr>
      <w:r w:rsidRPr="000B1D10">
        <w:rPr>
          <w:rFonts w:eastAsia="HelenPro-Regular"/>
        </w:rPr>
        <w:t xml:space="preserve">Ammonia, in the presence of </w:t>
      </w:r>
      <w:r>
        <w:rPr>
          <w:rFonts w:eastAsia="HelenPro-Regular"/>
        </w:rPr>
        <w:t xml:space="preserve">glutamate dehydrogenase (GLDH), </w:t>
      </w:r>
      <w:r w:rsidRPr="000B1D10">
        <w:rPr>
          <w:rFonts w:eastAsia="HelenPro-Regular"/>
        </w:rPr>
        <w:t>combines with α-ketoglutarate and NADH to yield glutamate and NAD+.</w:t>
      </w:r>
      <w:r>
        <w:rPr>
          <w:rFonts w:eastAsia="HelenPro-Regular"/>
        </w:rPr>
        <w:t xml:space="preserve"> </w:t>
      </w:r>
      <w:r w:rsidRPr="000B1D10">
        <w:rPr>
          <w:rFonts w:eastAsia="HelenPro-Regular"/>
        </w:rPr>
        <w:t>The decrease in absorbance (NADH to NAD+) at 340 nm is proportional</w:t>
      </w:r>
      <w:r>
        <w:rPr>
          <w:rFonts w:eastAsia="HelenPro-Regular"/>
        </w:rPr>
        <w:t xml:space="preserve"> </w:t>
      </w:r>
      <w:r w:rsidRPr="000B1D10">
        <w:rPr>
          <w:rFonts w:eastAsia="HelenPro-Regular"/>
        </w:rPr>
        <w:t>to the ammonia concentration in the examined plasma. The reagent</w:t>
      </w:r>
      <w:r>
        <w:rPr>
          <w:rFonts w:eastAsia="HelenPro-Regular"/>
        </w:rPr>
        <w:t xml:space="preserve"> </w:t>
      </w:r>
      <w:r w:rsidRPr="000B1D10">
        <w:rPr>
          <w:rFonts w:eastAsia="HelenPro-Regular"/>
        </w:rPr>
        <w:t>contains lactate dehydrogenase (LDH) in excess, to rapidly reduce</w:t>
      </w:r>
      <w:r>
        <w:rPr>
          <w:rFonts w:eastAsia="HelenPro-Regular"/>
        </w:rPr>
        <w:t xml:space="preserve"> </w:t>
      </w:r>
      <w:r w:rsidRPr="000B1D10">
        <w:rPr>
          <w:rFonts w:eastAsia="HelenPro-Regular"/>
        </w:rPr>
        <w:t>endogenous pyruvate so that it does not interfere with the assay system.</w:t>
      </w:r>
    </w:p>
    <w:p w:rsidR="000B1D10" w:rsidRDefault="000B1D10" w:rsidP="000B1D10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8A7F96" w:rsidRPr="000B1D10" w:rsidRDefault="000B1D10" w:rsidP="000B1D10">
      <w:pPr>
        <w:autoSpaceDE w:val="0"/>
        <w:autoSpaceDN w:val="0"/>
        <w:adjustRightInd w:val="0"/>
        <w:rPr>
          <w:rFonts w:eastAsia="HelenPro-Regular"/>
        </w:rPr>
      </w:pPr>
      <w:r w:rsidRPr="000B1D10">
        <w:rPr>
          <w:rFonts w:eastAsia="HelenPro-Bold"/>
          <w:b/>
          <w:bCs/>
        </w:rPr>
        <w:t xml:space="preserve">Methodology: </w:t>
      </w:r>
      <w:r w:rsidRPr="000B1D10">
        <w:rPr>
          <w:rFonts w:eastAsia="HelenPro-Regular"/>
        </w:rPr>
        <w:t>Glutamate Dehydrogenase</w:t>
      </w:r>
    </w:p>
    <w:p w:rsidR="006245F4" w:rsidRPr="000B1D10" w:rsidRDefault="006245F4" w:rsidP="006559EB">
      <w:pPr>
        <w:rPr>
          <w:b/>
        </w:rPr>
      </w:pPr>
    </w:p>
    <w:p w:rsidR="006559EB" w:rsidRPr="000B1D10" w:rsidRDefault="006559EB" w:rsidP="006559EB">
      <w:pPr>
        <w:rPr>
          <w:b/>
        </w:rPr>
      </w:pPr>
      <w:r w:rsidRPr="000B1D10">
        <w:rPr>
          <w:b/>
        </w:rPr>
        <w:t>Specimen Collection and Handling</w:t>
      </w:r>
      <w:r w:rsidR="00D60AFA" w:rsidRPr="000B1D10">
        <w:rPr>
          <w:b/>
        </w:rPr>
        <w:t xml:space="preserve"> </w:t>
      </w:r>
    </w:p>
    <w:p w:rsidR="004A03BD" w:rsidRPr="000B1D10" w:rsidRDefault="004A03BD" w:rsidP="006559EB">
      <w:pPr>
        <w:rPr>
          <w:b/>
        </w:rPr>
      </w:pPr>
    </w:p>
    <w:p w:rsidR="000B1D10" w:rsidRPr="000B1D10" w:rsidRDefault="000B1D10" w:rsidP="000B1D10">
      <w:pPr>
        <w:autoSpaceDE w:val="0"/>
        <w:autoSpaceDN w:val="0"/>
        <w:adjustRightInd w:val="0"/>
        <w:rPr>
          <w:b/>
          <w:bCs/>
          <w:i/>
          <w:iCs/>
        </w:rPr>
      </w:pPr>
      <w:r w:rsidRPr="000B1D10">
        <w:rPr>
          <w:b/>
          <w:bCs/>
          <w:i/>
          <w:iCs/>
        </w:rPr>
        <w:t>Plasma</w:t>
      </w:r>
    </w:p>
    <w:p w:rsidR="000B1D10" w:rsidRPr="000B1D10" w:rsidRDefault="000B1D10" w:rsidP="000B1D10">
      <w:pPr>
        <w:autoSpaceDE w:val="0"/>
        <w:autoSpaceDN w:val="0"/>
        <w:adjustRightInd w:val="0"/>
        <w:rPr>
          <w:rFonts w:eastAsia="HelenPro-Regular"/>
        </w:rPr>
      </w:pPr>
      <w:r w:rsidRPr="000B1D10">
        <w:rPr>
          <w:rFonts w:eastAsia="HelenPro-Regular"/>
        </w:rPr>
        <w:t>• Use nonhemolyzed plasma collected by standard venipun</w:t>
      </w:r>
      <w:r>
        <w:rPr>
          <w:rFonts w:eastAsia="HelenPro-Regular"/>
        </w:rPr>
        <w:t xml:space="preserve">cture </w:t>
      </w:r>
      <w:r w:rsidRPr="000B1D10">
        <w:rPr>
          <w:rFonts w:eastAsia="HelenPro-Regular"/>
        </w:rPr>
        <w:t>techniques. Hemolyzed samples should not be used as erythrocytes</w:t>
      </w:r>
      <w:r>
        <w:rPr>
          <w:rFonts w:eastAsia="HelenPro-Regular"/>
        </w:rPr>
        <w:t xml:space="preserve"> </w:t>
      </w:r>
      <w:r w:rsidRPr="000B1D10">
        <w:rPr>
          <w:rFonts w:eastAsia="HelenPro-Regular"/>
        </w:rPr>
        <w:t>contain ammonia levels approximately three times that of plasma.</w:t>
      </w:r>
    </w:p>
    <w:p w:rsidR="000B1D10" w:rsidRPr="000B1D10" w:rsidRDefault="00C1531F" w:rsidP="000B1D10">
      <w:pPr>
        <w:autoSpaceDE w:val="0"/>
        <w:autoSpaceDN w:val="0"/>
        <w:adjustRightInd w:val="0"/>
        <w:rPr>
          <w:rFonts w:eastAsia="HelenPro-Regular"/>
        </w:rPr>
      </w:pPr>
      <w:r>
        <w:rPr>
          <w:rFonts w:eastAsia="HelenPro-Regular"/>
        </w:rPr>
        <w:t xml:space="preserve">• The acceptable anticoagulant is </w:t>
      </w:r>
      <w:r w:rsidR="000B1D10" w:rsidRPr="000B1D10">
        <w:rPr>
          <w:rFonts w:eastAsia="HelenPro-Regular"/>
        </w:rPr>
        <w:t xml:space="preserve">EDTA. </w:t>
      </w:r>
      <w:r w:rsidR="000B1D10" w:rsidRPr="000B1D10">
        <w:rPr>
          <w:rFonts w:eastAsia="HelenPro-Bold"/>
          <w:b/>
          <w:bCs/>
        </w:rPr>
        <w:t>Do not use ammonium heparin</w:t>
      </w:r>
      <w:r w:rsidR="000B1D10" w:rsidRPr="000B1D10">
        <w:rPr>
          <w:rFonts w:eastAsia="HelenPro-Regular"/>
        </w:rPr>
        <w:t>.</w:t>
      </w:r>
    </w:p>
    <w:p w:rsidR="000B1D10" w:rsidRPr="000B1D10" w:rsidRDefault="000B1D10" w:rsidP="000B1D10">
      <w:pPr>
        <w:autoSpaceDE w:val="0"/>
        <w:autoSpaceDN w:val="0"/>
        <w:adjustRightInd w:val="0"/>
        <w:rPr>
          <w:rFonts w:eastAsia="HelenPro-Regular"/>
        </w:rPr>
      </w:pPr>
      <w:r w:rsidRPr="000B1D10">
        <w:rPr>
          <w:rFonts w:eastAsia="HelenPro-Regular"/>
        </w:rPr>
        <w:t>• The collection tube must be c</w:t>
      </w:r>
      <w:r>
        <w:rPr>
          <w:rFonts w:eastAsia="HelenPro-Regular"/>
        </w:rPr>
        <w:t xml:space="preserve">ompletely filled with blood and </w:t>
      </w:r>
      <w:r w:rsidRPr="000B1D10">
        <w:rPr>
          <w:rFonts w:eastAsia="HelenPro-Regular"/>
        </w:rPr>
        <w:t>immediately placed on ice.</w:t>
      </w:r>
    </w:p>
    <w:p w:rsidR="000B1D10" w:rsidRPr="000B1D10" w:rsidRDefault="000B1D10" w:rsidP="000B1D10">
      <w:pPr>
        <w:autoSpaceDE w:val="0"/>
        <w:autoSpaceDN w:val="0"/>
        <w:adjustRightInd w:val="0"/>
        <w:rPr>
          <w:rFonts w:eastAsia="HelenPro-Regular"/>
        </w:rPr>
      </w:pPr>
      <w:r w:rsidRPr="000B1D10">
        <w:rPr>
          <w:rFonts w:eastAsia="HelenPro-Regular"/>
        </w:rPr>
        <w:t>• Centrifuge the cold sample as quickly as possible and separate the</w:t>
      </w:r>
      <w:r>
        <w:rPr>
          <w:rFonts w:eastAsia="HelenPro-Regular"/>
        </w:rPr>
        <w:t xml:space="preserve"> </w:t>
      </w:r>
      <w:r w:rsidRPr="000B1D10">
        <w:rPr>
          <w:rFonts w:eastAsia="HelenPro-Regular"/>
        </w:rPr>
        <w:t>plasma from blood cells according to the specimen collection tube</w:t>
      </w:r>
      <w:r>
        <w:rPr>
          <w:rFonts w:eastAsia="HelenPro-Regular"/>
        </w:rPr>
        <w:t xml:space="preserve"> </w:t>
      </w:r>
      <w:r w:rsidRPr="000B1D10">
        <w:rPr>
          <w:rFonts w:eastAsia="HelenPro-Regular"/>
        </w:rPr>
        <w:t>manufacturer’s instructions. Ensure centrifugation is adequate to</w:t>
      </w:r>
      <w:r>
        <w:rPr>
          <w:rFonts w:eastAsia="HelenPro-Regular"/>
        </w:rPr>
        <w:t xml:space="preserve"> </w:t>
      </w:r>
      <w:r w:rsidRPr="000B1D10">
        <w:rPr>
          <w:rFonts w:eastAsia="HelenPro-Regular"/>
        </w:rPr>
        <w:t>remove platelets.</w:t>
      </w:r>
    </w:p>
    <w:p w:rsidR="00DC16C5" w:rsidRPr="000B1D10" w:rsidRDefault="000B1D10" w:rsidP="000B1D10">
      <w:pPr>
        <w:autoSpaceDE w:val="0"/>
        <w:autoSpaceDN w:val="0"/>
        <w:adjustRightInd w:val="0"/>
        <w:rPr>
          <w:rFonts w:eastAsia="HelenPro-Regular"/>
        </w:rPr>
      </w:pPr>
      <w:r w:rsidRPr="000B1D10">
        <w:rPr>
          <w:rFonts w:eastAsia="HelenPro-Bold"/>
          <w:b/>
          <w:bCs/>
        </w:rPr>
        <w:t xml:space="preserve">NOTE: </w:t>
      </w:r>
      <w:r w:rsidRPr="000B1D10">
        <w:rPr>
          <w:rFonts w:eastAsia="HelenPro-Regular"/>
        </w:rPr>
        <w:t>Rapid separation of plasma f</w:t>
      </w:r>
      <w:r>
        <w:rPr>
          <w:rFonts w:eastAsia="HelenPro-Regular"/>
        </w:rPr>
        <w:t xml:space="preserve">rom blood cells is critical for </w:t>
      </w:r>
      <w:r w:rsidRPr="000B1D10">
        <w:rPr>
          <w:rFonts w:eastAsia="HelenPro-Regular"/>
        </w:rPr>
        <w:t>obtaining reliable results. The standard recommendation is no more</w:t>
      </w:r>
      <w:r>
        <w:rPr>
          <w:rFonts w:eastAsia="HelenPro-Regular"/>
        </w:rPr>
        <w:t xml:space="preserve"> </w:t>
      </w:r>
      <w:r w:rsidRPr="000B1D10">
        <w:rPr>
          <w:rFonts w:eastAsia="HelenPro-Regular"/>
        </w:rPr>
        <w:t>than 15 minutes from sample collection to the start of centrifugation.</w:t>
      </w:r>
      <w:r>
        <w:rPr>
          <w:rFonts w:eastAsia="HelenPro-Regular"/>
        </w:rPr>
        <w:t xml:space="preserve"> </w:t>
      </w:r>
      <w:r w:rsidRPr="000B1D10">
        <w:rPr>
          <w:rFonts w:eastAsia="HelenPro-Regular"/>
        </w:rPr>
        <w:t>Timing is especially critical for patients with liver disease. Delays</w:t>
      </w:r>
      <w:r>
        <w:rPr>
          <w:rFonts w:eastAsia="HelenPro-Regular"/>
        </w:rPr>
        <w:t xml:space="preserve"> </w:t>
      </w:r>
      <w:r w:rsidRPr="000B1D10">
        <w:rPr>
          <w:rFonts w:eastAsia="HelenPro-Regular"/>
        </w:rPr>
        <w:t>exceeding 15 minutes have been shown to increase ammonia</w:t>
      </w:r>
      <w:r>
        <w:rPr>
          <w:rFonts w:eastAsia="HelenPro-Regular"/>
        </w:rPr>
        <w:t xml:space="preserve"> </w:t>
      </w:r>
      <w:r w:rsidRPr="000B1D10">
        <w:rPr>
          <w:rFonts w:eastAsia="HelenPro-Regular"/>
        </w:rPr>
        <w:t>concentration even at 0°C.1 Follow the plasma ammonia protocol</w:t>
      </w:r>
      <w:r>
        <w:rPr>
          <w:rFonts w:eastAsia="HelenPro-Regular"/>
        </w:rPr>
        <w:t xml:space="preserve"> </w:t>
      </w:r>
      <w:r w:rsidRPr="000B1D10">
        <w:rPr>
          <w:rFonts w:eastAsia="HelenPro-Regular"/>
        </w:rPr>
        <w:lastRenderedPageBreak/>
        <w:t>established for your laboratory.</w:t>
      </w:r>
      <w:r>
        <w:rPr>
          <w:rFonts w:eastAsia="HelenPro-Regular"/>
        </w:rPr>
        <w:t xml:space="preserve"> </w:t>
      </w:r>
      <w:r w:rsidRPr="000B1D10">
        <w:rPr>
          <w:rFonts w:eastAsia="HelenPro-Regular"/>
        </w:rPr>
        <w:t>Sources of contamination include (but are not restricted to) cigarette</w:t>
      </w:r>
      <w:r>
        <w:rPr>
          <w:rFonts w:eastAsia="HelenPro-Regular"/>
        </w:rPr>
        <w:t xml:space="preserve"> </w:t>
      </w:r>
      <w:r w:rsidRPr="000B1D10">
        <w:rPr>
          <w:rFonts w:eastAsia="HelenPro-Regular"/>
        </w:rPr>
        <w:t>smoking (patient and phlebotomy staff), air in the laboratory, and</w:t>
      </w:r>
      <w:r>
        <w:rPr>
          <w:rFonts w:eastAsia="HelenPro-Regular"/>
        </w:rPr>
        <w:t xml:space="preserve"> </w:t>
      </w:r>
      <w:r w:rsidRPr="000B1D10">
        <w:rPr>
          <w:rFonts w:eastAsia="HelenPro-Regular"/>
        </w:rPr>
        <w:t>laboratory glassware.</w:t>
      </w:r>
    </w:p>
    <w:p w:rsidR="000B1D10" w:rsidRPr="00E77CFB" w:rsidRDefault="000B1D10" w:rsidP="000B1D10">
      <w:pPr>
        <w:autoSpaceDE w:val="0"/>
        <w:autoSpaceDN w:val="0"/>
        <w:adjustRightInd w:val="0"/>
        <w:rPr>
          <w:rFonts w:eastAsia="HelenPro-Regular"/>
        </w:rPr>
      </w:pPr>
    </w:p>
    <w:p w:rsidR="00DC16C5" w:rsidRPr="00E77CFB" w:rsidRDefault="00DC16C5" w:rsidP="00DC16C5">
      <w:pPr>
        <w:autoSpaceDE w:val="0"/>
        <w:autoSpaceDN w:val="0"/>
        <w:adjustRightInd w:val="0"/>
        <w:rPr>
          <w:rFonts w:eastAsia="HelenPro-Regular"/>
          <w:b/>
        </w:rPr>
      </w:pPr>
      <w:r w:rsidRPr="00E77CFB">
        <w:rPr>
          <w:rFonts w:eastAsia="HelenPro-Regular"/>
          <w:b/>
        </w:rPr>
        <w:t>Specimen Storage</w:t>
      </w:r>
    </w:p>
    <w:p w:rsidR="00460600" w:rsidRPr="00E77CFB" w:rsidRDefault="000B1D10" w:rsidP="00E77CFB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drawing>
          <wp:inline distT="0" distB="0" distL="0" distR="0" wp14:anchorId="31DECF35" wp14:editId="1DE00346">
            <wp:extent cx="3133725" cy="7239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2F7" w:rsidRPr="00C32412" w:rsidRDefault="00A062F7" w:rsidP="00460600">
      <w:pPr>
        <w:autoSpaceDE w:val="0"/>
        <w:autoSpaceDN w:val="0"/>
        <w:adjustRightInd w:val="0"/>
        <w:rPr>
          <w:rFonts w:eastAsia="HelenPro-Regular"/>
        </w:rPr>
      </w:pPr>
    </w:p>
    <w:p w:rsidR="00D64E39" w:rsidRPr="00BC76E2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Bold"/>
          <w:b/>
          <w:bCs/>
        </w:rPr>
        <w:t xml:space="preserve">NOTE: </w:t>
      </w:r>
      <w:r w:rsidRPr="00C32412">
        <w:rPr>
          <w:rFonts w:eastAsia="HelenPro-Regular"/>
        </w:rPr>
        <w:t>Stored specimens must be inspected for particulates. If present,</w:t>
      </w:r>
      <w:r>
        <w:rPr>
          <w:rFonts w:eastAsia="HelenPro-Regular"/>
        </w:rPr>
        <w:t xml:space="preserve"> </w:t>
      </w:r>
      <w:r w:rsidRPr="00C32412">
        <w:rPr>
          <w:rFonts w:eastAsia="HelenPro-Regular"/>
        </w:rPr>
        <w:t>mix and centrifuge the specimen to remove particulates prior to testing</w:t>
      </w:r>
      <w:r>
        <w:rPr>
          <w:rFonts w:ascii="HelenPro-Regular" w:eastAsia="HelenPro-Regular" w:cs="HelenPro-Regular"/>
          <w:sz w:val="16"/>
          <w:szCs w:val="16"/>
        </w:rPr>
        <w:t>.</w:t>
      </w:r>
    </w:p>
    <w:p w:rsidR="00AB793D" w:rsidRDefault="00AB793D" w:rsidP="00F7103F">
      <w:pPr>
        <w:tabs>
          <w:tab w:val="left" w:pos="0"/>
        </w:tabs>
        <w:rPr>
          <w:rFonts w:eastAsia="HelenPro-Regular"/>
        </w:rPr>
      </w:pPr>
    </w:p>
    <w:p w:rsidR="007E4CE6" w:rsidRPr="00081C7F" w:rsidRDefault="00AE6F5B" w:rsidP="00AE6F5B">
      <w:pPr>
        <w:rPr>
          <w:b/>
        </w:rPr>
      </w:pPr>
      <w:r w:rsidRPr="007E4CE6">
        <w:rPr>
          <w:b/>
          <w:sz w:val="28"/>
          <w:szCs w:val="28"/>
        </w:rPr>
        <w:t>Materials and Equipment Required</w:t>
      </w:r>
      <w:r w:rsidR="00D60AFA">
        <w:rPr>
          <w:b/>
          <w:sz w:val="28"/>
          <w:szCs w:val="28"/>
        </w:rPr>
        <w:t xml:space="preserve"> </w:t>
      </w:r>
    </w:p>
    <w:p w:rsidR="00F7103F" w:rsidRPr="00F7103F" w:rsidRDefault="00F7103F" w:rsidP="00973EAF">
      <w:pPr>
        <w:ind w:firstLine="720"/>
      </w:pPr>
      <w:r w:rsidRPr="00F7103F">
        <w:rPr>
          <w:b/>
        </w:rPr>
        <w:t>TEST INSTRUMENT</w:t>
      </w:r>
      <w:r w:rsidRPr="00F7103F">
        <w:t>:  Abbott ARCHITECT System</w:t>
      </w:r>
    </w:p>
    <w:p w:rsidR="006D40ED" w:rsidRDefault="006D40ED" w:rsidP="00F7103F">
      <w:pPr>
        <w:rPr>
          <w:b/>
        </w:rPr>
      </w:pPr>
    </w:p>
    <w:p w:rsidR="00F7103F" w:rsidRPr="00F7103F" w:rsidRDefault="00F7103F" w:rsidP="00973EAF">
      <w:pPr>
        <w:ind w:firstLine="720"/>
        <w:rPr>
          <w:b/>
        </w:rPr>
      </w:pPr>
      <w:r w:rsidRPr="00F7103F">
        <w:rPr>
          <w:b/>
        </w:rPr>
        <w:t>MATERIALS PROVIDED</w:t>
      </w:r>
    </w:p>
    <w:p w:rsidR="00F7103F" w:rsidRPr="00F7103F" w:rsidRDefault="00F7103F" w:rsidP="00F7103F"/>
    <w:p w:rsidR="00F7103F" w:rsidRPr="000B1D10" w:rsidRDefault="00F7103F" w:rsidP="00973EAF">
      <w:pPr>
        <w:ind w:firstLine="720"/>
      </w:pPr>
      <w:r w:rsidRPr="00F7103F">
        <w:rPr>
          <w:rFonts w:eastAsia="HelenPro-Regular"/>
        </w:rPr>
        <w:t xml:space="preserve"> </w:t>
      </w:r>
      <w:r w:rsidR="000B1D10" w:rsidRPr="000B1D10">
        <w:rPr>
          <w:rFonts w:eastAsia="HelenPro-Regular"/>
        </w:rPr>
        <w:t>6K89-30 MULTIGENT Ammonia Ultra Kit</w:t>
      </w:r>
    </w:p>
    <w:p w:rsidR="00464E3B" w:rsidRDefault="00464E3B" w:rsidP="00973EAF">
      <w:pPr>
        <w:ind w:firstLine="720"/>
        <w:rPr>
          <w:b/>
        </w:rPr>
      </w:pPr>
    </w:p>
    <w:p w:rsidR="00F7103F" w:rsidRPr="00F7103F" w:rsidRDefault="00F7103F" w:rsidP="00973EAF">
      <w:pPr>
        <w:ind w:firstLine="720"/>
        <w:rPr>
          <w:b/>
        </w:rPr>
      </w:pPr>
      <w:r w:rsidRPr="00F7103F">
        <w:rPr>
          <w:b/>
        </w:rPr>
        <w:t>MATERIALS REQUIRED BUT NOT PROVIDED</w:t>
      </w:r>
    </w:p>
    <w:p w:rsidR="00F7103F" w:rsidRPr="00F7103F" w:rsidRDefault="00F7103F" w:rsidP="00F7103F"/>
    <w:p w:rsidR="00C32412" w:rsidRPr="000B1D10" w:rsidRDefault="00DC16C5" w:rsidP="00DC16C5">
      <w:pPr>
        <w:autoSpaceDE w:val="0"/>
        <w:autoSpaceDN w:val="0"/>
        <w:adjustRightInd w:val="0"/>
        <w:ind w:left="720"/>
        <w:rPr>
          <w:rFonts w:eastAsia="HelenPro-Regular"/>
        </w:rPr>
      </w:pPr>
      <w:r w:rsidRPr="000B1D10">
        <w:rPr>
          <w:rFonts w:eastAsia="HelenPro-Regular"/>
        </w:rPr>
        <w:t xml:space="preserve">• </w:t>
      </w:r>
      <w:r w:rsidR="00C1531F">
        <w:rPr>
          <w:rFonts w:eastAsia="HelenPro-Regular"/>
        </w:rPr>
        <w:t xml:space="preserve">Refer to the Chemistry Quality Control Procedure for specific QC products </w:t>
      </w:r>
    </w:p>
    <w:p w:rsidR="00952933" w:rsidRPr="00C32412" w:rsidRDefault="00C32412" w:rsidP="00C32412">
      <w:pPr>
        <w:ind w:left="720"/>
        <w:rPr>
          <w:b/>
        </w:rPr>
      </w:pPr>
      <w:r w:rsidRPr="00C32412">
        <w:rPr>
          <w:rFonts w:eastAsia="HelenPro-Regular"/>
        </w:rPr>
        <w:t>• Saline (0.85% to 0.90% NaCl) for specimens that require dilution</w:t>
      </w:r>
    </w:p>
    <w:p w:rsidR="00C32412" w:rsidRDefault="00C32412" w:rsidP="00507B0C">
      <w:pPr>
        <w:rPr>
          <w:b/>
          <w:sz w:val="28"/>
          <w:szCs w:val="28"/>
        </w:rPr>
      </w:pPr>
    </w:p>
    <w:p w:rsidR="00507B0C" w:rsidRPr="004A03BD" w:rsidRDefault="00507B0C" w:rsidP="00507B0C">
      <w:pPr>
        <w:rPr>
          <w:b/>
          <w:sz w:val="28"/>
          <w:szCs w:val="28"/>
        </w:rPr>
      </w:pPr>
      <w:r w:rsidRPr="004A03BD">
        <w:rPr>
          <w:b/>
          <w:sz w:val="28"/>
          <w:szCs w:val="28"/>
        </w:rPr>
        <w:t xml:space="preserve">Reagent Handling and Storage: </w:t>
      </w:r>
    </w:p>
    <w:p w:rsidR="00507B0C" w:rsidRDefault="00507B0C" w:rsidP="004A03BD">
      <w:pPr>
        <w:spacing w:before="72" w:after="43"/>
        <w:rPr>
          <w:b/>
          <w:color w:val="000000"/>
          <w:szCs w:val="15"/>
        </w:rPr>
      </w:pPr>
    </w:p>
    <w:p w:rsidR="00F7103F" w:rsidRPr="00F7103F" w:rsidRDefault="00F7103F" w:rsidP="00F7103F">
      <w:pPr>
        <w:pStyle w:val="txt"/>
        <w:numPr>
          <w:ilvl w:val="12"/>
          <w:numId w:val="0"/>
        </w:numPr>
        <w:rPr>
          <w:b/>
          <w:sz w:val="24"/>
          <w:szCs w:val="24"/>
        </w:rPr>
      </w:pPr>
      <w:r w:rsidRPr="00F7103F">
        <w:rPr>
          <w:b/>
          <w:i/>
          <w:sz w:val="24"/>
          <w:szCs w:val="24"/>
        </w:rPr>
        <w:t>CAUTION</w:t>
      </w:r>
      <w:r w:rsidRPr="00F7103F">
        <w:rPr>
          <w:b/>
          <w:sz w:val="24"/>
          <w:szCs w:val="24"/>
        </w:rPr>
        <w:t>:</w:t>
      </w:r>
    </w:p>
    <w:p w:rsidR="00F7103F" w:rsidRPr="00F7103F" w:rsidRDefault="00F7103F" w:rsidP="00F7103F">
      <w:pPr>
        <w:rPr>
          <w:rFonts w:eastAsia="HelenPro-Regular"/>
        </w:rPr>
      </w:pPr>
      <w:r w:rsidRPr="00F7103F">
        <w:rPr>
          <w:rFonts w:eastAsia="HelenPro-Regular"/>
        </w:rPr>
        <w:t>1. For in vitro diagnostic use.</w:t>
      </w:r>
    </w:p>
    <w:p w:rsidR="00F7103F" w:rsidRPr="00F7103F" w:rsidRDefault="00F7103F" w:rsidP="00F7103F">
      <w:pPr>
        <w:rPr>
          <w:rFonts w:eastAsia="HelenPro-Regular"/>
        </w:rPr>
      </w:pPr>
      <w:r w:rsidRPr="00F7103F">
        <w:rPr>
          <w:rFonts w:eastAsia="HelenPro-Regular"/>
        </w:rPr>
        <w:t>2. Do not use components beyond the expiration date.</w:t>
      </w:r>
    </w:p>
    <w:p w:rsidR="00F7103F" w:rsidRPr="00DC16C5" w:rsidRDefault="00F7103F" w:rsidP="00F7103F">
      <w:pPr>
        <w:rPr>
          <w:rFonts w:eastAsia="HelenPro-Regular"/>
        </w:rPr>
      </w:pPr>
      <w:r w:rsidRPr="00F7103F">
        <w:rPr>
          <w:rFonts w:eastAsia="HelenPro-Regular"/>
        </w:rPr>
        <w:t xml:space="preserve">3. Do not mix materials from different kit </w:t>
      </w:r>
      <w:r w:rsidRPr="00DC16C5">
        <w:rPr>
          <w:rFonts w:eastAsia="HelenPro-Regular"/>
        </w:rPr>
        <w:t>lot numbers.</w:t>
      </w:r>
    </w:p>
    <w:p w:rsidR="00DC16C5" w:rsidRPr="00F7103F" w:rsidRDefault="00DC16C5" w:rsidP="00F7103F">
      <w:pPr>
        <w:rPr>
          <w:rFonts w:eastAsia="HelenPro-Regular"/>
        </w:rPr>
      </w:pPr>
      <w:r w:rsidRPr="00DC16C5">
        <w:rPr>
          <w:rFonts w:eastAsia="HelenPro-Regular"/>
        </w:rPr>
        <w:t>• Do not mix fresh reagents with in-use reagents</w:t>
      </w:r>
      <w:r>
        <w:rPr>
          <w:rFonts w:ascii="HelenPro-Regular" w:eastAsia="HelenPro-Regular" w:cs="HelenPro-Regular"/>
          <w:sz w:val="16"/>
          <w:szCs w:val="16"/>
        </w:rPr>
        <w:t>.</w:t>
      </w:r>
    </w:p>
    <w:p w:rsidR="00F7103F" w:rsidRPr="00F7103F" w:rsidRDefault="00F7103F" w:rsidP="00F7103F">
      <w:pPr>
        <w:rPr>
          <w:rFonts w:eastAsia="HelenPro-Regular"/>
        </w:rPr>
      </w:pPr>
      <w:r w:rsidRPr="00F7103F">
        <w:rPr>
          <w:rFonts w:eastAsia="HelenPro-Regular"/>
          <w:b/>
          <w:bCs/>
        </w:rPr>
        <w:t xml:space="preserve">CAUTION: </w:t>
      </w:r>
      <w:r w:rsidRPr="00F7103F">
        <w:rPr>
          <w:rFonts w:eastAsia="HelenPro-Regular"/>
        </w:rPr>
        <w:t>This product requires the handling of human specimens.</w:t>
      </w:r>
    </w:p>
    <w:p w:rsidR="00F7103F" w:rsidRPr="00F7103F" w:rsidRDefault="00F7103F" w:rsidP="00F7103F">
      <w:pPr>
        <w:rPr>
          <w:rFonts w:eastAsia="HelenPro-Regular"/>
        </w:rPr>
      </w:pPr>
      <w:r w:rsidRPr="00F7103F">
        <w:rPr>
          <w:rFonts w:eastAsia="HelenPro-Regular"/>
        </w:rPr>
        <w:t>It is recommended that all human sourced materials be considered</w:t>
      </w:r>
    </w:p>
    <w:p w:rsidR="00F7103F" w:rsidRPr="00F7103F" w:rsidRDefault="00F7103F" w:rsidP="00F7103F">
      <w:pPr>
        <w:rPr>
          <w:rFonts w:eastAsia="HelenPro-Regular"/>
        </w:rPr>
      </w:pPr>
      <w:r w:rsidRPr="00F7103F">
        <w:rPr>
          <w:rFonts w:eastAsia="HelenPro-Regular"/>
        </w:rPr>
        <w:t>potentially infectious and be handled in accordance with the OSHA</w:t>
      </w:r>
    </w:p>
    <w:p w:rsidR="004A03BD" w:rsidRDefault="00F7103F" w:rsidP="00DC16C5">
      <w:pPr>
        <w:rPr>
          <w:rFonts w:eastAsia="HelenPro-Regular"/>
        </w:rPr>
      </w:pPr>
      <w:r w:rsidRPr="00F7103F">
        <w:rPr>
          <w:rFonts w:eastAsia="HelenPro-Regular"/>
        </w:rPr>
        <w:t>Standard on Bloodborne Pathogens. Biosafety Level 2 or other</w:t>
      </w:r>
      <w:r w:rsidR="00DC16C5">
        <w:rPr>
          <w:rFonts w:eastAsia="HelenPro-Regular"/>
        </w:rPr>
        <w:t xml:space="preserve"> </w:t>
      </w:r>
      <w:r w:rsidRPr="00F7103F">
        <w:rPr>
          <w:rFonts w:eastAsia="HelenPro-Regular"/>
        </w:rPr>
        <w:t>appropriate biosafety practices should be used for materials that contain or are suspected of containing infectious agents.</w:t>
      </w:r>
    </w:p>
    <w:p w:rsidR="00DC16C5" w:rsidRDefault="000B1D10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>
        <w:rPr>
          <w:noProof/>
        </w:rPr>
        <w:lastRenderedPageBreak/>
        <w:drawing>
          <wp:inline distT="0" distB="0" distL="0" distR="0" wp14:anchorId="563A4C86" wp14:editId="4A21EF70">
            <wp:extent cx="3352800" cy="24288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42D" w:rsidRPr="0038442D" w:rsidRDefault="0038442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38442D">
        <w:rPr>
          <w:rFonts w:eastAsia="HelenPro-Bold"/>
          <w:b/>
          <w:bCs/>
        </w:rPr>
        <w:t>Reagent Handling</w:t>
      </w:r>
    </w:p>
    <w:p w:rsidR="00C32412" w:rsidRPr="006245F4" w:rsidRDefault="00C32412" w:rsidP="006245F4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Regular"/>
        </w:rPr>
        <w:t xml:space="preserve">• </w:t>
      </w:r>
      <w:r w:rsidRPr="00C3571A">
        <w:rPr>
          <w:rFonts w:eastAsia="HelenPro-Regular"/>
        </w:rPr>
        <w:t xml:space="preserve">R1 Ready for use. </w:t>
      </w:r>
    </w:p>
    <w:p w:rsidR="00C32412" w:rsidRPr="002D6FB9" w:rsidRDefault="00C32412" w:rsidP="006245F4">
      <w:pPr>
        <w:autoSpaceDE w:val="0"/>
        <w:autoSpaceDN w:val="0"/>
        <w:adjustRightInd w:val="0"/>
        <w:rPr>
          <w:rFonts w:eastAsia="HelenPro-Regular"/>
        </w:rPr>
      </w:pPr>
      <w:r w:rsidRPr="006245F4">
        <w:rPr>
          <w:rFonts w:eastAsia="HelenPro-Regular"/>
        </w:rPr>
        <w:t xml:space="preserve">• R2 Ready for use. </w:t>
      </w:r>
    </w:p>
    <w:p w:rsidR="00C32412" w:rsidRPr="00C32412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Regular"/>
        </w:rPr>
        <w:t>• Remove air bubbles, if present i</w:t>
      </w:r>
      <w:r>
        <w:rPr>
          <w:rFonts w:eastAsia="HelenPro-Regular"/>
        </w:rPr>
        <w:t xml:space="preserve">n the reagent cartridge, with a </w:t>
      </w:r>
      <w:r w:rsidRPr="00C32412">
        <w:rPr>
          <w:rFonts w:eastAsia="HelenPro-Regular"/>
        </w:rPr>
        <w:t>new applicator stick. Alternatively, allow the reagent to sit at the</w:t>
      </w:r>
      <w:r>
        <w:rPr>
          <w:rFonts w:eastAsia="HelenPro-Regular"/>
        </w:rPr>
        <w:t xml:space="preserve"> </w:t>
      </w:r>
      <w:r w:rsidRPr="00C32412">
        <w:rPr>
          <w:rFonts w:eastAsia="HelenPro-Regular"/>
        </w:rPr>
        <w:t>appropriate storage temperature to allow the bubbles to dissipate.</w:t>
      </w:r>
    </w:p>
    <w:p w:rsidR="00C32412" w:rsidRPr="00C32412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Regular"/>
        </w:rPr>
        <w:t>To minimize volume depletion, do not u</w:t>
      </w:r>
      <w:r>
        <w:rPr>
          <w:rFonts w:eastAsia="HelenPro-Regular"/>
        </w:rPr>
        <w:t xml:space="preserve">se a transfer pipette to remove </w:t>
      </w:r>
      <w:r w:rsidRPr="00C32412">
        <w:rPr>
          <w:rFonts w:eastAsia="HelenPro-Regular"/>
        </w:rPr>
        <w:t>the bubbles.</w:t>
      </w:r>
    </w:p>
    <w:p w:rsidR="00C32412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Bold"/>
          <w:b/>
          <w:bCs/>
        </w:rPr>
        <w:t xml:space="preserve">CAUTION: </w:t>
      </w:r>
      <w:r w:rsidRPr="00C32412">
        <w:rPr>
          <w:rFonts w:eastAsia="HelenPro-Regular"/>
        </w:rPr>
        <w:t>Reagent bubbles may interfere with proper detection of</w:t>
      </w:r>
      <w:r>
        <w:rPr>
          <w:rFonts w:eastAsia="HelenPro-Regular"/>
        </w:rPr>
        <w:t xml:space="preserve"> </w:t>
      </w:r>
      <w:r w:rsidRPr="00C32412">
        <w:rPr>
          <w:rFonts w:eastAsia="HelenPro-Regular"/>
        </w:rPr>
        <w:t>reagent level in the cartridge, causing insufficient reagent aspiration</w:t>
      </w:r>
      <w:r>
        <w:rPr>
          <w:rFonts w:eastAsia="HelenPro-Regular"/>
        </w:rPr>
        <w:t xml:space="preserve"> </w:t>
      </w:r>
      <w:r w:rsidRPr="00C32412">
        <w:rPr>
          <w:rFonts w:eastAsia="HelenPro-Regular"/>
        </w:rPr>
        <w:t>that could impact results.</w:t>
      </w:r>
    </w:p>
    <w:p w:rsidR="002D6FB9" w:rsidRDefault="002D6FB9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38442D" w:rsidRPr="00C32412" w:rsidRDefault="0038442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C32412">
        <w:rPr>
          <w:rFonts w:eastAsia="HelenPro-Bold"/>
          <w:b/>
          <w:bCs/>
        </w:rPr>
        <w:t>Reagent Storage</w:t>
      </w:r>
    </w:p>
    <w:p w:rsidR="000B1D10" w:rsidRPr="000B1D10" w:rsidRDefault="000B1D10" w:rsidP="000B1D10">
      <w:pPr>
        <w:autoSpaceDE w:val="0"/>
        <w:autoSpaceDN w:val="0"/>
        <w:adjustRightInd w:val="0"/>
        <w:rPr>
          <w:rFonts w:eastAsia="HelenPro-Regular"/>
        </w:rPr>
      </w:pPr>
      <w:r w:rsidRPr="000B1D10">
        <w:rPr>
          <w:rFonts w:eastAsia="HelenPro-Regular"/>
        </w:rPr>
        <w:t>• Unopened and are stable un</w:t>
      </w:r>
      <w:r>
        <w:rPr>
          <w:rFonts w:eastAsia="HelenPro-Regular"/>
        </w:rPr>
        <w:t xml:space="preserve">til the expiration date when </w:t>
      </w:r>
      <w:r w:rsidRPr="000B1D10">
        <w:rPr>
          <w:rFonts w:eastAsia="HelenPro-Regular"/>
        </w:rPr>
        <w:t>stored at 2 to 8°C.</w:t>
      </w:r>
    </w:p>
    <w:p w:rsidR="000B1D10" w:rsidRPr="000B1D10" w:rsidRDefault="000B1D10" w:rsidP="000B1D10">
      <w:pPr>
        <w:autoSpaceDE w:val="0"/>
        <w:autoSpaceDN w:val="0"/>
        <w:adjustRightInd w:val="0"/>
        <w:rPr>
          <w:rFonts w:eastAsia="HelenPro-Regular"/>
        </w:rPr>
      </w:pPr>
      <w:r w:rsidRPr="000B1D10">
        <w:rPr>
          <w:rFonts w:eastAsia="HelenPro-Regular"/>
        </w:rPr>
        <w:t>• Reagent stability is 15 days if the reagent is uncapped and onboard.</w:t>
      </w:r>
    </w:p>
    <w:p w:rsidR="00310CF6" w:rsidRPr="000B1D10" w:rsidRDefault="000B1D10" w:rsidP="000B1D10">
      <w:pPr>
        <w:autoSpaceDE w:val="0"/>
        <w:autoSpaceDN w:val="0"/>
        <w:adjustRightInd w:val="0"/>
        <w:rPr>
          <w:rFonts w:eastAsia="HelenPro-Regular"/>
        </w:rPr>
      </w:pPr>
      <w:r w:rsidRPr="000B1D10">
        <w:rPr>
          <w:rFonts w:eastAsia="HelenPro-Regular"/>
        </w:rPr>
        <w:t>• Opened calibrator is stable for 120 da</w:t>
      </w:r>
      <w:r>
        <w:rPr>
          <w:rFonts w:eastAsia="HelenPro-Regular"/>
        </w:rPr>
        <w:t xml:space="preserve">ys at 2 to 8°C if contamination </w:t>
      </w:r>
      <w:r w:rsidRPr="000B1D10">
        <w:rPr>
          <w:rFonts w:eastAsia="HelenPro-Regular"/>
        </w:rPr>
        <w:t>is avoided and vials are recapped immediately after use.</w:t>
      </w:r>
    </w:p>
    <w:p w:rsidR="002D6FB9" w:rsidRDefault="002D6FB9" w:rsidP="00B36577">
      <w:pPr>
        <w:spacing w:after="72"/>
        <w:rPr>
          <w:rStyle w:val="BodyBold"/>
          <w:rFonts w:ascii="Times New Roman" w:hAnsi="Times New Roman"/>
          <w:sz w:val="24"/>
          <w:szCs w:val="24"/>
        </w:rPr>
      </w:pPr>
    </w:p>
    <w:p w:rsidR="00CA11D0" w:rsidRPr="007E4CE6" w:rsidRDefault="00B36577" w:rsidP="00B36577">
      <w:pPr>
        <w:spacing w:after="72"/>
      </w:pPr>
      <w:r w:rsidRPr="007E4CE6">
        <w:rPr>
          <w:rStyle w:val="BodyBold"/>
          <w:rFonts w:ascii="Times New Roman" w:hAnsi="Times New Roman"/>
          <w:sz w:val="24"/>
          <w:szCs w:val="24"/>
          <w:lang w:val="ru-RU"/>
        </w:rPr>
        <w:t>Reagent Preparation:</w:t>
      </w:r>
      <w:r w:rsidRPr="007E4CE6">
        <w:rPr>
          <w:lang w:val="ru-RU"/>
        </w:rPr>
        <w:t xml:space="preserve"> </w:t>
      </w:r>
    </w:p>
    <w:p w:rsidR="00D64E39" w:rsidRPr="000B1D10" w:rsidRDefault="000B1D10" w:rsidP="000B1D10">
      <w:pPr>
        <w:autoSpaceDE w:val="0"/>
        <w:autoSpaceDN w:val="0"/>
        <w:adjustRightInd w:val="0"/>
        <w:rPr>
          <w:rFonts w:eastAsia="HelenPro-Regular"/>
        </w:rPr>
      </w:pPr>
      <w:r w:rsidRPr="000B1D10">
        <w:rPr>
          <w:rFonts w:eastAsia="HelenPro-Regular"/>
        </w:rPr>
        <w:t>6K89-30 MULTIGENT Ammonia Ultra is supplied as a</w:t>
      </w:r>
      <w:r>
        <w:rPr>
          <w:rFonts w:eastAsia="HelenPro-Regular"/>
        </w:rPr>
        <w:t xml:space="preserve"> </w:t>
      </w:r>
      <w:r w:rsidRPr="000B1D10">
        <w:rPr>
          <w:rFonts w:eastAsia="HelenPro-Regular"/>
        </w:rPr>
        <w:t>two-component kit which contains:</w:t>
      </w:r>
      <w:r w:rsidR="00DB7BA9">
        <w:rPr>
          <w:rFonts w:ascii="HelenPro-Regular" w:eastAsia="HelenPro-Regular" w:cs="HelenPro-Regular"/>
          <w:sz w:val="16"/>
          <w:szCs w:val="16"/>
        </w:rPr>
        <w:t xml:space="preserve">  </w:t>
      </w:r>
      <w:r w:rsidR="00020469">
        <w:rPr>
          <w:rFonts w:eastAsia="HelenPro-Regular"/>
          <w:b/>
          <w:bCs/>
        </w:rPr>
        <w:t xml:space="preserve">R1 &amp; </w:t>
      </w:r>
      <w:r>
        <w:rPr>
          <w:rFonts w:eastAsia="HelenPro-Regular"/>
          <w:b/>
          <w:bCs/>
        </w:rPr>
        <w:t>CAL</w:t>
      </w:r>
    </w:p>
    <w:p w:rsidR="00D64E39" w:rsidRPr="00E54019" w:rsidRDefault="000B1D10" w:rsidP="00D64E39">
      <w:pPr>
        <w:rPr>
          <w:rFonts w:ascii="Arial" w:eastAsia="HelenPro-Regular" w:hAnsi="Arial" w:cs="Arial"/>
        </w:rPr>
      </w:pPr>
      <w:r>
        <w:rPr>
          <w:noProof/>
        </w:rPr>
        <w:drawing>
          <wp:inline distT="0" distB="0" distL="0" distR="0" wp14:anchorId="160B3422" wp14:editId="46DBB299">
            <wp:extent cx="3543300" cy="13144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93D" w:rsidRPr="005E0826" w:rsidRDefault="00AB793D" w:rsidP="00AB793D">
      <w:pPr>
        <w:rPr>
          <w:rFonts w:eastAsia="HelenPro-Regular"/>
        </w:rPr>
      </w:pPr>
    </w:p>
    <w:p w:rsidR="009F648F" w:rsidRPr="009F648F" w:rsidRDefault="009F648F" w:rsidP="009F648F">
      <w:pPr>
        <w:pStyle w:val="txt"/>
        <w:ind w:left="0"/>
        <w:rPr>
          <w:sz w:val="24"/>
          <w:szCs w:val="24"/>
        </w:rPr>
      </w:pPr>
    </w:p>
    <w:p w:rsidR="00C3571A" w:rsidRPr="00C3571A" w:rsidRDefault="00B36577" w:rsidP="00C3571A">
      <w:pPr>
        <w:autoSpaceDE w:val="0"/>
        <w:autoSpaceDN w:val="0"/>
        <w:adjustRightInd w:val="0"/>
        <w:rPr>
          <w:rFonts w:eastAsia="HelenPro-Regular"/>
        </w:rPr>
      </w:pPr>
      <w:r w:rsidRPr="00100BF8">
        <w:rPr>
          <w:b/>
        </w:rPr>
        <w:t>Calibrator:</w:t>
      </w:r>
      <w:r w:rsidRPr="00100BF8">
        <w:t xml:space="preserve">  </w:t>
      </w:r>
      <w:r w:rsidR="000B1D10">
        <w:rPr>
          <w:rFonts w:eastAsia="HelenPro-Regular"/>
        </w:rPr>
        <w:t>Included in the reagent kit</w:t>
      </w:r>
      <w:r w:rsidR="00C3571A" w:rsidRPr="00C3571A">
        <w:rPr>
          <w:rFonts w:eastAsia="HelenPro-Regular"/>
        </w:rPr>
        <w:t xml:space="preserve"> </w:t>
      </w:r>
    </w:p>
    <w:p w:rsidR="00507B0C" w:rsidRPr="00973EAF" w:rsidRDefault="00507B0C" w:rsidP="00507B0C">
      <w:pPr>
        <w:spacing w:after="43"/>
        <w:rPr>
          <w:i/>
          <w:color w:val="FF0000"/>
          <w:szCs w:val="15"/>
        </w:rPr>
      </w:pPr>
    </w:p>
    <w:p w:rsidR="00973EAF" w:rsidRPr="00973EAF" w:rsidRDefault="00B36577" w:rsidP="00973EAF">
      <w:pPr>
        <w:spacing w:after="43"/>
        <w:rPr>
          <w:i/>
          <w:color w:val="FF0000"/>
          <w:szCs w:val="15"/>
        </w:rPr>
      </w:pPr>
      <w:r w:rsidRPr="007E4CE6">
        <w:rPr>
          <w:b/>
          <w:szCs w:val="14"/>
        </w:rPr>
        <w:t>Quality Control:</w:t>
      </w:r>
      <w:r w:rsidR="00CA11D0" w:rsidRPr="007E4CE6">
        <w:rPr>
          <w:szCs w:val="14"/>
        </w:rPr>
        <w:t xml:space="preserve">  </w:t>
      </w:r>
      <w:r w:rsidR="0056023B">
        <w:rPr>
          <w:szCs w:val="14"/>
        </w:rPr>
        <w:t xml:space="preserve">Minimum 2 levels of </w:t>
      </w:r>
      <w:r w:rsidR="0025031C" w:rsidRPr="00162EEA">
        <w:t>Chemistry</w:t>
      </w:r>
      <w:r w:rsidR="0025031C" w:rsidRPr="00162EEA">
        <w:rPr>
          <w:b/>
        </w:rPr>
        <w:t xml:space="preserve"> </w:t>
      </w:r>
      <w:r w:rsidR="0025031C" w:rsidRPr="00162EEA">
        <w:t>Control</w:t>
      </w:r>
      <w:r w:rsidR="0061553C">
        <w:t xml:space="preserve"> (Normal and Abnormal)</w:t>
      </w:r>
    </w:p>
    <w:p w:rsidR="0025031C" w:rsidRPr="00162EEA" w:rsidRDefault="0025031C" w:rsidP="0025031C">
      <w:pPr>
        <w:ind w:left="1440"/>
      </w:pPr>
      <w:r w:rsidRPr="00162EEA">
        <w:rPr>
          <w:b/>
          <w:szCs w:val="14"/>
        </w:rPr>
        <w:t xml:space="preserve">    </w:t>
      </w:r>
    </w:p>
    <w:p w:rsidR="00D60AFA" w:rsidRPr="00973EAF" w:rsidRDefault="00AE6F5B" w:rsidP="00D60AFA">
      <w:pPr>
        <w:spacing w:after="43"/>
        <w:rPr>
          <w:i/>
          <w:color w:val="FF0000"/>
          <w:szCs w:val="15"/>
        </w:rPr>
      </w:pPr>
      <w:r w:rsidRPr="007E4CE6">
        <w:rPr>
          <w:b/>
          <w:sz w:val="28"/>
          <w:szCs w:val="28"/>
        </w:rPr>
        <w:lastRenderedPageBreak/>
        <w:t>Calibration</w:t>
      </w:r>
      <w:r w:rsidR="00D60AFA">
        <w:rPr>
          <w:b/>
          <w:sz w:val="28"/>
          <w:szCs w:val="28"/>
        </w:rPr>
        <w:t xml:space="preserve"> </w:t>
      </w:r>
    </w:p>
    <w:p w:rsidR="00AE6F5B" w:rsidRDefault="00AE6F5B" w:rsidP="00AE6F5B">
      <w:pPr>
        <w:rPr>
          <w:b/>
          <w:sz w:val="28"/>
          <w:szCs w:val="28"/>
        </w:rPr>
      </w:pPr>
    </w:p>
    <w:p w:rsidR="00644800" w:rsidRPr="00B36577" w:rsidRDefault="00644800" w:rsidP="00644800">
      <w:pPr>
        <w:ind w:firstLine="720"/>
        <w:rPr>
          <w:b/>
        </w:rPr>
      </w:pPr>
      <w:r w:rsidRPr="00B36577">
        <w:rPr>
          <w:b/>
        </w:rPr>
        <w:t xml:space="preserve">Frequency:  </w:t>
      </w:r>
    </w:p>
    <w:p w:rsidR="00CC3D62" w:rsidRDefault="00E4787B" w:rsidP="00E4787B">
      <w:pPr>
        <w:autoSpaceDE w:val="0"/>
        <w:autoSpaceDN w:val="0"/>
        <w:adjustRightInd w:val="0"/>
        <w:ind w:left="720"/>
        <w:rPr>
          <w:rFonts w:ascii="HelenPro-Regular" w:hAnsi="HelenPro-Regular" w:cs="HelenPro-Regular"/>
          <w:sz w:val="16"/>
          <w:szCs w:val="16"/>
        </w:rPr>
      </w:pPr>
      <w:r w:rsidRPr="00E4787B">
        <w:t xml:space="preserve">Calibration is stable for </w:t>
      </w:r>
      <w:r w:rsidR="000B1D10">
        <w:t>24</w:t>
      </w:r>
      <w:r w:rsidRPr="00E4787B">
        <w:t xml:space="preserve"> h</w:t>
      </w:r>
      <w:r w:rsidR="000B1D10">
        <w:t>ours</w:t>
      </w:r>
      <w:r w:rsidR="00AF597C">
        <w:t xml:space="preserve"> </w:t>
      </w:r>
      <w:r w:rsidR="000B1D10">
        <w:t>for any one lot and must be recalibrated with each change in reagent lot.</w:t>
      </w:r>
      <w:r>
        <w:t xml:space="preserve"> </w:t>
      </w:r>
    </w:p>
    <w:p w:rsidR="0055619E" w:rsidRDefault="0055619E" w:rsidP="00CC3D62">
      <w:pPr>
        <w:autoSpaceDE w:val="0"/>
        <w:autoSpaceDN w:val="0"/>
        <w:adjustRightInd w:val="0"/>
        <w:ind w:left="720"/>
        <w:rPr>
          <w:b/>
          <w:highlight w:val="cyan"/>
        </w:rPr>
      </w:pPr>
    </w:p>
    <w:p w:rsidR="00CC3D62" w:rsidRPr="0055619E" w:rsidRDefault="00CC3D62" w:rsidP="00CC3D62">
      <w:pPr>
        <w:autoSpaceDE w:val="0"/>
        <w:autoSpaceDN w:val="0"/>
        <w:adjustRightInd w:val="0"/>
        <w:ind w:left="720"/>
        <w:rPr>
          <w:b/>
        </w:rPr>
      </w:pPr>
      <w:r w:rsidRPr="0055619E">
        <w:rPr>
          <w:b/>
        </w:rPr>
        <w:t>A new calibration is required:</w:t>
      </w:r>
    </w:p>
    <w:p w:rsidR="00CC3D62" w:rsidRPr="0055619E" w:rsidRDefault="00CC3D62" w:rsidP="00CC3D62">
      <w:pPr>
        <w:autoSpaceDE w:val="0"/>
        <w:autoSpaceDN w:val="0"/>
        <w:adjustRightInd w:val="0"/>
        <w:ind w:left="720"/>
        <w:rPr>
          <w:b/>
        </w:rPr>
      </w:pPr>
    </w:p>
    <w:p w:rsidR="0056023B" w:rsidRDefault="0056023B" w:rsidP="0056023B">
      <w:pPr>
        <w:numPr>
          <w:ilvl w:val="0"/>
          <w:numId w:val="5"/>
        </w:numPr>
        <w:autoSpaceDE w:val="0"/>
        <w:autoSpaceDN w:val="0"/>
        <w:adjustRightInd w:val="0"/>
      </w:pPr>
      <w:r w:rsidRPr="0056023B">
        <w:rPr>
          <w:rFonts w:eastAsia="HelenPro-Regular"/>
        </w:rPr>
        <w:t>If quality control results do not meet acceptance criteria defined by your</w:t>
      </w:r>
      <w:r>
        <w:t xml:space="preserve"> </w:t>
      </w:r>
      <w:r w:rsidRPr="0056023B">
        <w:rPr>
          <w:rFonts w:eastAsia="HelenPro-Regular"/>
        </w:rPr>
        <w:t>laboratory, patient values may be suspect. Follow the established quality</w:t>
      </w:r>
      <w:r>
        <w:t xml:space="preserve"> </w:t>
      </w:r>
      <w:r w:rsidRPr="0056023B">
        <w:rPr>
          <w:rFonts w:eastAsia="HelenPro-Regular"/>
        </w:rPr>
        <w:t>control procedures for your laboratory. Recalibration may be necessary.</w:t>
      </w:r>
    </w:p>
    <w:p w:rsidR="00CC3D62" w:rsidRPr="0056023B" w:rsidRDefault="0056023B" w:rsidP="00912FE4">
      <w:pPr>
        <w:numPr>
          <w:ilvl w:val="0"/>
          <w:numId w:val="5"/>
        </w:numPr>
        <w:autoSpaceDE w:val="0"/>
        <w:autoSpaceDN w:val="0"/>
        <w:adjustRightInd w:val="0"/>
      </w:pPr>
      <w:r w:rsidRPr="0056023B">
        <w:rPr>
          <w:rFonts w:eastAsia="HelenPro-Regular"/>
        </w:rPr>
        <w:t>Review quality control results and acceptance criteria following a</w:t>
      </w:r>
      <w:r w:rsidR="00912FE4">
        <w:t xml:space="preserve"> </w:t>
      </w:r>
      <w:r w:rsidRPr="00912FE4">
        <w:rPr>
          <w:rFonts w:eastAsia="HelenPro-Regular"/>
        </w:rPr>
        <w:t>change of reagent or calibrator lot.</w:t>
      </w:r>
    </w:p>
    <w:p w:rsidR="00CC3D62" w:rsidRPr="00924B1D" w:rsidRDefault="00CC3D62" w:rsidP="00E4787B">
      <w:pPr>
        <w:autoSpaceDE w:val="0"/>
        <w:autoSpaceDN w:val="0"/>
        <w:adjustRightInd w:val="0"/>
        <w:ind w:left="720"/>
      </w:pPr>
    </w:p>
    <w:p w:rsidR="00656BB9" w:rsidRPr="00973EAF" w:rsidRDefault="005E3AB5" w:rsidP="00656BB9">
      <w:pPr>
        <w:spacing w:after="43"/>
        <w:ind w:firstLine="720"/>
        <w:rPr>
          <w:i/>
          <w:color w:val="FF0000"/>
          <w:szCs w:val="15"/>
        </w:rPr>
      </w:pPr>
      <w:r w:rsidRPr="007E4CE6">
        <w:rPr>
          <w:b/>
        </w:rPr>
        <w:t>Calibrator Required:</w:t>
      </w:r>
      <w:r w:rsidRPr="007E4CE6">
        <w:t xml:space="preserve">  </w:t>
      </w:r>
      <w:r w:rsidR="00C3571A" w:rsidRPr="00C3571A">
        <w:rPr>
          <w:rFonts w:eastAsia="HelenPro-Regular"/>
        </w:rPr>
        <w:t>5P04-01 TDM Multiconstituent Calibrator (TDM MCC)</w:t>
      </w:r>
    </w:p>
    <w:p w:rsidR="00714F24" w:rsidRDefault="00714F24" w:rsidP="0025031C">
      <w:pPr>
        <w:spacing w:after="43"/>
        <w:ind w:firstLine="720"/>
        <w:rPr>
          <w:color w:val="000000"/>
          <w:szCs w:val="14"/>
        </w:rPr>
      </w:pPr>
    </w:p>
    <w:p w:rsidR="0025031C" w:rsidRPr="0025031C" w:rsidRDefault="0025031C" w:rsidP="004F5F8A">
      <w:pPr>
        <w:ind w:firstLine="720"/>
        <w:rPr>
          <w:b/>
        </w:rPr>
      </w:pPr>
      <w:r w:rsidRPr="0025031C">
        <w:rPr>
          <w:b/>
        </w:rPr>
        <w:t>Reagents:</w:t>
      </w:r>
    </w:p>
    <w:p w:rsidR="00165650" w:rsidRPr="00165650" w:rsidRDefault="00792F8C" w:rsidP="00165650">
      <w:pPr>
        <w:numPr>
          <w:ilvl w:val="0"/>
          <w:numId w:val="17"/>
        </w:numPr>
        <w:autoSpaceDE w:val="0"/>
        <w:autoSpaceDN w:val="0"/>
        <w:adjustRightInd w:val="0"/>
        <w:rPr>
          <w:rFonts w:eastAsia="HelenPro-Regular"/>
        </w:rPr>
      </w:pPr>
      <w:r w:rsidRPr="00165650">
        <w:rPr>
          <w:rFonts w:eastAsia="HelenPro-Regular"/>
        </w:rPr>
        <w:t xml:space="preserve">Unopened calibrators are stable until the expiration date indicated on the </w:t>
      </w:r>
      <w:r w:rsidR="00165650" w:rsidRPr="00165650">
        <w:rPr>
          <w:rFonts w:eastAsia="HelenPro-Regular"/>
        </w:rPr>
        <w:t>package when stored at 2-8 °C.</w:t>
      </w:r>
    </w:p>
    <w:p w:rsidR="00165650" w:rsidRPr="00165650" w:rsidRDefault="00792F8C" w:rsidP="00165650">
      <w:pPr>
        <w:numPr>
          <w:ilvl w:val="0"/>
          <w:numId w:val="17"/>
        </w:numPr>
        <w:autoSpaceDE w:val="0"/>
        <w:autoSpaceDN w:val="0"/>
        <w:adjustRightInd w:val="0"/>
        <w:rPr>
          <w:rFonts w:eastAsia="HelenPro-Regular"/>
        </w:rPr>
      </w:pPr>
      <w:r w:rsidRPr="00165650">
        <w:rPr>
          <w:rFonts w:eastAsia="HelenPro-Regular"/>
        </w:rPr>
        <w:t xml:space="preserve"> Opened calibrator is stable for 120 days at 2 to 8°C if contamination is avoided</w:t>
      </w:r>
      <w:r w:rsidR="00C75540">
        <w:rPr>
          <w:rFonts w:eastAsia="HelenPro-Regular"/>
        </w:rPr>
        <w:t xml:space="preserve"> </w:t>
      </w:r>
      <w:r w:rsidR="00165650" w:rsidRPr="00165650">
        <w:rPr>
          <w:rFonts w:eastAsia="HelenPro-Regular"/>
        </w:rPr>
        <w:t>and vials are recapped immediately after use.</w:t>
      </w:r>
    </w:p>
    <w:p w:rsidR="00DA6C6A" w:rsidRDefault="00DA6C6A" w:rsidP="00DA6C6A"/>
    <w:p w:rsidR="00F3700B" w:rsidRPr="004F5F8A" w:rsidRDefault="0037463A" w:rsidP="00F3700B">
      <w:pPr>
        <w:ind w:left="720"/>
      </w:pPr>
      <w:r>
        <w:rPr>
          <w:b/>
        </w:rPr>
        <w:t xml:space="preserve">Calibrator </w:t>
      </w:r>
      <w:r w:rsidRPr="000271AE">
        <w:rPr>
          <w:b/>
        </w:rPr>
        <w:t>Preparation:</w:t>
      </w:r>
      <w:r>
        <w:rPr>
          <w:b/>
        </w:rPr>
        <w:t xml:space="preserve"> </w:t>
      </w:r>
    </w:p>
    <w:p w:rsidR="003D38B7" w:rsidRPr="007D3A6E" w:rsidRDefault="007D3A6E" w:rsidP="00AD402C">
      <w:pPr>
        <w:ind w:firstLine="720"/>
      </w:pPr>
      <w:r w:rsidRPr="007D3A6E">
        <w:t xml:space="preserve">Ready to use - </w:t>
      </w:r>
      <w:r w:rsidRPr="007D3A6E">
        <w:rPr>
          <w:bCs/>
        </w:rPr>
        <w:t>Calibrator must be clear – do not use if turbid</w:t>
      </w:r>
    </w:p>
    <w:p w:rsidR="00683421" w:rsidRDefault="00683421" w:rsidP="00AD402C">
      <w:pPr>
        <w:ind w:firstLine="720"/>
        <w:rPr>
          <w:b/>
        </w:rPr>
      </w:pPr>
    </w:p>
    <w:p w:rsidR="004F5F8A" w:rsidRPr="00AD402C" w:rsidRDefault="0025031C" w:rsidP="00AD402C">
      <w:pPr>
        <w:ind w:firstLine="720"/>
        <w:rPr>
          <w:b/>
        </w:rPr>
      </w:pPr>
      <w:r w:rsidRPr="00AD402C">
        <w:rPr>
          <w:b/>
        </w:rPr>
        <w:t>Calibration Procedure:</w:t>
      </w:r>
      <w:r w:rsidR="0006502B" w:rsidRPr="00AD402C">
        <w:rPr>
          <w:b/>
        </w:rPr>
        <w:t xml:space="preserve"> </w:t>
      </w:r>
    </w:p>
    <w:p w:rsidR="00F3700B" w:rsidRPr="007D3A6E" w:rsidRDefault="007D3A6E" w:rsidP="007D3A6E">
      <w:pPr>
        <w:autoSpaceDE w:val="0"/>
        <w:autoSpaceDN w:val="0"/>
        <w:adjustRightInd w:val="0"/>
        <w:ind w:left="720"/>
        <w:rPr>
          <w:rFonts w:eastAsia="HelenPro-Regular"/>
          <w:i/>
          <w:iCs/>
        </w:rPr>
      </w:pPr>
      <w:r w:rsidRPr="007D3A6E">
        <w:rPr>
          <w:rFonts w:eastAsia="HelenPro-Regular"/>
        </w:rPr>
        <w:t xml:space="preserve">For a detailed description of how to calibrate an assay, refer to </w:t>
      </w:r>
      <w:r w:rsidRPr="007D3A6E">
        <w:rPr>
          <w:rFonts w:eastAsia="HelenPro-Regular"/>
          <w:i/>
          <w:iCs/>
        </w:rPr>
        <w:t>Section 6</w:t>
      </w:r>
      <w:r>
        <w:rPr>
          <w:rFonts w:eastAsia="HelenPro-Regular"/>
          <w:i/>
          <w:iCs/>
        </w:rPr>
        <w:t xml:space="preserve"> </w:t>
      </w:r>
      <w:r w:rsidRPr="007D3A6E">
        <w:rPr>
          <w:rFonts w:eastAsia="HelenPro-Regular"/>
        </w:rPr>
        <w:t xml:space="preserve">of the </w:t>
      </w:r>
      <w:r w:rsidRPr="007D3A6E">
        <w:rPr>
          <w:rFonts w:eastAsia="HelenPro-Bold"/>
          <w:b/>
          <w:bCs/>
        </w:rPr>
        <w:t>ARCHITECT System Operations Manual</w:t>
      </w:r>
      <w:r w:rsidRPr="007D3A6E">
        <w:rPr>
          <w:rFonts w:eastAsia="HelenPro-Regular"/>
        </w:rPr>
        <w:t>.</w:t>
      </w:r>
    </w:p>
    <w:p w:rsidR="007D3A6E" w:rsidRPr="007D3A6E" w:rsidRDefault="00792F8C" w:rsidP="007D3A6E">
      <w:pPr>
        <w:ind w:left="720"/>
        <w:rPr>
          <w:bCs/>
        </w:rPr>
      </w:pPr>
      <w:r w:rsidRPr="007D3A6E">
        <w:rPr>
          <w:bCs/>
        </w:rPr>
        <w:t xml:space="preserve">Calibrator value is verified using an internal standard obtained from </w:t>
      </w:r>
      <w:r w:rsidR="007D3A6E" w:rsidRPr="007D3A6E">
        <w:rPr>
          <w:bCs/>
        </w:rPr>
        <w:t xml:space="preserve"> ammonium sulfate puriss (ultrapure).</w:t>
      </w:r>
    </w:p>
    <w:p w:rsidR="002609B2" w:rsidRDefault="002609B2" w:rsidP="0055619E">
      <w:pPr>
        <w:ind w:left="720"/>
        <w:rPr>
          <w:b/>
          <w:bCs/>
        </w:rPr>
      </w:pPr>
    </w:p>
    <w:p w:rsidR="00AF597C" w:rsidRPr="0055619E" w:rsidRDefault="00AF597C" w:rsidP="0055619E">
      <w:pPr>
        <w:ind w:left="720"/>
        <w:rPr>
          <w:b/>
          <w:bCs/>
        </w:rPr>
      </w:pPr>
      <w:r w:rsidRPr="0055619E">
        <w:rPr>
          <w:b/>
          <w:bCs/>
        </w:rPr>
        <w:t>Troubleshooting and Overall Acceptance Criteria Failure</w:t>
      </w:r>
    </w:p>
    <w:p w:rsidR="00AF597C" w:rsidRPr="0055619E" w:rsidRDefault="00AF597C" w:rsidP="00AF597C">
      <w:pPr>
        <w:ind w:left="900"/>
        <w:rPr>
          <w:bCs/>
        </w:rPr>
      </w:pPr>
    </w:p>
    <w:p w:rsidR="00AF597C" w:rsidRPr="00AF597C" w:rsidRDefault="0055619E" w:rsidP="00AF597C">
      <w:pPr>
        <w:ind w:left="720"/>
        <w:rPr>
          <w:rFonts w:ascii="Arial" w:hAnsi="Arial" w:cs="Arial"/>
          <w:bCs/>
          <w:highlight w:val="cyan"/>
        </w:rPr>
      </w:pPr>
      <w:r w:rsidRPr="0055619E">
        <w:rPr>
          <w:bCs/>
        </w:rPr>
        <w:t>See ARCHITECT Operations Manual for further calibration troubleshooting.</w:t>
      </w:r>
    </w:p>
    <w:p w:rsidR="0055619E" w:rsidRDefault="0055619E" w:rsidP="004F5F8A">
      <w:pPr>
        <w:ind w:left="720"/>
      </w:pPr>
    </w:p>
    <w:p w:rsidR="00912FE4" w:rsidRDefault="00912FE4" w:rsidP="0025031C">
      <w:pPr>
        <w:rPr>
          <w:b/>
          <w:sz w:val="28"/>
          <w:szCs w:val="28"/>
        </w:rPr>
      </w:pPr>
    </w:p>
    <w:p w:rsidR="00D60AFA" w:rsidRPr="00973EAF" w:rsidRDefault="0025031C" w:rsidP="00D60AFA">
      <w:pPr>
        <w:spacing w:after="43"/>
        <w:rPr>
          <w:i/>
          <w:color w:val="FF0000"/>
          <w:szCs w:val="15"/>
        </w:rPr>
      </w:pPr>
      <w:r w:rsidRPr="00353FD5">
        <w:rPr>
          <w:b/>
          <w:sz w:val="28"/>
          <w:szCs w:val="28"/>
        </w:rPr>
        <w:t>Quality Control:</w:t>
      </w:r>
      <w:r w:rsidR="00D60AFA">
        <w:rPr>
          <w:b/>
          <w:sz w:val="28"/>
          <w:szCs w:val="28"/>
        </w:rPr>
        <w:t xml:space="preserve"> 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>
        <w:rPr>
          <w:rFonts w:eastAsia="HelenPro-Regular"/>
        </w:rPr>
        <w:t>Abbott recommends</w:t>
      </w:r>
      <w:r w:rsidRPr="00F3700B">
        <w:rPr>
          <w:rFonts w:eastAsia="HelenPro-Regular"/>
        </w:rPr>
        <w:t>, refer to your laboratory standard operating procedure(s)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and/or quality assurance plan for additional quality control requirements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and potential corrective actions: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Two levels of controls (normal and abnormal) are to be run every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24 hours.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If more frequent control monitoring is required, follow the established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quality control procedures for your laboratory.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If quality control results do not meet the acceptance criteria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defined by your laboratory, patient values may be suspect. Follow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the established quality control procedures for your laboratory.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Recalibration may be necessary.</w:t>
      </w:r>
    </w:p>
    <w:p w:rsidR="00973EAF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lastRenderedPageBreak/>
        <w:t>• Review quality control results and acceptance criteria following a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change of reagent or calibrator lot.</w:t>
      </w:r>
    </w:p>
    <w:p w:rsidR="00F3700B" w:rsidRDefault="00F3700B" w:rsidP="00F66836">
      <w:pPr>
        <w:rPr>
          <w:b/>
          <w:sz w:val="28"/>
          <w:szCs w:val="28"/>
        </w:rPr>
      </w:pPr>
    </w:p>
    <w:p w:rsidR="00F66836" w:rsidRPr="00E50643" w:rsidRDefault="00F66836" w:rsidP="00F66836">
      <w:pPr>
        <w:rPr>
          <w:b/>
          <w:sz w:val="28"/>
          <w:szCs w:val="28"/>
        </w:rPr>
      </w:pPr>
      <w:r w:rsidRPr="00F66836">
        <w:rPr>
          <w:b/>
          <w:sz w:val="28"/>
          <w:szCs w:val="28"/>
        </w:rPr>
        <w:t>Procedure</w:t>
      </w:r>
      <w:r w:rsidR="006D40ED">
        <w:rPr>
          <w:b/>
          <w:sz w:val="28"/>
          <w:szCs w:val="28"/>
        </w:rPr>
        <w:t xml:space="preserve"> </w:t>
      </w:r>
    </w:p>
    <w:p w:rsidR="00B36577" w:rsidRPr="00A554D4" w:rsidRDefault="00A554D4" w:rsidP="002C7FD5">
      <w:pPr>
        <w:rPr>
          <w:b/>
        </w:rPr>
      </w:pPr>
      <w:r w:rsidRPr="00A554D4">
        <w:rPr>
          <w:rFonts w:eastAsia="HelenPro-Regular"/>
        </w:rPr>
        <w:t xml:space="preserve">For a detailed description of how to run an assay, refer to </w:t>
      </w:r>
      <w:r w:rsidRPr="00A554D4">
        <w:rPr>
          <w:i/>
          <w:iCs/>
        </w:rPr>
        <w:t xml:space="preserve">Section 5 </w:t>
      </w:r>
      <w:r w:rsidRPr="00A554D4">
        <w:rPr>
          <w:rFonts w:eastAsia="HelenPro-Regular"/>
        </w:rPr>
        <w:t xml:space="preserve">of the </w:t>
      </w:r>
      <w:r w:rsidRPr="00A554D4">
        <w:rPr>
          <w:b/>
          <w:bCs/>
        </w:rPr>
        <w:t>ARCHITECT System Operations Manual</w:t>
      </w:r>
      <w:r w:rsidRPr="00A554D4">
        <w:rPr>
          <w:rFonts w:eastAsia="HelenPro-Regular"/>
        </w:rPr>
        <w:t>.</w:t>
      </w:r>
    </w:p>
    <w:p w:rsidR="00A554D4" w:rsidRDefault="00A554D4" w:rsidP="00714F24">
      <w:pPr>
        <w:rPr>
          <w:b/>
        </w:rPr>
      </w:pPr>
    </w:p>
    <w:p w:rsidR="00F92520" w:rsidRDefault="00F92520" w:rsidP="00A554D4">
      <w:pPr>
        <w:ind w:left="1530"/>
        <w:rPr>
          <w:rFonts w:eastAsia="HelenPro-Regular"/>
        </w:rPr>
      </w:pPr>
    </w:p>
    <w:p w:rsidR="000A090B" w:rsidRPr="007E4CE6" w:rsidRDefault="00132081" w:rsidP="000A090B">
      <w:pPr>
        <w:jc w:val="both"/>
        <w:rPr>
          <w:sz w:val="28"/>
          <w:szCs w:val="28"/>
        </w:rPr>
      </w:pPr>
      <w:r w:rsidRPr="007E4CE6">
        <w:rPr>
          <w:b/>
          <w:sz w:val="28"/>
          <w:szCs w:val="28"/>
        </w:rPr>
        <w:t>Reporting Results</w:t>
      </w:r>
      <w:r w:rsidR="000A090B" w:rsidRPr="007E4CE6">
        <w:rPr>
          <w:sz w:val="28"/>
          <w:szCs w:val="28"/>
        </w:rPr>
        <w:t xml:space="preserve"> </w:t>
      </w:r>
    </w:p>
    <w:p w:rsidR="00D64E39" w:rsidRPr="00683421" w:rsidRDefault="00683421" w:rsidP="00683421">
      <w:pPr>
        <w:autoSpaceDE w:val="0"/>
        <w:autoSpaceDN w:val="0"/>
        <w:adjustRightInd w:val="0"/>
        <w:rPr>
          <w:rFonts w:eastAsia="HelenPro-Regular"/>
        </w:rPr>
      </w:pPr>
      <w:r w:rsidRPr="00683421">
        <w:rPr>
          <w:rFonts w:eastAsia="HelenPro-Regular"/>
        </w:rPr>
        <w:t xml:space="preserve">The result unit for the </w:t>
      </w:r>
      <w:r w:rsidR="00707822">
        <w:rPr>
          <w:rFonts w:eastAsia="HelenPro-Regular"/>
        </w:rPr>
        <w:t>ARCHITECT Ammonia</w:t>
      </w:r>
      <w:r w:rsidRPr="00683421">
        <w:rPr>
          <w:rFonts w:eastAsia="HelenPro-Regular"/>
        </w:rPr>
        <w:t xml:space="preserve"> assay </w:t>
      </w:r>
      <w:r w:rsidR="001A5651">
        <w:rPr>
          <w:rFonts w:eastAsia="HelenPro-Regular"/>
        </w:rPr>
        <w:t>are reported</w:t>
      </w:r>
      <w:r w:rsidRPr="00683421">
        <w:rPr>
          <w:rFonts w:eastAsia="HelenPro-Regular"/>
        </w:rPr>
        <w:t xml:space="preserve"> as μmol/L.</w:t>
      </w:r>
    </w:p>
    <w:p w:rsidR="00683421" w:rsidRDefault="00683421" w:rsidP="00AB793D">
      <w:pPr>
        <w:rPr>
          <w:rFonts w:ascii="Arial" w:hAnsi="Arial" w:cs="Arial"/>
          <w:b/>
          <w:bCs/>
          <w:sz w:val="28"/>
          <w:szCs w:val="28"/>
        </w:rPr>
      </w:pPr>
    </w:p>
    <w:p w:rsidR="00912FE4" w:rsidRPr="00912FE4" w:rsidRDefault="00912FE4" w:rsidP="00AB793D">
      <w:pPr>
        <w:rPr>
          <w:rFonts w:ascii="Arial" w:hAnsi="Arial" w:cs="Arial"/>
          <w:b/>
          <w:bCs/>
          <w:sz w:val="28"/>
          <w:szCs w:val="28"/>
        </w:rPr>
      </w:pPr>
      <w:r w:rsidRPr="00912FE4">
        <w:rPr>
          <w:rFonts w:ascii="Arial" w:hAnsi="Arial" w:cs="Arial"/>
          <w:b/>
          <w:bCs/>
          <w:sz w:val="28"/>
          <w:szCs w:val="28"/>
        </w:rPr>
        <w:t>Specific Performance Characteristics</w:t>
      </w:r>
      <w:r w:rsidR="00D60AFA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E2DC7" w:rsidRDefault="00CE2DC7" w:rsidP="00AB793D">
      <w:pPr>
        <w:rPr>
          <w:rFonts w:ascii="Arial" w:hAnsi="Arial" w:cs="Arial"/>
          <w:b/>
          <w:bCs/>
        </w:rPr>
      </w:pPr>
      <w:r w:rsidRPr="0055619E">
        <w:rPr>
          <w:rFonts w:ascii="Arial" w:hAnsi="Arial" w:cs="Arial"/>
          <w:b/>
          <w:bCs/>
        </w:rPr>
        <w:t>Reference Ranges</w:t>
      </w:r>
      <w:r w:rsidR="00D60AFA">
        <w:rPr>
          <w:rFonts w:ascii="Arial" w:hAnsi="Arial" w:cs="Arial"/>
          <w:b/>
          <w:bCs/>
        </w:rPr>
        <w:t xml:space="preserve"> </w:t>
      </w:r>
    </w:p>
    <w:p w:rsidR="0055619E" w:rsidRDefault="006D40ED" w:rsidP="006D40ED">
      <w:pPr>
        <w:autoSpaceDE w:val="0"/>
        <w:autoSpaceDN w:val="0"/>
        <w:adjustRightInd w:val="0"/>
        <w:rPr>
          <w:rFonts w:eastAsia="HelenPro-Regular"/>
        </w:rPr>
      </w:pPr>
      <w:r w:rsidRPr="006D40ED">
        <w:rPr>
          <w:rFonts w:eastAsia="HelenPro-Regular"/>
        </w:rPr>
        <w:t>It is recommended that each laborat</w:t>
      </w:r>
      <w:r>
        <w:rPr>
          <w:rFonts w:eastAsia="HelenPro-Regular"/>
        </w:rPr>
        <w:t xml:space="preserve">ory determine its own reference </w:t>
      </w:r>
      <w:r w:rsidRPr="006D40ED">
        <w:rPr>
          <w:rFonts w:eastAsia="HelenPro-Regular"/>
        </w:rPr>
        <w:t>range based upon its particular locale and population characteristics.</w:t>
      </w:r>
    </w:p>
    <w:p w:rsidR="002D6FB9" w:rsidRDefault="002D6FB9" w:rsidP="00AB793D">
      <w:pPr>
        <w:rPr>
          <w:rFonts w:ascii="Arial" w:hAnsi="Arial" w:cs="Arial"/>
          <w:b/>
          <w:bCs/>
        </w:rPr>
      </w:pPr>
    </w:p>
    <w:p w:rsidR="0055619E" w:rsidRDefault="0038442D" w:rsidP="00AB793D">
      <w:pPr>
        <w:rPr>
          <w:b/>
          <w:bCs/>
        </w:rPr>
      </w:pPr>
      <w:r w:rsidRPr="00AA6D00">
        <w:rPr>
          <w:b/>
          <w:bCs/>
        </w:rPr>
        <w:t>Plasma</w:t>
      </w:r>
      <w:r w:rsidR="00C75540">
        <w:rPr>
          <w:b/>
          <w:bCs/>
        </w:rPr>
        <w:t xml:space="preserve">: </w:t>
      </w:r>
    </w:p>
    <w:p w:rsidR="00C75540" w:rsidRPr="00C75540" w:rsidRDefault="00EC5D74" w:rsidP="00AB793D">
      <w:pPr>
        <w:rPr>
          <w:bCs/>
        </w:rPr>
      </w:pPr>
      <w:r>
        <w:rPr>
          <w:bCs/>
        </w:rPr>
        <w:t>Adult</w:t>
      </w:r>
      <w:bookmarkStart w:id="0" w:name="_GoBack"/>
      <w:bookmarkEnd w:id="0"/>
      <w:r w:rsidR="00C75540">
        <w:rPr>
          <w:bCs/>
        </w:rPr>
        <w:t xml:space="preserve">: </w:t>
      </w:r>
      <w:r w:rsidR="00C75540">
        <w:rPr>
          <w:bCs/>
        </w:rPr>
        <w:tab/>
        <w:t>18-72 umol/L</w:t>
      </w:r>
    </w:p>
    <w:p w:rsidR="00D64E39" w:rsidRPr="00AA6D00" w:rsidRDefault="00D64E39" w:rsidP="00AB793D">
      <w:pPr>
        <w:rPr>
          <w:bCs/>
        </w:rPr>
      </w:pPr>
    </w:p>
    <w:p w:rsidR="00B63E8F" w:rsidRPr="00AA6D00" w:rsidRDefault="00B63E8F" w:rsidP="00623EFB">
      <w:pPr>
        <w:ind w:right="720"/>
        <w:jc w:val="both"/>
        <w:rPr>
          <w:b/>
        </w:rPr>
      </w:pPr>
      <w:r w:rsidRPr="00AA6D00">
        <w:rPr>
          <w:b/>
        </w:rPr>
        <w:t>Critical Value</w:t>
      </w:r>
      <w:r w:rsidR="00C16269">
        <w:rPr>
          <w:b/>
        </w:rPr>
        <w:t>s: N/A</w:t>
      </w:r>
    </w:p>
    <w:p w:rsidR="0038442D" w:rsidRPr="00AA6D00" w:rsidRDefault="0038442D" w:rsidP="00AB793D">
      <w:pPr>
        <w:rPr>
          <w:b/>
        </w:rPr>
      </w:pPr>
    </w:p>
    <w:p w:rsidR="00D5211B" w:rsidRPr="00AA6D00" w:rsidRDefault="005E3D52" w:rsidP="00AB793D">
      <w:pPr>
        <w:rPr>
          <w:i/>
          <w:color w:val="FF0000"/>
          <w:sz w:val="28"/>
          <w:szCs w:val="28"/>
        </w:rPr>
      </w:pPr>
      <w:r w:rsidRPr="00AA6D00">
        <w:rPr>
          <w:b/>
          <w:sz w:val="28"/>
          <w:szCs w:val="28"/>
        </w:rPr>
        <w:t>Performance Characteristics</w:t>
      </w:r>
      <w:r w:rsidR="00973EAF" w:rsidRPr="00AA6D00">
        <w:rPr>
          <w:b/>
          <w:sz w:val="28"/>
          <w:szCs w:val="28"/>
        </w:rPr>
        <w:t xml:space="preserve"> </w:t>
      </w:r>
    </w:p>
    <w:p w:rsidR="00B45FE2" w:rsidRPr="00AA6D00" w:rsidRDefault="00B45FE2" w:rsidP="00B45FE2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707822" w:rsidRPr="00707822" w:rsidRDefault="00707822" w:rsidP="00707822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707822">
        <w:rPr>
          <w:rFonts w:eastAsia="HelenPro-Bold"/>
          <w:b/>
          <w:bCs/>
        </w:rPr>
        <w:t>Reportable Range</w:t>
      </w:r>
    </w:p>
    <w:p w:rsidR="00707822" w:rsidRPr="00707822" w:rsidRDefault="00707822" w:rsidP="00707822">
      <w:pPr>
        <w:autoSpaceDE w:val="0"/>
        <w:autoSpaceDN w:val="0"/>
        <w:adjustRightInd w:val="0"/>
        <w:rPr>
          <w:rFonts w:eastAsia="HelenPro-Regular"/>
        </w:rPr>
      </w:pPr>
      <w:r w:rsidRPr="00707822">
        <w:rPr>
          <w:rFonts w:eastAsia="HelenPro-Regular"/>
        </w:rPr>
        <w:t>The reportable range for MULTIGENT Ammonia Ultra is 8 to 1,700 μ</w:t>
      </w:r>
      <w:r>
        <w:rPr>
          <w:rFonts w:eastAsia="HelenPro-Regular"/>
        </w:rPr>
        <w:t xml:space="preserve">g/dL </w:t>
      </w:r>
      <w:r w:rsidRPr="00707822">
        <w:rPr>
          <w:rFonts w:eastAsia="HelenPro-Regular"/>
        </w:rPr>
        <w:t>(4.70 to 997.90 μmol/L).</w:t>
      </w:r>
    </w:p>
    <w:p w:rsidR="00707822" w:rsidRDefault="00707822" w:rsidP="00707822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707822" w:rsidRPr="00707822" w:rsidRDefault="00707822" w:rsidP="00707822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707822">
        <w:rPr>
          <w:rFonts w:eastAsia="HelenPro-Bold"/>
          <w:b/>
          <w:bCs/>
        </w:rPr>
        <w:t>Limit of Detection (LOD)</w:t>
      </w:r>
    </w:p>
    <w:p w:rsidR="00920BFE" w:rsidRPr="00683421" w:rsidRDefault="00707822" w:rsidP="00707822">
      <w:pPr>
        <w:autoSpaceDE w:val="0"/>
        <w:autoSpaceDN w:val="0"/>
        <w:adjustRightInd w:val="0"/>
        <w:rPr>
          <w:rFonts w:ascii="HelenPro-Regular" w:eastAsia="HelenPro-Regular" w:cs="HelenPro-Regular"/>
          <w:sz w:val="16"/>
          <w:szCs w:val="16"/>
        </w:rPr>
      </w:pPr>
      <w:r w:rsidRPr="00707822">
        <w:rPr>
          <w:rFonts w:eastAsia="HelenPro-Regular"/>
        </w:rPr>
        <w:t>The LOD for MULTIGENT Ammonia Ultra is 8 μg/dL (4.70 μmol/L).</w:t>
      </w:r>
    </w:p>
    <w:p w:rsidR="008D7D37" w:rsidRPr="007C453B" w:rsidRDefault="008D7D37" w:rsidP="008D7D37">
      <w:pPr>
        <w:ind w:left="90"/>
        <w:rPr>
          <w:rFonts w:eastAsia="HelenPro-Bold"/>
          <w:b/>
          <w:bCs/>
        </w:rPr>
      </w:pPr>
    </w:p>
    <w:p w:rsidR="00912FE4" w:rsidRPr="007C453B" w:rsidRDefault="00912FE4" w:rsidP="001B29A7">
      <w:pPr>
        <w:ind w:left="90"/>
        <w:rPr>
          <w:rFonts w:eastAsia="HelenPro-Bold"/>
          <w:b/>
          <w:bCs/>
        </w:rPr>
      </w:pPr>
      <w:r w:rsidRPr="007C453B">
        <w:rPr>
          <w:rFonts w:eastAsia="HelenPro-Bold"/>
          <w:b/>
          <w:bCs/>
        </w:rPr>
        <w:t>Dilution:</w:t>
      </w:r>
      <w:r w:rsidR="00973EAF" w:rsidRPr="007C453B">
        <w:rPr>
          <w:rFonts w:eastAsia="HelenPro-Bold"/>
          <w:b/>
          <w:bCs/>
        </w:rPr>
        <w:t xml:space="preserve"> </w:t>
      </w:r>
    </w:p>
    <w:p w:rsidR="00707822" w:rsidRPr="00707822" w:rsidRDefault="00707822" w:rsidP="00707822">
      <w:pPr>
        <w:autoSpaceDE w:val="0"/>
        <w:autoSpaceDN w:val="0"/>
        <w:adjustRightInd w:val="0"/>
        <w:rPr>
          <w:rFonts w:eastAsia="HelenPro-Regular"/>
        </w:rPr>
      </w:pPr>
      <w:r w:rsidRPr="00707822">
        <w:rPr>
          <w:rFonts w:eastAsia="HelenPro-Bold"/>
          <w:b/>
          <w:bCs/>
        </w:rPr>
        <w:t xml:space="preserve">Plasma: </w:t>
      </w:r>
      <w:r w:rsidRPr="00707822">
        <w:rPr>
          <w:rFonts w:eastAsia="HelenPro-Regular"/>
        </w:rPr>
        <w:t>Specimens with ammonia values exceeding 1,700 μ</w:t>
      </w:r>
      <w:r>
        <w:rPr>
          <w:rFonts w:eastAsia="HelenPro-Regular"/>
        </w:rPr>
        <w:t xml:space="preserve">g/dL </w:t>
      </w:r>
      <w:r w:rsidRPr="00707822">
        <w:rPr>
          <w:rFonts w:eastAsia="HelenPro-Regular"/>
        </w:rPr>
        <w:t>(997.90 μmol/L) are flagged and may be diluted by following either</w:t>
      </w:r>
      <w:r>
        <w:rPr>
          <w:rFonts w:eastAsia="HelenPro-Regular"/>
        </w:rPr>
        <w:t xml:space="preserve"> </w:t>
      </w:r>
      <w:r w:rsidRPr="00707822">
        <w:rPr>
          <w:rFonts w:eastAsia="HelenPro-Regular"/>
        </w:rPr>
        <w:t>the Automated Dilution Protocol or the Manual Dilution Procedure.</w:t>
      </w:r>
    </w:p>
    <w:p w:rsidR="00707822" w:rsidRPr="00707822" w:rsidRDefault="00707822" w:rsidP="00707822">
      <w:pPr>
        <w:autoSpaceDE w:val="0"/>
        <w:autoSpaceDN w:val="0"/>
        <w:adjustRightInd w:val="0"/>
        <w:rPr>
          <w:rFonts w:eastAsia="HelenPro-Bold"/>
          <w:b/>
          <w:bCs/>
          <w:i/>
          <w:iCs/>
        </w:rPr>
      </w:pPr>
      <w:r w:rsidRPr="00707822">
        <w:rPr>
          <w:rFonts w:eastAsia="HelenPro-Bold"/>
          <w:b/>
          <w:bCs/>
          <w:i/>
          <w:iCs/>
        </w:rPr>
        <w:t>Automated Dilution Protocol</w:t>
      </w:r>
    </w:p>
    <w:p w:rsidR="00707822" w:rsidRPr="00707822" w:rsidRDefault="00707822" w:rsidP="00707822">
      <w:pPr>
        <w:autoSpaceDE w:val="0"/>
        <w:autoSpaceDN w:val="0"/>
        <w:adjustRightInd w:val="0"/>
        <w:rPr>
          <w:rFonts w:eastAsia="HelenPro-Regular"/>
        </w:rPr>
      </w:pPr>
      <w:r w:rsidRPr="00707822">
        <w:rPr>
          <w:rFonts w:eastAsia="HelenPro-Regular"/>
        </w:rPr>
        <w:t>If using an Automated Dilution Protoco</w:t>
      </w:r>
      <w:r>
        <w:rPr>
          <w:rFonts w:eastAsia="HelenPro-Regular"/>
        </w:rPr>
        <w:t xml:space="preserve">l, the system performs a 1:1.85 </w:t>
      </w:r>
      <w:r w:rsidRPr="00707822">
        <w:rPr>
          <w:rFonts w:eastAsia="HelenPro-Regular"/>
        </w:rPr>
        <w:t>dilution of the specimen and automatically corrects the concentration by</w:t>
      </w:r>
      <w:r>
        <w:rPr>
          <w:rFonts w:eastAsia="HelenPro-Regular"/>
        </w:rPr>
        <w:t xml:space="preserve"> </w:t>
      </w:r>
      <w:r w:rsidRPr="00707822">
        <w:rPr>
          <w:rFonts w:eastAsia="HelenPro-Regular"/>
        </w:rPr>
        <w:t>multiplying the result by the appropriate dilution factor.</w:t>
      </w:r>
    </w:p>
    <w:p w:rsidR="00707822" w:rsidRPr="00707822" w:rsidRDefault="00707822" w:rsidP="00707822">
      <w:pPr>
        <w:autoSpaceDE w:val="0"/>
        <w:autoSpaceDN w:val="0"/>
        <w:adjustRightInd w:val="0"/>
        <w:rPr>
          <w:rFonts w:eastAsia="HelenPro-Bold"/>
          <w:b/>
          <w:bCs/>
          <w:i/>
          <w:iCs/>
        </w:rPr>
      </w:pPr>
      <w:r w:rsidRPr="00707822">
        <w:rPr>
          <w:rFonts w:eastAsia="HelenPro-Bold"/>
          <w:b/>
          <w:bCs/>
          <w:i/>
          <w:iCs/>
        </w:rPr>
        <w:t>Manual Dilution Procedure</w:t>
      </w:r>
    </w:p>
    <w:p w:rsidR="00707822" w:rsidRPr="00707822" w:rsidRDefault="00707822" w:rsidP="00707822">
      <w:pPr>
        <w:autoSpaceDE w:val="0"/>
        <w:autoSpaceDN w:val="0"/>
        <w:adjustRightInd w:val="0"/>
        <w:rPr>
          <w:rFonts w:eastAsia="HelenPro-Regular"/>
        </w:rPr>
      </w:pPr>
      <w:r w:rsidRPr="00707822">
        <w:rPr>
          <w:rFonts w:eastAsia="HelenPro-Regular"/>
        </w:rPr>
        <w:t>• Use saline (0.85% to 0.90% NaCl) to dilute the sample.</w:t>
      </w:r>
    </w:p>
    <w:p w:rsidR="00707822" w:rsidRPr="00707822" w:rsidRDefault="00707822" w:rsidP="00707822">
      <w:pPr>
        <w:autoSpaceDE w:val="0"/>
        <w:autoSpaceDN w:val="0"/>
        <w:adjustRightInd w:val="0"/>
        <w:rPr>
          <w:rFonts w:eastAsia="HelenPro-Regular"/>
        </w:rPr>
      </w:pPr>
      <w:r w:rsidRPr="00707822">
        <w:rPr>
          <w:rFonts w:eastAsia="HelenPro-Regular"/>
        </w:rPr>
        <w:t>• The operator must enter the dilution f</w:t>
      </w:r>
      <w:r>
        <w:rPr>
          <w:rFonts w:eastAsia="HelenPro-Regular"/>
        </w:rPr>
        <w:t xml:space="preserve">actor in the patient or control </w:t>
      </w:r>
      <w:r w:rsidRPr="00707822">
        <w:rPr>
          <w:rFonts w:eastAsia="HelenPro-Regular"/>
        </w:rPr>
        <w:t>order screen. The system uses this dilution factor to automatically</w:t>
      </w:r>
      <w:r>
        <w:rPr>
          <w:rFonts w:eastAsia="HelenPro-Regular"/>
        </w:rPr>
        <w:t xml:space="preserve"> </w:t>
      </w:r>
      <w:r w:rsidRPr="00707822">
        <w:rPr>
          <w:rFonts w:eastAsia="HelenPro-Regular"/>
        </w:rPr>
        <w:t>correct the concentration by multiplying the result by the entered</w:t>
      </w:r>
      <w:r>
        <w:rPr>
          <w:rFonts w:eastAsia="HelenPro-Regular"/>
        </w:rPr>
        <w:t xml:space="preserve"> </w:t>
      </w:r>
      <w:r w:rsidRPr="00707822">
        <w:rPr>
          <w:rFonts w:eastAsia="HelenPro-Regular"/>
        </w:rPr>
        <w:t>factor.</w:t>
      </w:r>
    </w:p>
    <w:p w:rsidR="00707822" w:rsidRPr="00707822" w:rsidRDefault="00707822" w:rsidP="00707822">
      <w:pPr>
        <w:autoSpaceDE w:val="0"/>
        <w:autoSpaceDN w:val="0"/>
        <w:adjustRightInd w:val="0"/>
        <w:rPr>
          <w:rFonts w:eastAsia="HelenPro-Regular"/>
        </w:rPr>
      </w:pPr>
      <w:r w:rsidRPr="00707822">
        <w:rPr>
          <w:rFonts w:eastAsia="HelenPro-Regular"/>
        </w:rPr>
        <w:t>• If the operator does not enter the dilu</w:t>
      </w:r>
      <w:r>
        <w:rPr>
          <w:rFonts w:eastAsia="HelenPro-Regular"/>
        </w:rPr>
        <w:t xml:space="preserve">tion factor, the result must be </w:t>
      </w:r>
      <w:r w:rsidRPr="00707822">
        <w:rPr>
          <w:rFonts w:eastAsia="HelenPro-Regular"/>
        </w:rPr>
        <w:t>multiplied by the appropriate dilution factor before reporting the result.</w:t>
      </w:r>
    </w:p>
    <w:p w:rsidR="00707822" w:rsidRPr="00707822" w:rsidRDefault="00707822" w:rsidP="00707822">
      <w:pPr>
        <w:autoSpaceDE w:val="0"/>
        <w:autoSpaceDN w:val="0"/>
        <w:adjustRightInd w:val="0"/>
        <w:rPr>
          <w:rFonts w:eastAsia="HelenPro-Regular"/>
        </w:rPr>
      </w:pPr>
      <w:r w:rsidRPr="00707822">
        <w:rPr>
          <w:rFonts w:eastAsia="HelenPro-Bold"/>
          <w:b/>
          <w:bCs/>
        </w:rPr>
        <w:t xml:space="preserve">NOTE: </w:t>
      </w:r>
      <w:r w:rsidRPr="00707822">
        <w:rPr>
          <w:rFonts w:eastAsia="HelenPro-Regular"/>
        </w:rPr>
        <w:t>If a diluted sample result is flagged</w:t>
      </w:r>
      <w:r>
        <w:rPr>
          <w:rFonts w:eastAsia="HelenPro-Regular"/>
        </w:rPr>
        <w:t xml:space="preserve"> indicating it is less than the </w:t>
      </w:r>
      <w:r w:rsidRPr="00707822">
        <w:rPr>
          <w:rFonts w:eastAsia="HelenPro-Regular"/>
        </w:rPr>
        <w:t>linear low limit, do not report the result. Rerun using an appropriate</w:t>
      </w:r>
      <w:r>
        <w:rPr>
          <w:rFonts w:eastAsia="HelenPro-Regular"/>
        </w:rPr>
        <w:t xml:space="preserve"> </w:t>
      </w:r>
      <w:r w:rsidRPr="00707822">
        <w:rPr>
          <w:rFonts w:eastAsia="HelenPro-Regular"/>
        </w:rPr>
        <w:t>dilution.</w:t>
      </w:r>
    </w:p>
    <w:p w:rsidR="006245F4" w:rsidRPr="00707822" w:rsidRDefault="00707822" w:rsidP="00707822">
      <w:pPr>
        <w:autoSpaceDE w:val="0"/>
        <w:autoSpaceDN w:val="0"/>
        <w:adjustRightInd w:val="0"/>
        <w:rPr>
          <w:rFonts w:eastAsia="HelenPro-Regular"/>
        </w:rPr>
      </w:pPr>
      <w:r w:rsidRPr="00707822">
        <w:rPr>
          <w:rFonts w:eastAsia="HelenPro-Regular"/>
        </w:rPr>
        <w:t xml:space="preserve">For detailed information on ordering dilutions, refer to </w:t>
      </w:r>
      <w:r w:rsidRPr="00707822">
        <w:rPr>
          <w:rFonts w:eastAsia="HelenPro-Bold"/>
          <w:i/>
          <w:iCs/>
        </w:rPr>
        <w:t xml:space="preserve">Section 5 </w:t>
      </w:r>
      <w:r>
        <w:rPr>
          <w:rFonts w:eastAsia="HelenPro-Regular"/>
        </w:rPr>
        <w:t xml:space="preserve">of the </w:t>
      </w:r>
      <w:r w:rsidRPr="00707822">
        <w:rPr>
          <w:rFonts w:eastAsia="HelenPro-Bold"/>
          <w:b/>
          <w:bCs/>
        </w:rPr>
        <w:t>ARCHITECT System Operations Manual</w:t>
      </w:r>
      <w:r w:rsidRPr="00707822">
        <w:rPr>
          <w:rFonts w:eastAsia="HelenPro-Regular"/>
        </w:rPr>
        <w:t>.</w:t>
      </w:r>
    </w:p>
    <w:p w:rsidR="00E133E6" w:rsidRPr="007C453B" w:rsidRDefault="00E133E6" w:rsidP="00F95946">
      <w:pPr>
        <w:rPr>
          <w:b/>
          <w:color w:val="000000"/>
        </w:rPr>
      </w:pPr>
    </w:p>
    <w:p w:rsidR="00912FE4" w:rsidRPr="007C453B" w:rsidRDefault="00912FE4" w:rsidP="00F95946">
      <w:pPr>
        <w:rPr>
          <w:rFonts w:eastAsia="HelenPro-Regular"/>
        </w:rPr>
      </w:pPr>
      <w:r w:rsidRPr="007C453B">
        <w:rPr>
          <w:b/>
          <w:color w:val="000000"/>
        </w:rPr>
        <w:t>Precision:</w:t>
      </w:r>
      <w:r w:rsidR="0038442D" w:rsidRPr="007C453B">
        <w:rPr>
          <w:b/>
          <w:color w:val="000000"/>
        </w:rPr>
        <w:t xml:space="preserve"> </w:t>
      </w:r>
    </w:p>
    <w:p w:rsidR="00F95946" w:rsidRPr="00707822" w:rsidRDefault="00707822" w:rsidP="00707822">
      <w:pPr>
        <w:autoSpaceDE w:val="0"/>
        <w:autoSpaceDN w:val="0"/>
        <w:adjustRightInd w:val="0"/>
        <w:rPr>
          <w:rFonts w:eastAsia="HelenPro-Regular"/>
        </w:rPr>
      </w:pPr>
      <w:r w:rsidRPr="00707822">
        <w:rPr>
          <w:rFonts w:eastAsia="HelenPro-Regular"/>
        </w:rPr>
        <w:t>The precision of the MULTIGENT Ammonia Ultra assay is</w:t>
      </w:r>
      <w:r>
        <w:rPr>
          <w:rFonts w:eastAsia="HelenPro-Regular"/>
        </w:rPr>
        <w:t xml:space="preserve"> </w:t>
      </w:r>
      <w:r w:rsidRPr="00707822">
        <w:rPr>
          <w:rFonts w:eastAsia="HelenPro-Regular"/>
        </w:rPr>
        <w:t>≤ 10% Total CV</w:t>
      </w:r>
      <w:r>
        <w:rPr>
          <w:rFonts w:ascii="HelenPro-Regular" w:eastAsia="HelenPro-Regular" w:cs="HelenPro-Regular"/>
          <w:sz w:val="16"/>
          <w:szCs w:val="16"/>
        </w:rPr>
        <w:t>.</w:t>
      </w:r>
    </w:p>
    <w:p w:rsidR="00707822" w:rsidRPr="007C453B" w:rsidRDefault="00707822" w:rsidP="00707822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drawing>
          <wp:inline distT="0" distB="0" distL="0" distR="0" wp14:anchorId="555FEB9B" wp14:editId="00E5BF9E">
            <wp:extent cx="3533775" cy="11430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E37" w:rsidRPr="007C453B" w:rsidRDefault="00C53E37" w:rsidP="00C53E37">
      <w:pPr>
        <w:pStyle w:val="Heading4"/>
        <w:rPr>
          <w:sz w:val="24"/>
          <w:szCs w:val="24"/>
        </w:rPr>
      </w:pPr>
      <w:r w:rsidRPr="007C453B">
        <w:rPr>
          <w:sz w:val="24"/>
          <w:szCs w:val="24"/>
        </w:rPr>
        <w:t>Limitations of Procedure</w:t>
      </w:r>
      <w:r w:rsidR="00973EAF" w:rsidRPr="007C453B">
        <w:rPr>
          <w:sz w:val="24"/>
          <w:szCs w:val="24"/>
        </w:rPr>
        <w:t xml:space="preserve"> </w:t>
      </w:r>
    </w:p>
    <w:p w:rsidR="00AA6D00" w:rsidRPr="00707822" w:rsidRDefault="00707822" w:rsidP="00707822">
      <w:pPr>
        <w:autoSpaceDE w:val="0"/>
        <w:autoSpaceDN w:val="0"/>
        <w:adjustRightInd w:val="0"/>
        <w:rPr>
          <w:rFonts w:eastAsia="HelenPro-Regular"/>
        </w:rPr>
      </w:pPr>
      <w:r w:rsidRPr="00707822">
        <w:rPr>
          <w:rFonts w:eastAsia="HelenPro-Regular"/>
        </w:rPr>
        <w:t>Instrument absorbance error</w:t>
      </w:r>
      <w:r>
        <w:rPr>
          <w:rFonts w:eastAsia="HelenPro-Regular"/>
        </w:rPr>
        <w:t xml:space="preserve">s were observed with Intralipid </w:t>
      </w:r>
      <w:r w:rsidRPr="00707822">
        <w:rPr>
          <w:rFonts w:eastAsia="HelenPro-Regular"/>
        </w:rPr>
        <w:t>concentrations greater than 100 mg/dL</w:t>
      </w:r>
    </w:p>
    <w:p w:rsidR="00E133E6" w:rsidRPr="007C453B" w:rsidRDefault="00E133E6" w:rsidP="002D6FB9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F95946" w:rsidRPr="007C453B" w:rsidRDefault="00F95946" w:rsidP="002D6FB9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7C453B">
        <w:rPr>
          <w:rFonts w:eastAsia="HelenPro-Bold"/>
          <w:b/>
          <w:bCs/>
        </w:rPr>
        <w:t>Interfering Substances</w:t>
      </w:r>
    </w:p>
    <w:p w:rsidR="002609B2" w:rsidRPr="00707822" w:rsidRDefault="00707822" w:rsidP="00707822">
      <w:pPr>
        <w:autoSpaceDE w:val="0"/>
        <w:autoSpaceDN w:val="0"/>
        <w:adjustRightInd w:val="0"/>
        <w:rPr>
          <w:rFonts w:eastAsia="HelenPro-Regular"/>
        </w:rPr>
      </w:pPr>
      <w:r w:rsidRPr="00707822">
        <w:rPr>
          <w:rFonts w:eastAsia="HelenPro-Regular"/>
        </w:rPr>
        <w:t>Interference studies were conducted using an acceptance criteria of</w:t>
      </w:r>
      <w:r>
        <w:rPr>
          <w:rFonts w:eastAsia="HelenPro-Regular"/>
        </w:rPr>
        <w:t xml:space="preserve"> +/-</w:t>
      </w:r>
      <w:r w:rsidRPr="00707822">
        <w:rPr>
          <w:rFonts w:eastAsia="HelenPro-Regular"/>
        </w:rPr>
        <w:t xml:space="preserve"> 10% deviation from the target value. MULTIGENT Ammonia Ultra is</w:t>
      </w:r>
      <w:r>
        <w:rPr>
          <w:rFonts w:eastAsia="HelenPro-Regular"/>
        </w:rPr>
        <w:t xml:space="preserve"> </w:t>
      </w:r>
      <w:r w:rsidRPr="00707822">
        <w:rPr>
          <w:rFonts w:eastAsia="HelenPro-Regular"/>
        </w:rPr>
        <w:t>not affected by the presence of the following interferents up to the</w:t>
      </w:r>
      <w:r>
        <w:rPr>
          <w:rFonts w:eastAsia="HelenPro-Regular"/>
        </w:rPr>
        <w:t xml:space="preserve"> </w:t>
      </w:r>
      <w:r w:rsidRPr="00707822">
        <w:rPr>
          <w:rFonts w:eastAsia="HelenPro-Regular"/>
        </w:rPr>
        <w:t>concentrations indicated below.</w:t>
      </w:r>
    </w:p>
    <w:p w:rsidR="00707822" w:rsidRPr="00707822" w:rsidRDefault="00707822" w:rsidP="00707822">
      <w:pPr>
        <w:autoSpaceDE w:val="0"/>
        <w:autoSpaceDN w:val="0"/>
        <w:adjustRightInd w:val="0"/>
        <w:rPr>
          <w:rFonts w:eastAsia="HelenPro-Regular"/>
        </w:rPr>
      </w:pPr>
      <w:r w:rsidRPr="00707822">
        <w:rPr>
          <w:noProof/>
        </w:rPr>
        <w:drawing>
          <wp:inline distT="0" distB="0" distL="0" distR="0" wp14:anchorId="1CBDC827" wp14:editId="37B42F13">
            <wp:extent cx="3267075" cy="1057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822" w:rsidRPr="00707822" w:rsidRDefault="00707822" w:rsidP="00707822">
      <w:pPr>
        <w:autoSpaceDE w:val="0"/>
        <w:autoSpaceDN w:val="0"/>
        <w:adjustRightInd w:val="0"/>
        <w:rPr>
          <w:rFonts w:eastAsia="HelenPro-Regular"/>
        </w:rPr>
      </w:pPr>
      <w:r w:rsidRPr="00707822">
        <w:rPr>
          <w:rFonts w:eastAsia="HelenPro-Regular"/>
        </w:rPr>
        <w:t>Hemoglobin: hemolyzed samples sho</w:t>
      </w:r>
      <w:r>
        <w:rPr>
          <w:rFonts w:eastAsia="HelenPro-Regular"/>
        </w:rPr>
        <w:t xml:space="preserve">uld not be used as erythrocytes </w:t>
      </w:r>
      <w:r w:rsidRPr="00707822">
        <w:rPr>
          <w:rFonts w:eastAsia="HelenPro-Regular"/>
        </w:rPr>
        <w:t>contain ammonia levels approximately 3 times that of plasma.</w:t>
      </w:r>
    </w:p>
    <w:p w:rsidR="00683421" w:rsidRPr="00707822" w:rsidRDefault="00683421" w:rsidP="00683421">
      <w:pPr>
        <w:autoSpaceDE w:val="0"/>
        <w:autoSpaceDN w:val="0"/>
        <w:adjustRightInd w:val="0"/>
        <w:rPr>
          <w:rFonts w:eastAsia="HelenPro-Regular"/>
        </w:rPr>
      </w:pPr>
    </w:p>
    <w:p w:rsidR="00D16B69" w:rsidRDefault="00D16B69" w:rsidP="00D16B69">
      <w:pPr>
        <w:jc w:val="both"/>
        <w:rPr>
          <w:b/>
        </w:rPr>
      </w:pPr>
      <w:r w:rsidRPr="00470DF1">
        <w:rPr>
          <w:b/>
        </w:rPr>
        <w:t>References</w:t>
      </w:r>
      <w:r>
        <w:rPr>
          <w:b/>
        </w:rPr>
        <w:t>:</w:t>
      </w:r>
      <w:r w:rsidR="00973EAF">
        <w:rPr>
          <w:b/>
        </w:rPr>
        <w:t xml:space="preserve"> </w:t>
      </w:r>
    </w:p>
    <w:p w:rsidR="000A13F2" w:rsidRPr="000A13F2" w:rsidRDefault="000A13F2" w:rsidP="00030CD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 xml:space="preserve">ABBOTT ARCHITECT </w:t>
      </w:r>
      <w:r w:rsidR="00026730">
        <w:rPr>
          <w:rFonts w:ascii="Arial" w:hAnsi="Arial" w:cs="Arial"/>
          <w:sz w:val="22"/>
          <w:szCs w:val="22"/>
        </w:rPr>
        <w:t>Ammonia</w:t>
      </w:r>
      <w:r w:rsidRPr="000A13F2">
        <w:rPr>
          <w:rFonts w:ascii="Arial" w:hAnsi="Arial" w:cs="Arial"/>
          <w:sz w:val="22"/>
          <w:szCs w:val="22"/>
        </w:rPr>
        <w:t xml:space="preserve"> package insert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Abbott Laboratories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Diagnostics Division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Abbott Park, IL  60064</w:t>
      </w:r>
    </w:p>
    <w:p w:rsidR="00425BA0" w:rsidRDefault="005D51FA" w:rsidP="00425BA0">
      <w:pPr>
        <w:pStyle w:val="ListParagraph"/>
        <w:rPr>
          <w:rFonts w:eastAsia="HelenPro-Bold"/>
          <w:b/>
          <w:bCs/>
          <w:sz w:val="20"/>
          <w:szCs w:val="20"/>
        </w:rPr>
      </w:pPr>
      <w:r>
        <w:rPr>
          <w:rFonts w:ascii="Arial" w:hAnsi="Arial" w:cs="Arial"/>
          <w:bCs/>
          <w:sz w:val="22"/>
          <w:szCs w:val="22"/>
        </w:rPr>
        <w:t>May</w:t>
      </w:r>
      <w:r w:rsidR="0074336C">
        <w:rPr>
          <w:rFonts w:ascii="Arial" w:hAnsi="Arial" w:cs="Arial"/>
          <w:bCs/>
          <w:sz w:val="22"/>
          <w:szCs w:val="22"/>
        </w:rPr>
        <w:t xml:space="preserve"> 201</w:t>
      </w:r>
      <w:r w:rsidR="005E3D97">
        <w:rPr>
          <w:rFonts w:ascii="Arial" w:hAnsi="Arial" w:cs="Arial"/>
          <w:bCs/>
          <w:sz w:val="22"/>
          <w:szCs w:val="22"/>
        </w:rPr>
        <w:t>4</w:t>
      </w:r>
      <w:r w:rsidR="000A13F2" w:rsidRPr="000A13F2">
        <w:rPr>
          <w:rFonts w:ascii="Arial" w:hAnsi="Arial" w:cs="Arial"/>
          <w:bCs/>
          <w:sz w:val="22"/>
          <w:szCs w:val="22"/>
        </w:rPr>
        <w:t xml:space="preserve"> </w:t>
      </w:r>
      <w:r w:rsidR="00026730" w:rsidRPr="00026730">
        <w:rPr>
          <w:rFonts w:eastAsia="HelenPro-Regular"/>
        </w:rPr>
        <w:t>306526/R03</w:t>
      </w:r>
    </w:p>
    <w:p w:rsidR="000A13F2" w:rsidRPr="00425BA0" w:rsidRDefault="000A13F2" w:rsidP="00425BA0">
      <w:pPr>
        <w:pStyle w:val="ListParagraph"/>
        <w:numPr>
          <w:ilvl w:val="0"/>
          <w:numId w:val="4"/>
        </w:numPr>
        <w:rPr>
          <w:rFonts w:eastAsia="HelenPro-Bold"/>
          <w:b/>
          <w:bCs/>
          <w:sz w:val="20"/>
          <w:szCs w:val="20"/>
        </w:rPr>
      </w:pPr>
      <w:r w:rsidRPr="00425BA0">
        <w:rPr>
          <w:rFonts w:ascii="Arial" w:hAnsi="Arial" w:cs="Arial"/>
          <w:sz w:val="22"/>
          <w:szCs w:val="22"/>
        </w:rPr>
        <w:t xml:space="preserve">ABBOTT ARCHITECT </w:t>
      </w:r>
      <w:r w:rsidR="00294A08" w:rsidRPr="00425BA0">
        <w:rPr>
          <w:rFonts w:ascii="Arial" w:hAnsi="Arial" w:cs="Arial"/>
          <w:sz w:val="22"/>
          <w:szCs w:val="22"/>
        </w:rPr>
        <w:t>TDM Multiconstituent</w:t>
      </w:r>
      <w:r w:rsidRPr="00425BA0">
        <w:rPr>
          <w:rFonts w:ascii="Arial" w:hAnsi="Arial" w:cs="Arial"/>
          <w:sz w:val="22"/>
          <w:szCs w:val="22"/>
        </w:rPr>
        <w:t xml:space="preserve"> Calibrator package insert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Abbott Laboratories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Diagnostics Division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Abbott Park, IL  60064</w:t>
      </w:r>
    </w:p>
    <w:p w:rsidR="00881923" w:rsidRDefault="000A13F2" w:rsidP="00030CDD">
      <w:pPr>
        <w:pStyle w:val="ListParagraph"/>
        <w:numPr>
          <w:ilvl w:val="0"/>
          <w:numId w:val="4"/>
        </w:numPr>
        <w:spacing w:after="72"/>
        <w:jc w:val="both"/>
      </w:pPr>
      <w:r>
        <w:t>Abbott ARCHITECT</w:t>
      </w:r>
      <w:r w:rsidR="00D16B69" w:rsidRPr="000A13F2">
        <w:rPr>
          <w:lang w:val="ru-RU"/>
        </w:rPr>
        <w:t xml:space="preserve"> Operator’s Guide</w:t>
      </w:r>
    </w:p>
    <w:p w:rsidR="00AB5354" w:rsidRDefault="00AB5354" w:rsidP="0009322F">
      <w:pPr>
        <w:rPr>
          <w:b/>
        </w:rPr>
      </w:pPr>
    </w:p>
    <w:p w:rsidR="00683421" w:rsidRDefault="00683421" w:rsidP="00246FA8">
      <w:pPr>
        <w:rPr>
          <w:b/>
        </w:rPr>
      </w:pPr>
    </w:p>
    <w:p w:rsidR="00683421" w:rsidRDefault="00683421" w:rsidP="00246FA8">
      <w:pPr>
        <w:rPr>
          <w:b/>
        </w:rPr>
      </w:pPr>
    </w:p>
    <w:p w:rsidR="00683421" w:rsidRDefault="00683421" w:rsidP="00246FA8">
      <w:pPr>
        <w:rPr>
          <w:b/>
        </w:rPr>
      </w:pPr>
    </w:p>
    <w:p w:rsidR="0009322F" w:rsidRDefault="0009322F" w:rsidP="0009322F">
      <w:pPr>
        <w:rPr>
          <w:sz w:val="20"/>
        </w:rPr>
      </w:pPr>
    </w:p>
    <w:p w:rsidR="00D16B69" w:rsidRDefault="00D16B69" w:rsidP="00951C8E">
      <w:pPr>
        <w:spacing w:after="72"/>
        <w:jc w:val="both"/>
      </w:pPr>
    </w:p>
    <w:sectPr w:rsidR="00D16B69" w:rsidSect="00507B0C">
      <w:headerReference w:type="default" r:id="rId15"/>
      <w:footerReference w:type="defaul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540" w:rsidRDefault="00C75540">
      <w:r>
        <w:separator/>
      </w:r>
    </w:p>
  </w:endnote>
  <w:endnote w:type="continuationSeparator" w:id="0">
    <w:p w:rsidR="00C75540" w:rsidRDefault="00C7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enPro-Cond">
    <w:altName w:val="Times New Roman"/>
    <w:panose1 w:val="00000000000000000000"/>
    <w:charset w:val="4D"/>
    <w:family w:val="auto"/>
    <w:notTrueType/>
    <w:pitch w:val="default"/>
    <w:sig w:usb0="00000001" w:usb1="00000000" w:usb2="00000000" w:usb3="00000000" w:csb0="00000009" w:csb1="00000000"/>
  </w:font>
  <w:font w:name="HelenPro-CondIt">
    <w:altName w:val="Helen Pro Cond I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Pro-BoldCond">
    <w:altName w:val="Helen Pro Bold Con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Pro-Regular">
    <w:altName w:val="MS Mincho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enPro-Bold">
    <w:altName w:val="Arial Unicode MS"/>
    <w:panose1 w:val="00000000000000000000"/>
    <w:charset w:val="80"/>
    <w:family w:val="swiss"/>
    <w:notTrueType/>
    <w:pitch w:val="default"/>
    <w:sig w:usb0="00000083" w:usb1="08070000" w:usb2="00000010" w:usb3="00000000" w:csb0="0002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540" w:rsidRDefault="00C75540" w:rsidP="00BC1EC4">
    <w:pPr>
      <w:pStyle w:val="Footer"/>
      <w:rPr>
        <w:sz w:val="20"/>
        <w:szCs w:val="20"/>
      </w:rPr>
    </w:pPr>
    <w:r>
      <w:rPr>
        <w:sz w:val="20"/>
        <w:szCs w:val="20"/>
      </w:rPr>
      <w:tab/>
    </w:r>
    <w:r w:rsidRPr="00427B21">
      <w:rPr>
        <w:sz w:val="20"/>
        <w:szCs w:val="20"/>
      </w:rPr>
      <w:t xml:space="preserve">Page </w:t>
    </w:r>
    <w:r w:rsidRPr="00427B21">
      <w:rPr>
        <w:sz w:val="20"/>
        <w:szCs w:val="20"/>
      </w:rPr>
      <w:fldChar w:fldCharType="begin"/>
    </w:r>
    <w:r w:rsidRPr="00427B21">
      <w:rPr>
        <w:sz w:val="20"/>
        <w:szCs w:val="20"/>
      </w:rPr>
      <w:instrText xml:space="preserve"> PAGE </w:instrText>
    </w:r>
    <w:r w:rsidRPr="00427B21">
      <w:rPr>
        <w:sz w:val="20"/>
        <w:szCs w:val="20"/>
      </w:rPr>
      <w:fldChar w:fldCharType="separate"/>
    </w:r>
    <w:r w:rsidR="00EC5D74">
      <w:rPr>
        <w:noProof/>
        <w:sz w:val="20"/>
        <w:szCs w:val="20"/>
      </w:rPr>
      <w:t>5</w:t>
    </w:r>
    <w:r w:rsidRPr="00427B21">
      <w:rPr>
        <w:sz w:val="20"/>
        <w:szCs w:val="20"/>
      </w:rPr>
      <w:fldChar w:fldCharType="end"/>
    </w:r>
    <w:r w:rsidRPr="00427B21">
      <w:rPr>
        <w:sz w:val="20"/>
        <w:szCs w:val="20"/>
      </w:rPr>
      <w:t xml:space="preserve"> of </w:t>
    </w:r>
    <w:r w:rsidRPr="00427B21">
      <w:rPr>
        <w:sz w:val="20"/>
        <w:szCs w:val="20"/>
      </w:rPr>
      <w:fldChar w:fldCharType="begin"/>
    </w:r>
    <w:r w:rsidRPr="00427B21">
      <w:rPr>
        <w:sz w:val="20"/>
        <w:szCs w:val="20"/>
      </w:rPr>
      <w:instrText xml:space="preserve"> NUMPAGES </w:instrText>
    </w:r>
    <w:r w:rsidRPr="00427B21">
      <w:rPr>
        <w:sz w:val="20"/>
        <w:szCs w:val="20"/>
      </w:rPr>
      <w:fldChar w:fldCharType="separate"/>
    </w:r>
    <w:r w:rsidR="00EC5D74">
      <w:rPr>
        <w:noProof/>
        <w:sz w:val="20"/>
        <w:szCs w:val="20"/>
      </w:rPr>
      <w:t>6</w:t>
    </w:r>
    <w:r w:rsidRPr="00427B21">
      <w:rPr>
        <w:sz w:val="20"/>
        <w:szCs w:val="20"/>
      </w:rPr>
      <w:fldChar w:fldCharType="end"/>
    </w:r>
  </w:p>
  <w:p w:rsidR="00C75540" w:rsidRDefault="00C75540">
    <w:pPr>
      <w:pStyle w:val="Footer"/>
    </w:pPr>
  </w:p>
  <w:p w:rsidR="00C75540" w:rsidRDefault="00C75540" w:rsidP="006D28E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540" w:rsidRDefault="00C75540">
      <w:r>
        <w:separator/>
      </w:r>
    </w:p>
  </w:footnote>
  <w:footnote w:type="continuationSeparator" w:id="0">
    <w:p w:rsidR="00C75540" w:rsidRDefault="00C75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540" w:rsidRDefault="00C75540" w:rsidP="00100BF8">
    <w:pPr>
      <w:jc w:val="right"/>
      <w:rPr>
        <w:sz w:val="20"/>
        <w:szCs w:val="20"/>
      </w:rPr>
    </w:pPr>
    <w:r w:rsidRPr="001A639E">
      <w:rPr>
        <w:b/>
      </w:rPr>
      <w:tab/>
    </w:r>
    <w:r w:rsidRPr="001A639E">
      <w:rPr>
        <w:b/>
      </w:rPr>
      <w:tab/>
    </w:r>
    <w:r>
      <w:rPr>
        <w:b/>
        <w:sz w:val="20"/>
        <w:szCs w:val="20"/>
      </w:rPr>
      <w:t>Proc# 4840-CH-108</w:t>
    </w:r>
  </w:p>
  <w:p w:rsidR="00C75540" w:rsidRDefault="00C75540" w:rsidP="00100BF8">
    <w:pPr>
      <w:jc w:val="right"/>
      <w:rPr>
        <w:sz w:val="20"/>
        <w:szCs w:val="20"/>
      </w:rPr>
    </w:pPr>
    <w:r>
      <w:rPr>
        <w:sz w:val="20"/>
        <w:szCs w:val="20"/>
      </w:rPr>
      <w:t xml:space="preserve">ARCHITECT Ammonia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53E4"/>
    <w:multiLevelType w:val="hybridMultilevel"/>
    <w:tmpl w:val="2856B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21B61"/>
    <w:multiLevelType w:val="hybridMultilevel"/>
    <w:tmpl w:val="32EE2B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EF105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B4C4DB5"/>
    <w:multiLevelType w:val="hybridMultilevel"/>
    <w:tmpl w:val="BF2C6C9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7143A"/>
    <w:multiLevelType w:val="hybridMultilevel"/>
    <w:tmpl w:val="7F4626FA"/>
    <w:lvl w:ilvl="0" w:tplc="1A822B9C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C5972"/>
    <w:multiLevelType w:val="hybridMultilevel"/>
    <w:tmpl w:val="55B8DF36"/>
    <w:lvl w:ilvl="0" w:tplc="DD989B4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D216F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5863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EC030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10613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8007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58033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DE5CC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AE70D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744DE1"/>
    <w:multiLevelType w:val="hybridMultilevel"/>
    <w:tmpl w:val="118EE32A"/>
    <w:lvl w:ilvl="0" w:tplc="E90C2652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35FA0563"/>
    <w:multiLevelType w:val="hybridMultilevel"/>
    <w:tmpl w:val="C6BEECF4"/>
    <w:lvl w:ilvl="0" w:tplc="02B424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0872A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64B4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1CB84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36040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C0BCF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00F9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0A89C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DEC9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9365DD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3CAE27D0"/>
    <w:multiLevelType w:val="hybridMultilevel"/>
    <w:tmpl w:val="2506A46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C5F47"/>
    <w:multiLevelType w:val="hybridMultilevel"/>
    <w:tmpl w:val="FE00C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E785EA9"/>
    <w:multiLevelType w:val="hybridMultilevel"/>
    <w:tmpl w:val="625E446E"/>
    <w:lvl w:ilvl="0" w:tplc="80A81D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68B59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8CFC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B0C10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62B25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0AA92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42713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6214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BE9C5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9A50B2"/>
    <w:multiLevelType w:val="hybridMultilevel"/>
    <w:tmpl w:val="D1FE7F98"/>
    <w:lvl w:ilvl="0" w:tplc="D0FAB86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61467350"/>
    <w:multiLevelType w:val="hybridMultilevel"/>
    <w:tmpl w:val="48C8B1A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70680D07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73723E2C"/>
    <w:multiLevelType w:val="hybridMultilevel"/>
    <w:tmpl w:val="479C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8C49E9"/>
    <w:multiLevelType w:val="hybridMultilevel"/>
    <w:tmpl w:val="7E9810E4"/>
    <w:lvl w:ilvl="0" w:tplc="601A36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2E926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A6004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866C3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F4973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1E29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2AA9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24FD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04E9E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8E4B23"/>
    <w:multiLevelType w:val="hybridMultilevel"/>
    <w:tmpl w:val="8EF494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7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3"/>
  </w:num>
  <w:num w:numId="8">
    <w:abstractNumId w:val="1"/>
  </w:num>
  <w:num w:numId="9">
    <w:abstractNumId w:val="13"/>
  </w:num>
  <w:num w:numId="10">
    <w:abstractNumId w:val="10"/>
  </w:num>
  <w:num w:numId="11">
    <w:abstractNumId w:val="12"/>
  </w:num>
  <w:num w:numId="12">
    <w:abstractNumId w:val="2"/>
  </w:num>
  <w:num w:numId="13">
    <w:abstractNumId w:val="4"/>
  </w:num>
  <w:num w:numId="14">
    <w:abstractNumId w:val="8"/>
  </w:num>
  <w:num w:numId="15">
    <w:abstractNumId w:val="11"/>
  </w:num>
  <w:num w:numId="16">
    <w:abstractNumId w:val="16"/>
  </w:num>
  <w:num w:numId="17">
    <w:abstractNumId w:val="0"/>
  </w:num>
  <w:num w:numId="18">
    <w:abstractNumId w:val="7"/>
  </w:num>
  <w:num w:numId="1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ED"/>
    <w:rsid w:val="00014AAD"/>
    <w:rsid w:val="000165C6"/>
    <w:rsid w:val="00020469"/>
    <w:rsid w:val="000232F2"/>
    <w:rsid w:val="00026730"/>
    <w:rsid w:val="000276BD"/>
    <w:rsid w:val="000304D2"/>
    <w:rsid w:val="00030CDD"/>
    <w:rsid w:val="00032E92"/>
    <w:rsid w:val="00040E43"/>
    <w:rsid w:val="00043105"/>
    <w:rsid w:val="000454FD"/>
    <w:rsid w:val="0006011A"/>
    <w:rsid w:val="000602A5"/>
    <w:rsid w:val="00062EAC"/>
    <w:rsid w:val="0006502B"/>
    <w:rsid w:val="00065C26"/>
    <w:rsid w:val="000743B7"/>
    <w:rsid w:val="00081C7F"/>
    <w:rsid w:val="00082648"/>
    <w:rsid w:val="0009322F"/>
    <w:rsid w:val="000A090B"/>
    <w:rsid w:val="000A13F2"/>
    <w:rsid w:val="000A341D"/>
    <w:rsid w:val="000A7D58"/>
    <w:rsid w:val="000B1D10"/>
    <w:rsid w:val="000B4575"/>
    <w:rsid w:val="000C1FD8"/>
    <w:rsid w:val="000E3328"/>
    <w:rsid w:val="000F0F7A"/>
    <w:rsid w:val="000F49B2"/>
    <w:rsid w:val="00100BF8"/>
    <w:rsid w:val="0010358F"/>
    <w:rsid w:val="00107444"/>
    <w:rsid w:val="00132081"/>
    <w:rsid w:val="00133F38"/>
    <w:rsid w:val="0014554C"/>
    <w:rsid w:val="00155687"/>
    <w:rsid w:val="00157696"/>
    <w:rsid w:val="0016247C"/>
    <w:rsid w:val="00165650"/>
    <w:rsid w:val="00167572"/>
    <w:rsid w:val="00172CF7"/>
    <w:rsid w:val="0019760C"/>
    <w:rsid w:val="001A5651"/>
    <w:rsid w:val="001A639E"/>
    <w:rsid w:val="001B29A7"/>
    <w:rsid w:val="001B4267"/>
    <w:rsid w:val="001C48DA"/>
    <w:rsid w:val="001D3841"/>
    <w:rsid w:val="001D6AE0"/>
    <w:rsid w:val="001E079E"/>
    <w:rsid w:val="001E7DA5"/>
    <w:rsid w:val="001F32A9"/>
    <w:rsid w:val="001F6B7B"/>
    <w:rsid w:val="00246FA8"/>
    <w:rsid w:val="0025031C"/>
    <w:rsid w:val="00253C1F"/>
    <w:rsid w:val="00255C54"/>
    <w:rsid w:val="002609B2"/>
    <w:rsid w:val="002649AA"/>
    <w:rsid w:val="002746A8"/>
    <w:rsid w:val="00294A08"/>
    <w:rsid w:val="002B0D2A"/>
    <w:rsid w:val="002B1993"/>
    <w:rsid w:val="002C0E55"/>
    <w:rsid w:val="002C7FD5"/>
    <w:rsid w:val="002D18CA"/>
    <w:rsid w:val="002D2075"/>
    <w:rsid w:val="002D370D"/>
    <w:rsid w:val="002D38DF"/>
    <w:rsid w:val="002D6FB9"/>
    <w:rsid w:val="002F52E0"/>
    <w:rsid w:val="003056A7"/>
    <w:rsid w:val="00310CF6"/>
    <w:rsid w:val="00347BEC"/>
    <w:rsid w:val="00353FD5"/>
    <w:rsid w:val="0037463A"/>
    <w:rsid w:val="0038442D"/>
    <w:rsid w:val="00386807"/>
    <w:rsid w:val="00396C4A"/>
    <w:rsid w:val="003B2E62"/>
    <w:rsid w:val="003B40E1"/>
    <w:rsid w:val="003C2522"/>
    <w:rsid w:val="003C596F"/>
    <w:rsid w:val="003D10DE"/>
    <w:rsid w:val="003D38B7"/>
    <w:rsid w:val="003D708C"/>
    <w:rsid w:val="003E62E7"/>
    <w:rsid w:val="00400A1A"/>
    <w:rsid w:val="00400CBA"/>
    <w:rsid w:val="00405EC8"/>
    <w:rsid w:val="00410514"/>
    <w:rsid w:val="00413FEE"/>
    <w:rsid w:val="00424A02"/>
    <w:rsid w:val="00425BA0"/>
    <w:rsid w:val="00431B39"/>
    <w:rsid w:val="00436811"/>
    <w:rsid w:val="0044058F"/>
    <w:rsid w:val="00443DB3"/>
    <w:rsid w:val="00452D5E"/>
    <w:rsid w:val="0045570E"/>
    <w:rsid w:val="00456575"/>
    <w:rsid w:val="00460600"/>
    <w:rsid w:val="00461686"/>
    <w:rsid w:val="0046271A"/>
    <w:rsid w:val="00464E3B"/>
    <w:rsid w:val="004708FA"/>
    <w:rsid w:val="00493DD1"/>
    <w:rsid w:val="004A03BD"/>
    <w:rsid w:val="004A2AA3"/>
    <w:rsid w:val="004C05F8"/>
    <w:rsid w:val="004C104D"/>
    <w:rsid w:val="004C2C23"/>
    <w:rsid w:val="004C37CB"/>
    <w:rsid w:val="004D1D9B"/>
    <w:rsid w:val="004F5F8A"/>
    <w:rsid w:val="00507B0C"/>
    <w:rsid w:val="00533CE1"/>
    <w:rsid w:val="00551335"/>
    <w:rsid w:val="0055619E"/>
    <w:rsid w:val="0056023B"/>
    <w:rsid w:val="00574309"/>
    <w:rsid w:val="005806E5"/>
    <w:rsid w:val="0058304A"/>
    <w:rsid w:val="005902C0"/>
    <w:rsid w:val="005A1D53"/>
    <w:rsid w:val="005A4739"/>
    <w:rsid w:val="005A7348"/>
    <w:rsid w:val="005B0D1C"/>
    <w:rsid w:val="005C4292"/>
    <w:rsid w:val="005D51FA"/>
    <w:rsid w:val="005E3AB5"/>
    <w:rsid w:val="005E3D52"/>
    <w:rsid w:val="005E3D97"/>
    <w:rsid w:val="005F3E81"/>
    <w:rsid w:val="00607638"/>
    <w:rsid w:val="00610572"/>
    <w:rsid w:val="006107A2"/>
    <w:rsid w:val="0061553C"/>
    <w:rsid w:val="00621ABB"/>
    <w:rsid w:val="00623EFB"/>
    <w:rsid w:val="006245F4"/>
    <w:rsid w:val="0063150E"/>
    <w:rsid w:val="00644800"/>
    <w:rsid w:val="006559EB"/>
    <w:rsid w:val="00656BB9"/>
    <w:rsid w:val="00674186"/>
    <w:rsid w:val="00681F73"/>
    <w:rsid w:val="00682038"/>
    <w:rsid w:val="00683421"/>
    <w:rsid w:val="006A5AAE"/>
    <w:rsid w:val="006B0A70"/>
    <w:rsid w:val="006B3C65"/>
    <w:rsid w:val="006D28ED"/>
    <w:rsid w:val="006D40ED"/>
    <w:rsid w:val="006E5155"/>
    <w:rsid w:val="006F7F4F"/>
    <w:rsid w:val="00702FCC"/>
    <w:rsid w:val="00707822"/>
    <w:rsid w:val="00714B7D"/>
    <w:rsid w:val="00714F24"/>
    <w:rsid w:val="0074336C"/>
    <w:rsid w:val="007703C0"/>
    <w:rsid w:val="007840DD"/>
    <w:rsid w:val="00792F8C"/>
    <w:rsid w:val="007B09E3"/>
    <w:rsid w:val="007B0CCE"/>
    <w:rsid w:val="007B247B"/>
    <w:rsid w:val="007C453B"/>
    <w:rsid w:val="007D3A6E"/>
    <w:rsid w:val="007E4CE6"/>
    <w:rsid w:val="007E6C3C"/>
    <w:rsid w:val="007F4929"/>
    <w:rsid w:val="0080146D"/>
    <w:rsid w:val="00803868"/>
    <w:rsid w:val="00804822"/>
    <w:rsid w:val="00812CCF"/>
    <w:rsid w:val="00833E15"/>
    <w:rsid w:val="00841397"/>
    <w:rsid w:val="00846F9F"/>
    <w:rsid w:val="00847607"/>
    <w:rsid w:val="00863AA4"/>
    <w:rsid w:val="00864220"/>
    <w:rsid w:val="00880FDF"/>
    <w:rsid w:val="0088112F"/>
    <w:rsid w:val="00881923"/>
    <w:rsid w:val="00883611"/>
    <w:rsid w:val="00887139"/>
    <w:rsid w:val="008A1AF7"/>
    <w:rsid w:val="008A1CED"/>
    <w:rsid w:val="008A7551"/>
    <w:rsid w:val="008A7F96"/>
    <w:rsid w:val="008B590F"/>
    <w:rsid w:val="008C0AEF"/>
    <w:rsid w:val="008D4DF4"/>
    <w:rsid w:val="008D7D37"/>
    <w:rsid w:val="008E00E3"/>
    <w:rsid w:val="008F7947"/>
    <w:rsid w:val="008F794A"/>
    <w:rsid w:val="0091292B"/>
    <w:rsid w:val="00912BAD"/>
    <w:rsid w:val="00912FE4"/>
    <w:rsid w:val="00920BFE"/>
    <w:rsid w:val="0092389D"/>
    <w:rsid w:val="00924B1D"/>
    <w:rsid w:val="00925CB8"/>
    <w:rsid w:val="00926E1B"/>
    <w:rsid w:val="009318E8"/>
    <w:rsid w:val="009467CE"/>
    <w:rsid w:val="00951C8E"/>
    <w:rsid w:val="00952933"/>
    <w:rsid w:val="00953BF2"/>
    <w:rsid w:val="00964971"/>
    <w:rsid w:val="00973EAF"/>
    <w:rsid w:val="00980C01"/>
    <w:rsid w:val="009841EC"/>
    <w:rsid w:val="009A4991"/>
    <w:rsid w:val="009B4C90"/>
    <w:rsid w:val="009D1D61"/>
    <w:rsid w:val="009D498B"/>
    <w:rsid w:val="009E0FF1"/>
    <w:rsid w:val="009E49EB"/>
    <w:rsid w:val="009F648F"/>
    <w:rsid w:val="00A016EE"/>
    <w:rsid w:val="00A062F7"/>
    <w:rsid w:val="00A06412"/>
    <w:rsid w:val="00A1152E"/>
    <w:rsid w:val="00A15B97"/>
    <w:rsid w:val="00A226F3"/>
    <w:rsid w:val="00A241F8"/>
    <w:rsid w:val="00A320E4"/>
    <w:rsid w:val="00A35DB6"/>
    <w:rsid w:val="00A408AE"/>
    <w:rsid w:val="00A5042D"/>
    <w:rsid w:val="00A554D4"/>
    <w:rsid w:val="00A67673"/>
    <w:rsid w:val="00A71728"/>
    <w:rsid w:val="00A71D1D"/>
    <w:rsid w:val="00A72EC0"/>
    <w:rsid w:val="00A81234"/>
    <w:rsid w:val="00A82E30"/>
    <w:rsid w:val="00A92E30"/>
    <w:rsid w:val="00AA271B"/>
    <w:rsid w:val="00AA6D00"/>
    <w:rsid w:val="00AA7B6F"/>
    <w:rsid w:val="00AB5354"/>
    <w:rsid w:val="00AB793D"/>
    <w:rsid w:val="00AC0E64"/>
    <w:rsid w:val="00AD402C"/>
    <w:rsid w:val="00AE6F5B"/>
    <w:rsid w:val="00AF1988"/>
    <w:rsid w:val="00AF597C"/>
    <w:rsid w:val="00B11C38"/>
    <w:rsid w:val="00B13AB5"/>
    <w:rsid w:val="00B30875"/>
    <w:rsid w:val="00B36577"/>
    <w:rsid w:val="00B434E9"/>
    <w:rsid w:val="00B438DB"/>
    <w:rsid w:val="00B45FE2"/>
    <w:rsid w:val="00B46687"/>
    <w:rsid w:val="00B50C75"/>
    <w:rsid w:val="00B63263"/>
    <w:rsid w:val="00B63E8F"/>
    <w:rsid w:val="00B70AAC"/>
    <w:rsid w:val="00B712B1"/>
    <w:rsid w:val="00B72271"/>
    <w:rsid w:val="00BA0054"/>
    <w:rsid w:val="00BC1EC4"/>
    <w:rsid w:val="00BC76E2"/>
    <w:rsid w:val="00BE40A6"/>
    <w:rsid w:val="00BF32B2"/>
    <w:rsid w:val="00C1531F"/>
    <w:rsid w:val="00C16269"/>
    <w:rsid w:val="00C2715D"/>
    <w:rsid w:val="00C32412"/>
    <w:rsid w:val="00C3571A"/>
    <w:rsid w:val="00C53E37"/>
    <w:rsid w:val="00C63D0C"/>
    <w:rsid w:val="00C75540"/>
    <w:rsid w:val="00C90E57"/>
    <w:rsid w:val="00C912E2"/>
    <w:rsid w:val="00C967D5"/>
    <w:rsid w:val="00CA11D0"/>
    <w:rsid w:val="00CC2751"/>
    <w:rsid w:val="00CC37B4"/>
    <w:rsid w:val="00CC3D62"/>
    <w:rsid w:val="00CE2DC7"/>
    <w:rsid w:val="00CF7868"/>
    <w:rsid w:val="00D006C7"/>
    <w:rsid w:val="00D031B3"/>
    <w:rsid w:val="00D16262"/>
    <w:rsid w:val="00D16B69"/>
    <w:rsid w:val="00D27C5A"/>
    <w:rsid w:val="00D339B0"/>
    <w:rsid w:val="00D5070C"/>
    <w:rsid w:val="00D50F05"/>
    <w:rsid w:val="00D5211B"/>
    <w:rsid w:val="00D60AFA"/>
    <w:rsid w:val="00D62F92"/>
    <w:rsid w:val="00D64E39"/>
    <w:rsid w:val="00D71AF7"/>
    <w:rsid w:val="00D73BF8"/>
    <w:rsid w:val="00D77B64"/>
    <w:rsid w:val="00D80968"/>
    <w:rsid w:val="00D94BB8"/>
    <w:rsid w:val="00D97908"/>
    <w:rsid w:val="00DA040A"/>
    <w:rsid w:val="00DA6C6A"/>
    <w:rsid w:val="00DB49D0"/>
    <w:rsid w:val="00DB7BA9"/>
    <w:rsid w:val="00DC16C5"/>
    <w:rsid w:val="00DC56D1"/>
    <w:rsid w:val="00DD0481"/>
    <w:rsid w:val="00DD6BD3"/>
    <w:rsid w:val="00DE6C4E"/>
    <w:rsid w:val="00DE7EDE"/>
    <w:rsid w:val="00DF01DC"/>
    <w:rsid w:val="00DF022C"/>
    <w:rsid w:val="00E03B3D"/>
    <w:rsid w:val="00E07C43"/>
    <w:rsid w:val="00E12522"/>
    <w:rsid w:val="00E12AF4"/>
    <w:rsid w:val="00E133E6"/>
    <w:rsid w:val="00E36B73"/>
    <w:rsid w:val="00E40388"/>
    <w:rsid w:val="00E44BED"/>
    <w:rsid w:val="00E4787B"/>
    <w:rsid w:val="00E50643"/>
    <w:rsid w:val="00E77CFB"/>
    <w:rsid w:val="00E97A8C"/>
    <w:rsid w:val="00EA0202"/>
    <w:rsid w:val="00EA1269"/>
    <w:rsid w:val="00EA713D"/>
    <w:rsid w:val="00EB2F9F"/>
    <w:rsid w:val="00EB33FE"/>
    <w:rsid w:val="00EC002B"/>
    <w:rsid w:val="00EC5D74"/>
    <w:rsid w:val="00EC7B32"/>
    <w:rsid w:val="00ED2343"/>
    <w:rsid w:val="00ED4BBB"/>
    <w:rsid w:val="00ED5787"/>
    <w:rsid w:val="00EF4170"/>
    <w:rsid w:val="00EF79A8"/>
    <w:rsid w:val="00F05CCD"/>
    <w:rsid w:val="00F13523"/>
    <w:rsid w:val="00F1787A"/>
    <w:rsid w:val="00F17F45"/>
    <w:rsid w:val="00F23218"/>
    <w:rsid w:val="00F2435E"/>
    <w:rsid w:val="00F25293"/>
    <w:rsid w:val="00F32BBD"/>
    <w:rsid w:val="00F3700B"/>
    <w:rsid w:val="00F4006E"/>
    <w:rsid w:val="00F61480"/>
    <w:rsid w:val="00F66836"/>
    <w:rsid w:val="00F7103F"/>
    <w:rsid w:val="00F7630F"/>
    <w:rsid w:val="00F80AD3"/>
    <w:rsid w:val="00F82D85"/>
    <w:rsid w:val="00F84979"/>
    <w:rsid w:val="00F91000"/>
    <w:rsid w:val="00F92520"/>
    <w:rsid w:val="00F95946"/>
    <w:rsid w:val="00FB49F4"/>
    <w:rsid w:val="00FD6E32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221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3157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20363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2491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80B11-F087-4F1A-A791-9B47873A3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PATHOLOGY AND LABOROTORY MEDICINE SERVICE</vt:lpstr>
    </vt:vector>
  </TitlesOfParts>
  <Company>VA Medical Center</Company>
  <LinksUpToDate>false</LinksUpToDate>
  <CharactersWithSpaces>9490</CharactersWithSpaces>
  <SharedDoc>false</SharedDoc>
  <HLinks>
    <vt:vector size="6" baseType="variant"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http://www.siemens.com/diagnostics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PATHOLOGY AND LABOROTORY MEDICINE SERVICE</dc:title>
  <dc:creator>West Palm Beach</dc:creator>
  <cp:lastModifiedBy>yorlab2</cp:lastModifiedBy>
  <cp:revision>6</cp:revision>
  <cp:lastPrinted>2018-08-15T20:11:00Z</cp:lastPrinted>
  <dcterms:created xsi:type="dcterms:W3CDTF">2018-08-15T20:07:00Z</dcterms:created>
  <dcterms:modified xsi:type="dcterms:W3CDTF">2018-10-19T21:31:00Z</dcterms:modified>
</cp:coreProperties>
</file>