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0303B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AE671A4" wp14:editId="35A284FC">
            <wp:extent cx="2095500" cy="571500"/>
            <wp:effectExtent l="0" t="0" r="0" b="0"/>
            <wp:docPr id="10" name="Picture 10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B1" w:rsidRPr="00267D3D" w:rsidRDefault="000303B1">
      <w:pPr>
        <w:rPr>
          <w:b/>
          <w:sz w:val="28"/>
          <w:szCs w:val="28"/>
        </w:rPr>
      </w:pPr>
    </w:p>
    <w:p w:rsidR="00267D3D" w:rsidRPr="00267D3D" w:rsidRDefault="001C21ED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LIPASE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C32412">
        <w:rPr>
          <w:b/>
          <w:sz w:val="28"/>
          <w:szCs w:val="28"/>
        </w:rPr>
        <w:t xml:space="preserve"> 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DC16C5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The Lipase assay is used for the quanti</w:t>
      </w:r>
      <w:r w:rsidR="002822E3">
        <w:rPr>
          <w:rFonts w:eastAsia="HelenPro-Regular"/>
        </w:rPr>
        <w:t xml:space="preserve">tation of lipase in human serum </w:t>
      </w:r>
      <w:r w:rsidRPr="002822E3">
        <w:rPr>
          <w:rFonts w:eastAsia="HelenPro-Regular"/>
        </w:rPr>
        <w:t>or plasma.</w:t>
      </w:r>
    </w:p>
    <w:p w:rsidR="0060509E" w:rsidRDefault="0060509E" w:rsidP="006107A2">
      <w:pPr>
        <w:jc w:val="both"/>
        <w:rPr>
          <w:b/>
          <w:sz w:val="28"/>
          <w:szCs w:val="28"/>
        </w:rPr>
      </w:pPr>
    </w:p>
    <w:p w:rsidR="0009322F" w:rsidRPr="00DB7BA9" w:rsidRDefault="006559EB" w:rsidP="006107A2">
      <w:pPr>
        <w:jc w:val="both"/>
        <w:rPr>
          <w:sz w:val="28"/>
          <w:szCs w:val="28"/>
        </w:rPr>
      </w:pPr>
      <w:r w:rsidRPr="00DB7BA9">
        <w:rPr>
          <w:b/>
          <w:sz w:val="28"/>
          <w:szCs w:val="28"/>
        </w:rPr>
        <w:t>Clinical Significance</w:t>
      </w:r>
      <w:r w:rsidR="006107A2" w:rsidRPr="00DB7BA9">
        <w:rPr>
          <w:sz w:val="28"/>
          <w:szCs w:val="28"/>
        </w:rPr>
        <w:t xml:space="preserve"> 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Pancreatic lipase in serum and pl</w:t>
      </w:r>
      <w:r w:rsidR="002822E3">
        <w:rPr>
          <w:rFonts w:eastAsia="HelenPro-Regular"/>
        </w:rPr>
        <w:t xml:space="preserve">asma is closely associated with </w:t>
      </w:r>
      <w:r w:rsidRPr="002822E3">
        <w:rPr>
          <w:rFonts w:eastAsia="HelenPro-Regular"/>
        </w:rPr>
        <w:t>pancreatic diseases. The activity of this enzyme has been measured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as an important marker for diagnosing pancreatic diseases and the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associated monitoring of therapeutic effects. Pancreatic lipase test kits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 xml:space="preserve">currently available include a </w:t>
      </w:r>
      <w:proofErr w:type="spellStart"/>
      <w:r w:rsidRPr="002822E3">
        <w:rPr>
          <w:rFonts w:eastAsia="HelenPro-Regular"/>
        </w:rPr>
        <w:t>turbidimetric</w:t>
      </w:r>
      <w:proofErr w:type="spellEnd"/>
      <w:r w:rsidRPr="002822E3">
        <w:rPr>
          <w:rFonts w:eastAsia="HelenPro-Regular"/>
        </w:rPr>
        <w:t xml:space="preserve"> method using triglyceride as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substrate and a colorimetric method using synthetic substrates. These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methods, however: 1) lack precision ne</w:t>
      </w:r>
      <w:r w:rsidR="002822E3">
        <w:rPr>
          <w:rFonts w:eastAsia="HelenPro-Regular"/>
        </w:rPr>
        <w:t xml:space="preserve">ar the normal level; 2) exhibit </w:t>
      </w:r>
      <w:r w:rsidRPr="002822E3">
        <w:rPr>
          <w:rFonts w:eastAsia="HelenPro-Regular"/>
        </w:rPr>
        <w:t>poor reproducibility; and 3) are affected by other enzymes such as</w:t>
      </w:r>
      <w:r w:rsidR="002822E3">
        <w:rPr>
          <w:rFonts w:eastAsia="HelenPro-Regular"/>
        </w:rPr>
        <w:t xml:space="preserve"> </w:t>
      </w:r>
      <w:proofErr w:type="spellStart"/>
      <w:r w:rsidRPr="002822E3">
        <w:rPr>
          <w:rFonts w:eastAsia="HelenPro-Regular"/>
        </w:rPr>
        <w:t>esterases</w:t>
      </w:r>
      <w:proofErr w:type="spellEnd"/>
      <w:r w:rsidRPr="002822E3">
        <w:rPr>
          <w:rFonts w:eastAsia="HelenPro-Regular"/>
        </w:rPr>
        <w:t>.</w:t>
      </w:r>
    </w:p>
    <w:p w:rsidR="00A062F7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The enzymatic color rate assay use</w:t>
      </w:r>
      <w:r w:rsidR="002822E3">
        <w:rPr>
          <w:rFonts w:eastAsia="HelenPro-Regular"/>
        </w:rPr>
        <w:t xml:space="preserve">s a clear substrate solution of </w:t>
      </w:r>
      <w:r w:rsidRPr="002822E3">
        <w:rPr>
          <w:rFonts w:eastAsia="HelenPro-Regular"/>
        </w:rPr>
        <w:t>1,2</w:t>
      </w:r>
      <w:r w:rsidRPr="002822E3">
        <w:rPr>
          <w:rFonts w:ascii="MS Mincho" w:eastAsia="MS Mincho" w:hAnsi="MS Mincho" w:cs="MS Mincho" w:hint="eastAsia"/>
        </w:rPr>
        <w:t>‑</w:t>
      </w:r>
      <w:r w:rsidRPr="002822E3">
        <w:rPr>
          <w:rFonts w:eastAsia="HelenPro-Regular"/>
        </w:rPr>
        <w:t>diglyceride, which is a ‘natural’ substrate. The assay is highly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 xml:space="preserve">sensitive and specific for pancreatic lipase, using </w:t>
      </w:r>
      <w:proofErr w:type="spellStart"/>
      <w:r w:rsidRPr="002822E3">
        <w:rPr>
          <w:rFonts w:eastAsia="HelenPro-Regular"/>
        </w:rPr>
        <w:t>colipase</w:t>
      </w:r>
      <w:proofErr w:type="spellEnd"/>
      <w:r w:rsidRPr="002822E3">
        <w:rPr>
          <w:rFonts w:eastAsia="HelenPro-Regular"/>
        </w:rPr>
        <w:t xml:space="preserve"> and</w:t>
      </w:r>
      <w:r w:rsidR="002822E3">
        <w:rPr>
          <w:rFonts w:eastAsia="HelenPro-Regular"/>
        </w:rPr>
        <w:t xml:space="preserve"> </w:t>
      </w:r>
      <w:proofErr w:type="spellStart"/>
      <w:r w:rsidRPr="002822E3">
        <w:rPr>
          <w:rFonts w:eastAsia="HelenPro-Regular"/>
        </w:rPr>
        <w:t>deoxycholate</w:t>
      </w:r>
      <w:proofErr w:type="spellEnd"/>
      <w:r w:rsidRPr="002822E3">
        <w:rPr>
          <w:rFonts w:eastAsia="HelenPro-Regular"/>
        </w:rPr>
        <w:t xml:space="preserve"> as activators.</w:t>
      </w:r>
    </w:p>
    <w:p w:rsidR="00B81E9E" w:rsidRDefault="00B81E9E" w:rsidP="008A7F96">
      <w:pPr>
        <w:jc w:val="both"/>
        <w:rPr>
          <w:b/>
          <w:sz w:val="28"/>
          <w:szCs w:val="28"/>
        </w:rPr>
      </w:pPr>
    </w:p>
    <w:p w:rsidR="008A7F96" w:rsidRPr="00DB7BA9" w:rsidRDefault="008A7F96" w:rsidP="008A7F96">
      <w:pPr>
        <w:jc w:val="both"/>
        <w:rPr>
          <w:color w:val="FF0000"/>
          <w:sz w:val="28"/>
          <w:szCs w:val="28"/>
        </w:rPr>
      </w:pPr>
      <w:r w:rsidRPr="00DB7BA9">
        <w:rPr>
          <w:b/>
          <w:sz w:val="28"/>
          <w:szCs w:val="28"/>
        </w:rPr>
        <w:t>Principle</w:t>
      </w:r>
      <w:r w:rsidRPr="00DB7BA9">
        <w:rPr>
          <w:sz w:val="28"/>
          <w:szCs w:val="28"/>
        </w:rPr>
        <w:t xml:space="preserve"> </w:t>
      </w:r>
    </w:p>
    <w:p w:rsidR="008A7F96" w:rsidRPr="00DB7BA9" w:rsidRDefault="008A7F96" w:rsidP="008A7F96">
      <w:pPr>
        <w:jc w:val="both"/>
      </w:pP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Lipase acts on a natural substrat</w:t>
      </w:r>
      <w:r w:rsidR="002822E3">
        <w:rPr>
          <w:rFonts w:eastAsia="HelenPro-Regular"/>
        </w:rPr>
        <w:t xml:space="preserve">e, 1,2-diglyceride, to liberate </w:t>
      </w:r>
      <w:r w:rsidRPr="002822E3">
        <w:rPr>
          <w:rFonts w:eastAsia="HelenPro-Regular"/>
        </w:rPr>
        <w:t>2</w:t>
      </w:r>
      <w:r w:rsidRPr="002822E3">
        <w:rPr>
          <w:rFonts w:ascii="MS Mincho" w:eastAsia="MS Mincho" w:hAnsi="MS Mincho" w:cs="MS Mincho" w:hint="eastAsia"/>
        </w:rPr>
        <w:t>‑</w:t>
      </w:r>
      <w:r w:rsidRPr="002822E3">
        <w:rPr>
          <w:rFonts w:eastAsia="HelenPro-Regular"/>
        </w:rPr>
        <w:t xml:space="preserve">monoglyceride. This is hydrolyzed by </w:t>
      </w:r>
      <w:proofErr w:type="spellStart"/>
      <w:r w:rsidRPr="002822E3">
        <w:rPr>
          <w:rFonts w:eastAsia="HelenPro-Regular"/>
        </w:rPr>
        <w:t>monoglyceride</w:t>
      </w:r>
      <w:proofErr w:type="spellEnd"/>
      <w:r w:rsidRPr="002822E3">
        <w:rPr>
          <w:rFonts w:eastAsia="HelenPro-Regular"/>
        </w:rPr>
        <w:t xml:space="preserve"> lipase into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glycerol and free fatty acid. Glycerol kinase acts on glycerol to form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glycerol</w:t>
      </w:r>
      <w:r w:rsidRPr="002822E3">
        <w:rPr>
          <w:rFonts w:ascii="MS Mincho" w:eastAsia="MS Mincho" w:hAnsi="MS Mincho" w:cs="MS Mincho" w:hint="eastAsia"/>
        </w:rPr>
        <w:t>‑</w:t>
      </w:r>
      <w:r w:rsidRPr="002822E3">
        <w:rPr>
          <w:rFonts w:eastAsia="HelenPro-Regular"/>
        </w:rPr>
        <w:t>3</w:t>
      </w:r>
      <w:r w:rsidRPr="002822E3">
        <w:rPr>
          <w:rFonts w:ascii="MS Mincho" w:eastAsia="MS Mincho" w:hAnsi="MS Mincho" w:cs="MS Mincho" w:hint="eastAsia"/>
        </w:rPr>
        <w:t>‑</w:t>
      </w:r>
      <w:r w:rsidRPr="002822E3">
        <w:rPr>
          <w:rFonts w:eastAsia="HelenPro-Regular"/>
        </w:rPr>
        <w:t>phosphate which is in turn acted on by glycerol-3-phosphate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oxidase to generate hydrogen peroxide. Peroxidase converts the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hydrogen peroxide, 4</w:t>
      </w:r>
      <w:r w:rsidRPr="002822E3">
        <w:rPr>
          <w:rFonts w:ascii="MS Mincho" w:eastAsia="MS Mincho" w:hAnsi="MS Mincho" w:cs="MS Mincho" w:hint="eastAsia"/>
        </w:rPr>
        <w:t>‑</w:t>
      </w:r>
      <w:r w:rsidRPr="002822E3">
        <w:rPr>
          <w:rFonts w:eastAsia="HelenPro-Regular"/>
        </w:rPr>
        <w:t xml:space="preserve">aminoantipyrine, and </w:t>
      </w:r>
      <w:r w:rsidRPr="002822E3">
        <w:rPr>
          <w:rFonts w:eastAsia="HelenPro-Regular"/>
          <w:i/>
          <w:iCs/>
        </w:rPr>
        <w:t>N</w:t>
      </w:r>
      <w:r w:rsidRPr="002822E3">
        <w:rPr>
          <w:rFonts w:eastAsia="HelenPro-Regular"/>
        </w:rPr>
        <w:t>-ethyl-</w:t>
      </w:r>
      <w:r w:rsidRPr="002822E3">
        <w:rPr>
          <w:rFonts w:eastAsia="HelenPro-Regular"/>
          <w:i/>
          <w:iCs/>
        </w:rPr>
        <w:t>N</w:t>
      </w:r>
      <w:r w:rsidRPr="002822E3">
        <w:rPr>
          <w:rFonts w:eastAsia="HelenPro-Regular"/>
        </w:rPr>
        <w:t>-(2-hydroxy-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 xml:space="preserve">3-sulfopropyl)-m-toluidine (TOOS) into a </w:t>
      </w:r>
      <w:proofErr w:type="spellStart"/>
      <w:r w:rsidRPr="002822E3">
        <w:rPr>
          <w:rFonts w:eastAsia="HelenPro-Regular"/>
        </w:rPr>
        <w:t>quinone</w:t>
      </w:r>
      <w:proofErr w:type="spellEnd"/>
      <w:r w:rsidRPr="002822E3">
        <w:rPr>
          <w:rFonts w:eastAsia="HelenPro-Regular"/>
        </w:rPr>
        <w:t xml:space="preserve"> dye. The rate of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formation of the dye, measured as an increase in absorbance at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548 nm, is proportional to the lipase concentration in the sample.</w:t>
      </w:r>
    </w:p>
    <w:p w:rsidR="002822E3" w:rsidRDefault="002822E3" w:rsidP="00746B00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81E9E" w:rsidRPr="005A00BA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Bold"/>
          <w:b/>
          <w:bCs/>
        </w:rPr>
        <w:t xml:space="preserve">Methodology: </w:t>
      </w:r>
      <w:r w:rsidRPr="002822E3">
        <w:rPr>
          <w:rFonts w:eastAsia="HelenPro-Regular"/>
        </w:rPr>
        <w:t>Quinone Dye</w:t>
      </w:r>
      <w:r w:rsidR="00A747D3" w:rsidRPr="002822E3">
        <w:rPr>
          <w:rFonts w:eastAsia="HelenPro-Regular"/>
        </w:rPr>
        <w:t>.</w:t>
      </w:r>
    </w:p>
    <w:p w:rsidR="0012178C" w:rsidRDefault="0012178C" w:rsidP="00B81E9E">
      <w:pPr>
        <w:rPr>
          <w:rFonts w:eastAsia="HelenPro-Bold"/>
          <w:b/>
          <w:bCs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Serum and plasma are acceptable specimens.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 xml:space="preserve">• </w:t>
      </w:r>
      <w:r w:rsidRPr="002822E3">
        <w:rPr>
          <w:rFonts w:eastAsia="HelenPro-Bold"/>
          <w:b/>
          <w:bCs/>
        </w:rPr>
        <w:t xml:space="preserve">Serum: </w:t>
      </w:r>
      <w:r w:rsidRPr="002822E3">
        <w:rPr>
          <w:rFonts w:eastAsia="HelenPro-Regular"/>
        </w:rPr>
        <w:t>Use serum collected by s</w:t>
      </w:r>
      <w:r w:rsidR="002822E3">
        <w:rPr>
          <w:rFonts w:eastAsia="HelenPro-Regular"/>
        </w:rPr>
        <w:t xml:space="preserve">tandard venipuncture techniques </w:t>
      </w:r>
      <w:r w:rsidRPr="002822E3">
        <w:rPr>
          <w:rFonts w:eastAsia="HelenPro-Regular"/>
        </w:rPr>
        <w:t>into glass or plastic tubes with or without gel barriers. Ensure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complete clot formation has taken place prior to centrifugation.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Centrifuge according to tube manufacturer’s instructions to ensure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proper separation of serum from blood cells.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Some specimens, especiall</w:t>
      </w:r>
      <w:r w:rsidR="002822E3">
        <w:rPr>
          <w:rFonts w:eastAsia="HelenPro-Regular"/>
        </w:rPr>
        <w:t xml:space="preserve">y those from patients receiving </w:t>
      </w:r>
      <w:r w:rsidRPr="002822E3">
        <w:rPr>
          <w:rFonts w:eastAsia="HelenPro-Regular"/>
        </w:rPr>
        <w:t>anticoagulant or thrombolytic therapy, may take longer to complete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their clotting processes. Fibrin clots may subsequently form in these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sera and the clots could cause erroneous test results.</w:t>
      </w:r>
    </w:p>
    <w:p w:rsidR="001E0F5F" w:rsidRPr="005A00BA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lastRenderedPageBreak/>
        <w:t xml:space="preserve">• </w:t>
      </w:r>
      <w:r w:rsidRPr="002822E3">
        <w:rPr>
          <w:rFonts w:eastAsia="HelenPro-Bold"/>
          <w:b/>
          <w:bCs/>
        </w:rPr>
        <w:t xml:space="preserve">Plasma: </w:t>
      </w:r>
      <w:r w:rsidRPr="002822E3">
        <w:rPr>
          <w:rFonts w:eastAsia="HelenPro-Regular"/>
        </w:rPr>
        <w:t>Use plasma collected by s</w:t>
      </w:r>
      <w:r w:rsidR="002822E3">
        <w:rPr>
          <w:rFonts w:eastAsia="HelenPro-Regular"/>
        </w:rPr>
        <w:t xml:space="preserve">tandard venipuncture techniques </w:t>
      </w:r>
      <w:r w:rsidRPr="002822E3">
        <w:rPr>
          <w:rFonts w:eastAsia="HelenPro-Regular"/>
        </w:rPr>
        <w:t>into glass or plastic tubes. Acceptable anticoagulants are lithium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heparin (with or without gel barrier) and sodium heparin. Ensure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centrifugation is adequate to remove platelets. Centrifuge according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to tube manufacturer’s instructions to ensure proper separation of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plasma from blood cells.</w:t>
      </w:r>
      <w:r w:rsidR="00CE247E" w:rsidRPr="005A00BA">
        <w:rPr>
          <w:rFonts w:eastAsia="HelenPro-Regular"/>
        </w:rPr>
        <w:t xml:space="preserve"> </w:t>
      </w:r>
    </w:p>
    <w:p w:rsidR="000448CF" w:rsidRPr="001E0F5F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1E0F5F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1E0F5F">
        <w:rPr>
          <w:rFonts w:eastAsia="HelenPro-Regular"/>
          <w:b/>
        </w:rPr>
        <w:t>Specimen Storage</w:t>
      </w:r>
    </w:p>
    <w:p w:rsidR="00CE247E" w:rsidRPr="005A00BA" w:rsidRDefault="00746B00" w:rsidP="00A747D3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48DE3AAA" wp14:editId="352B3634">
            <wp:extent cx="2705100" cy="134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1" w:rsidRDefault="00316431" w:rsidP="00040E4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746B00" w:rsidRDefault="00F7103F" w:rsidP="00973EAF">
      <w:pPr>
        <w:ind w:firstLine="720"/>
      </w:pPr>
      <w:r w:rsidRPr="00B81E9E">
        <w:rPr>
          <w:rFonts w:eastAsia="HelenPro-Regular"/>
        </w:rPr>
        <w:t xml:space="preserve"> </w:t>
      </w:r>
      <w:r w:rsidR="00746B00" w:rsidRPr="00746B00">
        <w:rPr>
          <w:rFonts w:eastAsia="HelenPro-Regular"/>
        </w:rPr>
        <w:t>7D80 Lipase Reagent Kit</w:t>
      </w:r>
    </w:p>
    <w:p w:rsidR="0060509E" w:rsidRDefault="0060509E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316431" w:rsidRPr="00746B00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46B00">
        <w:rPr>
          <w:rFonts w:eastAsia="HelenPro-Regular"/>
        </w:rPr>
        <w:t xml:space="preserve">• </w:t>
      </w:r>
      <w:r w:rsidR="00746B00" w:rsidRPr="00746B00">
        <w:rPr>
          <w:rFonts w:eastAsia="HelenPro-Regular"/>
        </w:rPr>
        <w:t>3E16 Lipase Calibrator</w:t>
      </w:r>
    </w:p>
    <w:p w:rsidR="00746B00" w:rsidRPr="00746B00" w:rsidRDefault="00DC16C5" w:rsidP="00746B00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746B00">
        <w:rPr>
          <w:rFonts w:eastAsia="HelenPro-Regular"/>
        </w:rPr>
        <w:t xml:space="preserve">• </w:t>
      </w:r>
      <w:r w:rsidR="00746B00" w:rsidRPr="00746B00">
        <w:rPr>
          <w:rFonts w:eastAsia="HelenPro-Regular"/>
        </w:rPr>
        <w:t>Control Material</w:t>
      </w:r>
    </w:p>
    <w:p w:rsidR="00C32412" w:rsidRPr="00746B00" w:rsidRDefault="00746B00" w:rsidP="00746B00">
      <w:pPr>
        <w:autoSpaceDE w:val="0"/>
        <w:autoSpaceDN w:val="0"/>
        <w:adjustRightInd w:val="0"/>
        <w:ind w:left="720"/>
        <w:rPr>
          <w:rFonts w:eastAsia="HelenPro-Regular"/>
        </w:rPr>
      </w:pPr>
      <w:r w:rsidRPr="00746B00">
        <w:rPr>
          <w:rFonts w:eastAsia="HelenPro-Regular"/>
        </w:rPr>
        <w:t>• 2J94 Detergent B</w:t>
      </w:r>
    </w:p>
    <w:p w:rsidR="000448CF" w:rsidRPr="000448CF" w:rsidRDefault="000448CF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448CF">
        <w:rPr>
          <w:rFonts w:eastAsia="HelenPro-Regular"/>
        </w:rPr>
        <w:t xml:space="preserve">• Saline (0.85% to 0.90% </w:t>
      </w:r>
      <w:proofErr w:type="spellStart"/>
      <w:r w:rsidRPr="000448CF">
        <w:rPr>
          <w:rFonts w:eastAsia="HelenPro-Regular"/>
        </w:rPr>
        <w:t>NaCl</w:t>
      </w:r>
      <w:proofErr w:type="spellEnd"/>
      <w:r w:rsidRPr="000448CF">
        <w:rPr>
          <w:rFonts w:eastAsia="HelenPro-Regular"/>
        </w:rPr>
        <w:t>) for specimens that require dilution</w:t>
      </w:r>
    </w:p>
    <w:p w:rsidR="0012178C" w:rsidRDefault="0012178C" w:rsidP="00507B0C">
      <w:pPr>
        <w:rPr>
          <w:b/>
          <w:sz w:val="28"/>
          <w:szCs w:val="28"/>
        </w:rPr>
      </w:pPr>
    </w:p>
    <w:p w:rsidR="002822E3" w:rsidRDefault="002822E3" w:rsidP="00507B0C">
      <w:pPr>
        <w:rPr>
          <w:b/>
          <w:sz w:val="28"/>
          <w:szCs w:val="28"/>
        </w:rPr>
      </w:pPr>
    </w:p>
    <w:p w:rsidR="002822E3" w:rsidRDefault="002822E3" w:rsidP="00507B0C">
      <w:pPr>
        <w:rPr>
          <w:b/>
          <w:sz w:val="28"/>
          <w:szCs w:val="28"/>
        </w:rPr>
      </w:pPr>
    </w:p>
    <w:p w:rsidR="002822E3" w:rsidRDefault="002822E3" w:rsidP="00507B0C">
      <w:pPr>
        <w:rPr>
          <w:b/>
          <w:sz w:val="28"/>
          <w:szCs w:val="28"/>
        </w:rPr>
      </w:pPr>
    </w:p>
    <w:p w:rsidR="002822E3" w:rsidRDefault="002822E3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Do not mix reagents prepared at different times.</w:t>
      </w:r>
    </w:p>
    <w:p w:rsidR="00746B00" w:rsidRPr="00DC16C5" w:rsidRDefault="00746B00" w:rsidP="002822E3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lastRenderedPageBreak/>
        <w:t xml:space="preserve">• Do not reuse the reagent containers, bottles, </w:t>
      </w:r>
      <w:r w:rsidR="002822E3">
        <w:rPr>
          <w:rFonts w:eastAsia="HelenPro-Regular"/>
        </w:rPr>
        <w:t xml:space="preserve">caps, or plugs due to </w:t>
      </w:r>
      <w:r w:rsidRPr="002822E3">
        <w:rPr>
          <w:rFonts w:eastAsia="HelenPro-Regular"/>
        </w:rPr>
        <w:t>the risk of contamination and the potential to compromise reagent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performance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Default="00746B00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2574EE38" wp14:editId="61D2F0B3">
            <wp:extent cx="402907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B00" w:rsidRDefault="00746B00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76C3BA52" wp14:editId="39517B5E">
            <wp:extent cx="4057650" cy="828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7E" w:rsidRDefault="00CE247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CE247E" w:rsidRPr="001E0F5F" w:rsidRDefault="008C284E" w:rsidP="00CE247E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•R1</w:t>
      </w:r>
      <w:r w:rsidR="00CE247E" w:rsidRPr="001E0F5F">
        <w:rPr>
          <w:rFonts w:eastAsia="HelenPro-Regular"/>
        </w:rPr>
        <w:t xml:space="preserve"> Ready for use.</w:t>
      </w:r>
    </w:p>
    <w:p w:rsidR="00CE247E" w:rsidRPr="001E0F5F" w:rsidRDefault="00CE247E" w:rsidP="00CE247E">
      <w:pPr>
        <w:autoSpaceDE w:val="0"/>
        <w:autoSpaceDN w:val="0"/>
        <w:adjustRightInd w:val="0"/>
        <w:rPr>
          <w:rFonts w:eastAsia="HelenPro-Regular"/>
        </w:rPr>
      </w:pPr>
      <w:r w:rsidRPr="001E0F5F">
        <w:rPr>
          <w:rFonts w:eastAsia="HelenPro-Regular"/>
        </w:rPr>
        <w:t>• R2 Ready for use. Invert to mix well before first use. Avoid</w:t>
      </w:r>
      <w:r w:rsidR="001E0F5F">
        <w:rPr>
          <w:rFonts w:eastAsia="HelenPro-Regular"/>
        </w:rPr>
        <w:t xml:space="preserve"> </w:t>
      </w:r>
      <w:r w:rsidRPr="001E0F5F">
        <w:rPr>
          <w:rFonts w:eastAsia="HelenPro-Regular"/>
        </w:rPr>
        <w:t>the formation of foam.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• Remove air bubbles, if present i</w:t>
      </w:r>
      <w:r>
        <w:rPr>
          <w:rFonts w:eastAsia="HelenPro-Regular"/>
        </w:rPr>
        <w:t xml:space="preserve">n the reagent cartridge, with a </w:t>
      </w:r>
      <w:r w:rsidRPr="00C32412">
        <w:rPr>
          <w:rFonts w:eastAsia="HelenPro-Regular"/>
        </w:rPr>
        <w:t>new applicator stick. Alternatively, allow the reagent to sit at the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appropriate storage temperature to allow the bubbles to dissipate.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To minimize volume depletion, do not u</w:t>
      </w:r>
      <w:r>
        <w:rPr>
          <w:rFonts w:eastAsia="HelenPro-Regular"/>
        </w:rPr>
        <w:t xml:space="preserve">se a transfer pipette to remove </w:t>
      </w:r>
      <w:r w:rsidRPr="00C32412">
        <w:rPr>
          <w:rFonts w:eastAsia="HelenPro-Regular"/>
        </w:rPr>
        <w:t>the bubbles.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CAUTION: </w:t>
      </w:r>
      <w:r w:rsidRPr="00C32412">
        <w:rPr>
          <w:rFonts w:eastAsia="HelenPro-Regular"/>
        </w:rPr>
        <w:t>Reagent bubbles may interfere with proper detection of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that could impact results.</w:t>
      </w:r>
    </w:p>
    <w:p w:rsidR="002D6FB9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E0F5F" w:rsidRDefault="001E0F5F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746B00">
        <w:rPr>
          <w:rFonts w:eastAsia="HelenPro-Regular"/>
        </w:rPr>
        <w:t>11</w:t>
      </w:r>
      <w:r w:rsidRPr="00C32412">
        <w:rPr>
          <w:rFonts w:eastAsia="HelenPro-Regular"/>
        </w:rPr>
        <w:t xml:space="preserve"> 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>at 2 to 8°C.</w:t>
      </w:r>
    </w:p>
    <w:p w:rsidR="00746B00" w:rsidRDefault="00746B00" w:rsidP="00C32412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140F51B3" wp14:editId="57DF633F">
            <wp:extent cx="4162425" cy="3390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76A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Pr="00D64E39" w:rsidRDefault="00746B00" w:rsidP="005A00BA">
      <w:pPr>
        <w:autoSpaceDE w:val="0"/>
        <w:autoSpaceDN w:val="0"/>
        <w:adjustRightInd w:val="0"/>
        <w:rPr>
          <w:rFonts w:eastAsia="HelenPro-Regular"/>
        </w:rPr>
      </w:pPr>
      <w:r w:rsidRPr="00746B00">
        <w:rPr>
          <w:rFonts w:eastAsia="HelenPro-Regular"/>
        </w:rPr>
        <w:t>7D80-31 Lipase is supplied as a two-reagent kit which contains:</w:t>
      </w:r>
      <w:r w:rsidR="0083638D" w:rsidRPr="005A00BA">
        <w:rPr>
          <w:rFonts w:eastAsia="HelenPro-Regular"/>
          <w:b/>
          <w:bCs/>
        </w:rPr>
        <w:t xml:space="preserve"> </w:t>
      </w:r>
      <w:r>
        <w:rPr>
          <w:rFonts w:eastAsia="HelenPro-Regular"/>
          <w:b/>
          <w:bCs/>
        </w:rPr>
        <w:t xml:space="preserve">R1, R1A </w:t>
      </w:r>
      <w:r w:rsidR="00020469">
        <w:rPr>
          <w:rFonts w:eastAsia="HelenPro-Regular"/>
          <w:b/>
          <w:bCs/>
        </w:rPr>
        <w:t>&amp; R2</w:t>
      </w:r>
    </w:p>
    <w:p w:rsidR="00D64E39" w:rsidRPr="00E54019" w:rsidRDefault="00746B00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5C9705F5" wp14:editId="4813DC20">
            <wp:extent cx="4238625" cy="3124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Pr="005E0826" w:rsidRDefault="00AB793D" w:rsidP="00AB793D">
      <w:pPr>
        <w:rPr>
          <w:rFonts w:eastAsia="HelenPro-Regular"/>
        </w:rPr>
      </w:pPr>
    </w:p>
    <w:p w:rsidR="009F648F" w:rsidRPr="009F648F" w:rsidRDefault="009F648F" w:rsidP="009F648F">
      <w:pPr>
        <w:pStyle w:val="txt"/>
        <w:ind w:left="0"/>
        <w:rPr>
          <w:sz w:val="24"/>
          <w:szCs w:val="24"/>
        </w:rPr>
      </w:pPr>
    </w:p>
    <w:p w:rsidR="00C3571A" w:rsidRPr="00C3571A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746B00" w:rsidRPr="002822E3">
        <w:rPr>
          <w:rFonts w:eastAsia="HelenPro-Regular"/>
        </w:rPr>
        <w:t>3E16 Lipase Calibrator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1E0F5F" w:rsidRDefault="00B36577" w:rsidP="001E0F5F">
      <w:pPr>
        <w:autoSpaceDE w:val="0"/>
        <w:autoSpaceDN w:val="0"/>
        <w:adjustRightInd w:val="0"/>
        <w:rPr>
          <w:rFonts w:eastAsia="HelenPro-Regular"/>
        </w:rPr>
      </w:pPr>
      <w:r w:rsidRPr="007E4CE6">
        <w:rPr>
          <w:b/>
          <w:szCs w:val="14"/>
        </w:rPr>
        <w:lastRenderedPageBreak/>
        <w:t>Quality Control:</w:t>
      </w:r>
      <w:r w:rsidR="00CA11D0" w:rsidRPr="007E4CE6">
        <w:rPr>
          <w:szCs w:val="14"/>
        </w:rPr>
        <w:t xml:space="preserve"> </w:t>
      </w:r>
      <w:r w:rsidR="00194250">
        <w:rPr>
          <w:szCs w:val="14"/>
        </w:rPr>
        <w:t xml:space="preserve">Minimum 2 levels of </w:t>
      </w:r>
      <w:r w:rsidR="00194250" w:rsidRPr="00162EEA">
        <w:t>Chemistry</w:t>
      </w:r>
      <w:r w:rsidR="00194250" w:rsidRPr="00162EEA">
        <w:rPr>
          <w:b/>
        </w:rPr>
        <w:t xml:space="preserve"> </w:t>
      </w:r>
      <w:r w:rsidR="00194250" w:rsidRPr="00162EEA">
        <w:t>Control</w:t>
      </w:r>
      <w:r w:rsidR="00194250">
        <w:t xml:space="preserve"> (Normal and Abnormal)</w:t>
      </w:r>
      <w:r w:rsidR="00CA11D0" w:rsidRPr="007E4CE6">
        <w:rPr>
          <w:szCs w:val="14"/>
        </w:rPr>
        <w:t xml:space="preserve"> </w:t>
      </w:r>
      <w:bookmarkStart w:id="0" w:name="_GoBack"/>
      <w:bookmarkEnd w:id="0"/>
    </w:p>
    <w:p w:rsidR="00316431" w:rsidRDefault="00316431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Pr="00316431" w:rsidRDefault="00E4787B" w:rsidP="0031643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4787B">
        <w:t xml:space="preserve">Calibration is stable for </w:t>
      </w:r>
      <w:r w:rsidR="00746B00">
        <w:t>11</w:t>
      </w:r>
      <w:r w:rsidRPr="00E4787B">
        <w:t xml:space="preserve"> days </w:t>
      </w:r>
      <w:r w:rsidR="00AF597C" w:rsidRPr="0055619E">
        <w:t>for any one lot.</w:t>
      </w:r>
      <w:r>
        <w:t xml:space="preserve"> </w:t>
      </w:r>
      <w:r w:rsidR="00316431" w:rsidRPr="00316431">
        <w:rPr>
          <w:rFonts w:eastAsia="HelenPro-Regular"/>
        </w:rPr>
        <w:t>Calibration</w:t>
      </w:r>
      <w:r w:rsidR="00316431">
        <w:rPr>
          <w:rFonts w:eastAsia="HelenPro-Regular"/>
        </w:rPr>
        <w:t xml:space="preserve"> </w:t>
      </w:r>
      <w:r w:rsidR="00316431" w:rsidRPr="00316431">
        <w:rPr>
          <w:rFonts w:eastAsia="HelenPro-Regular"/>
        </w:rPr>
        <w:t>is required with each change in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Pr="00973EA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E4CE6">
        <w:rPr>
          <w:b/>
        </w:rPr>
        <w:t>Calibrator Required:</w:t>
      </w:r>
      <w:r w:rsidRPr="007E4CE6">
        <w:t xml:space="preserve">  </w:t>
      </w:r>
      <w:r w:rsidR="00746B00" w:rsidRPr="002822E3">
        <w:rPr>
          <w:rFonts w:eastAsia="HelenPro-Regular"/>
        </w:rPr>
        <w:t>3E16 Lipase Calibrator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1E0F5F" w:rsidRDefault="0025031C" w:rsidP="004F5F8A">
      <w:pPr>
        <w:ind w:firstLine="720"/>
        <w:rPr>
          <w:b/>
        </w:rPr>
      </w:pPr>
      <w:r w:rsidRPr="001E0F5F">
        <w:rPr>
          <w:b/>
        </w:rPr>
        <w:t>Reagents:</w:t>
      </w:r>
    </w:p>
    <w:p w:rsidR="001E0F5F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 xml:space="preserve">Lipase Calibrator (lyophilized) </w:t>
      </w:r>
      <w:r>
        <w:rPr>
          <w:rFonts w:eastAsia="HelenPro-Regular"/>
        </w:rPr>
        <w:t xml:space="preserve">is prepared from purified human </w:t>
      </w:r>
      <w:r w:rsidRPr="002822E3">
        <w:rPr>
          <w:rFonts w:eastAsia="HelenPro-Regular"/>
        </w:rPr>
        <w:t>pancreatic lipase. Preservatives are also present.</w:t>
      </w:r>
    </w:p>
    <w:p w:rsidR="001E0F5F" w:rsidRPr="002822E3" w:rsidRDefault="001E0F5F" w:rsidP="00F3700B">
      <w:pPr>
        <w:ind w:left="720"/>
        <w:rPr>
          <w:b/>
        </w:rPr>
      </w:pPr>
    </w:p>
    <w:p w:rsidR="00F3700B" w:rsidRPr="002822E3" w:rsidRDefault="0037463A" w:rsidP="00F3700B">
      <w:pPr>
        <w:ind w:left="720"/>
      </w:pPr>
      <w:r w:rsidRPr="002822E3">
        <w:rPr>
          <w:b/>
        </w:rPr>
        <w:t xml:space="preserve">Calibrator Preparation: </w:t>
      </w:r>
    </w:p>
    <w:p w:rsidR="00DC4702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>Reconstitute the lyophilized calibrator</w:t>
      </w:r>
      <w:r>
        <w:rPr>
          <w:rFonts w:eastAsia="HelenPro-Regular"/>
        </w:rPr>
        <w:t xml:space="preserve"> by adding 3 mL of distilled or </w:t>
      </w:r>
      <w:r w:rsidRPr="002822E3">
        <w:rPr>
          <w:rFonts w:eastAsia="HelenPro-Regular"/>
        </w:rPr>
        <w:t>deionized water. Dissolve completely before use.</w:t>
      </w:r>
    </w:p>
    <w:p w:rsidR="002822E3" w:rsidRDefault="002822E3" w:rsidP="001E0F5F">
      <w:pPr>
        <w:autoSpaceDE w:val="0"/>
        <w:autoSpaceDN w:val="0"/>
        <w:adjustRightInd w:val="0"/>
        <w:ind w:left="720"/>
        <w:rPr>
          <w:rFonts w:eastAsia="HelenPro-Regular"/>
          <w:b/>
        </w:rPr>
      </w:pPr>
    </w:p>
    <w:p w:rsidR="00746B00" w:rsidRPr="002822E3" w:rsidRDefault="00746B00" w:rsidP="001E0F5F">
      <w:pPr>
        <w:autoSpaceDE w:val="0"/>
        <w:autoSpaceDN w:val="0"/>
        <w:adjustRightInd w:val="0"/>
        <w:ind w:left="720"/>
        <w:rPr>
          <w:rFonts w:eastAsia="HelenPro-Regular"/>
          <w:b/>
        </w:rPr>
      </w:pPr>
      <w:r w:rsidRPr="002822E3">
        <w:rPr>
          <w:rFonts w:eastAsia="HelenPro-Regular"/>
          <w:b/>
        </w:rPr>
        <w:t>Calibrator Procedure:</w:t>
      </w:r>
    </w:p>
    <w:p w:rsidR="002822E3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>Calibration is performed by running a water blank and Lipase Calibrator.</w:t>
      </w:r>
    </w:p>
    <w:p w:rsidR="002822E3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>Water for the blank is provided by the instrument.</w:t>
      </w:r>
    </w:p>
    <w:p w:rsidR="002822E3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 xml:space="preserve">1. Verify that the correct calibrator </w:t>
      </w:r>
      <w:r>
        <w:rPr>
          <w:rFonts w:eastAsia="HelenPro-Regular"/>
        </w:rPr>
        <w:t xml:space="preserve">value has been entered into the </w:t>
      </w:r>
      <w:r w:rsidRPr="002822E3">
        <w:rPr>
          <w:rFonts w:eastAsia="HelenPro-Regular"/>
        </w:rPr>
        <w:t>calibration file.</w:t>
      </w:r>
    </w:p>
    <w:p w:rsidR="002822E3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>2. Mix bottle several times by gentle inversion.</w:t>
      </w:r>
    </w:p>
    <w:p w:rsidR="002822E3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>3. Open bottle, place an appropriate amount</w:t>
      </w:r>
      <w:r>
        <w:rPr>
          <w:rFonts w:eastAsia="HelenPro-Regular"/>
        </w:rPr>
        <w:t xml:space="preserve"> in a sample cup, and place </w:t>
      </w:r>
      <w:r w:rsidRPr="002822E3">
        <w:rPr>
          <w:rFonts w:eastAsia="HelenPro-Regular"/>
        </w:rPr>
        <w:t>in the assigned position.</w:t>
      </w:r>
    </w:p>
    <w:p w:rsidR="002822E3" w:rsidRPr="002822E3" w:rsidRDefault="002822E3" w:rsidP="002822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2822E3">
        <w:rPr>
          <w:rFonts w:eastAsia="HelenPro-Regular"/>
        </w:rPr>
        <w:t>4. Cap bottle tightly and return to refrigerated storage immediately after</w:t>
      </w:r>
      <w:r>
        <w:rPr>
          <w:rFonts w:eastAsia="HelenPro-Regular"/>
        </w:rPr>
        <w:t xml:space="preserve"> </w:t>
      </w:r>
      <w:r w:rsidRPr="002822E3">
        <w:rPr>
          <w:rFonts w:eastAsia="HelenPro-Regular"/>
        </w:rPr>
        <w:t>use.</w:t>
      </w:r>
    </w:p>
    <w:p w:rsidR="005A00BA" w:rsidRPr="002822E3" w:rsidRDefault="002822E3" w:rsidP="002822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2822E3">
        <w:rPr>
          <w:rFonts w:eastAsia="HelenPro-Regular"/>
        </w:rPr>
        <w:t xml:space="preserve">5. Perform calibration as indicated in the </w:t>
      </w:r>
      <w:r>
        <w:rPr>
          <w:rFonts w:eastAsia="HelenPro-Bold"/>
          <w:b/>
          <w:bCs/>
        </w:rPr>
        <w:t xml:space="preserve">ARCHITECT System </w:t>
      </w:r>
      <w:r w:rsidRPr="002822E3">
        <w:rPr>
          <w:rFonts w:eastAsia="HelenPro-Bold"/>
          <w:b/>
          <w:bCs/>
        </w:rPr>
        <w:t>Operations Manual</w:t>
      </w:r>
      <w:r w:rsidRPr="002822E3">
        <w:rPr>
          <w:rFonts w:eastAsia="HelenPro-Regular"/>
        </w:rPr>
        <w:t>.</w:t>
      </w:r>
    </w:p>
    <w:p w:rsidR="002822E3" w:rsidRDefault="002822E3" w:rsidP="0055619E">
      <w:pPr>
        <w:ind w:left="720"/>
        <w:rPr>
          <w:b/>
          <w:bCs/>
        </w:rPr>
      </w:pPr>
    </w:p>
    <w:p w:rsidR="002822E3" w:rsidRDefault="002822E3" w:rsidP="0055619E">
      <w:pPr>
        <w:ind w:left="720"/>
        <w:rPr>
          <w:b/>
          <w:bCs/>
        </w:rPr>
      </w:pPr>
    </w:p>
    <w:p w:rsidR="002822E3" w:rsidRDefault="002822E3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lastRenderedPageBreak/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1E0F5F" w:rsidRDefault="001E0F5F" w:rsidP="00F3700B">
      <w:pPr>
        <w:rPr>
          <w:b/>
          <w:sz w:val="28"/>
          <w:szCs w:val="28"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64E39" w:rsidRPr="001E0F5F" w:rsidRDefault="00CE247E" w:rsidP="00CE247E">
      <w:pPr>
        <w:autoSpaceDE w:val="0"/>
        <w:autoSpaceDN w:val="0"/>
        <w:adjustRightInd w:val="0"/>
        <w:rPr>
          <w:rFonts w:eastAsia="HelenPro-Regular"/>
        </w:rPr>
      </w:pPr>
      <w:r w:rsidRPr="001E0F5F">
        <w:rPr>
          <w:rFonts w:eastAsia="HelenPro-Regular"/>
        </w:rPr>
        <w:t xml:space="preserve">Results are expressed in </w:t>
      </w:r>
      <w:r w:rsidR="00746B00">
        <w:rPr>
          <w:rFonts w:eastAsia="HelenPro-Regular"/>
        </w:rPr>
        <w:t>U/L</w:t>
      </w:r>
    </w:p>
    <w:p w:rsidR="00DB7BA9" w:rsidRDefault="00DB7BA9" w:rsidP="00DB7BA9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2D6FB9" w:rsidRDefault="002D6FB9" w:rsidP="00AB793D">
      <w:pPr>
        <w:rPr>
          <w:rFonts w:ascii="Arial" w:hAnsi="Arial" w:cs="Arial"/>
          <w:b/>
          <w:bCs/>
        </w:rPr>
      </w:pPr>
    </w:p>
    <w:p w:rsidR="00CD795B" w:rsidRDefault="00A554D4" w:rsidP="00CD795B">
      <w:pPr>
        <w:rPr>
          <w:rFonts w:ascii="Arial" w:hAnsi="Arial" w:cs="Arial"/>
          <w:b/>
          <w:bCs/>
        </w:rPr>
      </w:pPr>
      <w:r w:rsidRPr="00003750">
        <w:rPr>
          <w:rFonts w:ascii="Arial" w:hAnsi="Arial" w:cs="Arial"/>
          <w:b/>
          <w:bCs/>
        </w:rPr>
        <w:t>Serum/Plasma</w:t>
      </w:r>
      <w:r w:rsidR="00CD795B">
        <w:rPr>
          <w:rFonts w:ascii="Arial" w:hAnsi="Arial" w:cs="Arial"/>
          <w:b/>
          <w:bCs/>
        </w:rPr>
        <w:t>:</w:t>
      </w:r>
    </w:p>
    <w:p w:rsidR="004B5F9D" w:rsidRPr="005A00BA" w:rsidRDefault="00746B00" w:rsidP="00CD795B">
      <w:pPr>
        <w:rPr>
          <w:rFonts w:eastAsia="HelenPro-Regular"/>
        </w:rPr>
      </w:pPr>
      <w:r>
        <w:rPr>
          <w:noProof/>
        </w:rPr>
        <w:drawing>
          <wp:inline distT="0" distB="0" distL="0" distR="0" wp14:anchorId="71C62B4E" wp14:editId="5A7832FD">
            <wp:extent cx="3009900" cy="590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8C" w:rsidRPr="005A00BA" w:rsidRDefault="0012178C" w:rsidP="00AB793D">
      <w:pPr>
        <w:rPr>
          <w:b/>
          <w:bCs/>
        </w:rPr>
      </w:pPr>
    </w:p>
    <w:p w:rsidR="00B63E8F" w:rsidRPr="005A00BA" w:rsidRDefault="00B63E8F" w:rsidP="00623EFB">
      <w:pPr>
        <w:ind w:right="720"/>
        <w:jc w:val="both"/>
        <w:rPr>
          <w:b/>
        </w:rPr>
      </w:pPr>
      <w:r w:rsidRPr="005A00BA">
        <w:rPr>
          <w:b/>
        </w:rPr>
        <w:t>Critical Values</w:t>
      </w:r>
      <w:r w:rsidR="00CD795B">
        <w:rPr>
          <w:b/>
        </w:rPr>
        <w:t>: N/A</w:t>
      </w:r>
    </w:p>
    <w:p w:rsidR="0038442D" w:rsidRPr="005A00BA" w:rsidRDefault="0038442D" w:rsidP="00AB793D">
      <w:pPr>
        <w:rPr>
          <w:b/>
        </w:rPr>
      </w:pPr>
    </w:p>
    <w:p w:rsidR="00D5211B" w:rsidRPr="005A00BA" w:rsidRDefault="005E3D52" w:rsidP="00AB793D">
      <w:pPr>
        <w:rPr>
          <w:i/>
          <w:color w:val="FF0000"/>
        </w:rPr>
      </w:pPr>
      <w:r w:rsidRPr="005A00BA">
        <w:rPr>
          <w:b/>
        </w:rPr>
        <w:t>Performance Characteristics</w:t>
      </w:r>
      <w:r w:rsidR="00973EAF" w:rsidRPr="005A00BA">
        <w:rPr>
          <w:b/>
        </w:rPr>
        <w:t xml:space="preserve"> </w:t>
      </w:r>
    </w:p>
    <w:p w:rsidR="00B45FE2" w:rsidRPr="005A00BA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81E9E" w:rsidRPr="00746B00" w:rsidRDefault="00B81E9E" w:rsidP="00B81E9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46B00">
        <w:rPr>
          <w:rFonts w:eastAsia="HelenPro-Bold"/>
          <w:b/>
          <w:bCs/>
        </w:rPr>
        <w:t>Linearity</w:t>
      </w:r>
    </w:p>
    <w:p w:rsidR="00CE247E" w:rsidRPr="00746B00" w:rsidRDefault="00746B00" w:rsidP="00920BFE">
      <w:pPr>
        <w:autoSpaceDE w:val="0"/>
        <w:autoSpaceDN w:val="0"/>
        <w:adjustRightInd w:val="0"/>
        <w:rPr>
          <w:rFonts w:eastAsia="HelenPro-Regular"/>
        </w:rPr>
      </w:pPr>
      <w:r w:rsidRPr="00746B00">
        <w:rPr>
          <w:rFonts w:eastAsia="HelenPro-Regular"/>
        </w:rPr>
        <w:t>Lipase is linear up to 1,200 U/L.</w:t>
      </w:r>
    </w:p>
    <w:p w:rsidR="00746B00" w:rsidRPr="00746B00" w:rsidRDefault="00746B00" w:rsidP="00920BFE">
      <w:pPr>
        <w:autoSpaceDE w:val="0"/>
        <w:autoSpaceDN w:val="0"/>
        <w:adjustRightInd w:val="0"/>
        <w:rPr>
          <w:rFonts w:eastAsia="HelenPro-Regular"/>
          <w:b/>
        </w:rPr>
      </w:pPr>
    </w:p>
    <w:p w:rsidR="00CE247E" w:rsidRPr="00746B00" w:rsidRDefault="00CE247E" w:rsidP="00920BFE">
      <w:pPr>
        <w:autoSpaceDE w:val="0"/>
        <w:autoSpaceDN w:val="0"/>
        <w:adjustRightInd w:val="0"/>
        <w:rPr>
          <w:rFonts w:eastAsia="HelenPro-Regular"/>
          <w:b/>
        </w:rPr>
      </w:pPr>
      <w:r w:rsidRPr="00746B00">
        <w:rPr>
          <w:rFonts w:eastAsia="HelenPro-Regular"/>
          <w:b/>
        </w:rPr>
        <w:t>Limit of Detection</w:t>
      </w:r>
    </w:p>
    <w:p w:rsidR="005A00BA" w:rsidRPr="00746B00" w:rsidRDefault="00746B00" w:rsidP="0012178C">
      <w:pPr>
        <w:rPr>
          <w:rFonts w:eastAsia="HelenPro-Regular"/>
        </w:rPr>
      </w:pPr>
      <w:r w:rsidRPr="00746B00">
        <w:rPr>
          <w:rFonts w:eastAsia="HelenPro-Regular"/>
        </w:rPr>
        <w:t>The LOD for Lipase is 1.6 U/L.</w:t>
      </w:r>
    </w:p>
    <w:p w:rsidR="00746B00" w:rsidRDefault="00746B00" w:rsidP="00746B00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746B00" w:rsidRPr="00746B00" w:rsidRDefault="00746B00" w:rsidP="00746B00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746B00">
        <w:rPr>
          <w:rFonts w:eastAsia="HelenPro-Bold"/>
          <w:b/>
          <w:bCs/>
        </w:rPr>
        <w:t>Limit of Quantitation (LOQ)</w:t>
      </w:r>
    </w:p>
    <w:p w:rsidR="00746B00" w:rsidRPr="005A00BA" w:rsidRDefault="00746B00" w:rsidP="00746B00">
      <w:pPr>
        <w:rPr>
          <w:rFonts w:eastAsia="HelenPro-Bold"/>
          <w:b/>
          <w:bCs/>
        </w:rPr>
      </w:pPr>
      <w:r w:rsidRPr="00746B00">
        <w:rPr>
          <w:rFonts w:eastAsia="HelenPro-Regular"/>
        </w:rPr>
        <w:t>The LOQ for Lipase is 3.1 U/L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746B00" w:rsidRDefault="00746B00" w:rsidP="0012178C">
      <w:pPr>
        <w:rPr>
          <w:rFonts w:eastAsia="HelenPro-Bold"/>
          <w:b/>
          <w:bCs/>
        </w:rPr>
      </w:pPr>
    </w:p>
    <w:p w:rsidR="00912FE4" w:rsidRPr="005A00BA" w:rsidRDefault="00912FE4" w:rsidP="0012178C">
      <w:pPr>
        <w:rPr>
          <w:rFonts w:eastAsia="HelenPro-Bold"/>
          <w:b/>
          <w:bCs/>
        </w:rPr>
      </w:pPr>
      <w:r w:rsidRPr="005A00BA">
        <w:rPr>
          <w:rFonts w:eastAsia="HelenPro-Bold"/>
          <w:b/>
          <w:bCs/>
        </w:rPr>
        <w:t>Dilution:</w:t>
      </w:r>
      <w:r w:rsidR="00973EAF" w:rsidRPr="005A00BA">
        <w:rPr>
          <w:rFonts w:eastAsia="HelenPro-Bold"/>
          <w:b/>
          <w:bCs/>
        </w:rPr>
        <w:t xml:space="preserve"> </w:t>
      </w:r>
    </w:p>
    <w:p w:rsidR="0012178C" w:rsidRPr="002822E3" w:rsidRDefault="00746B00" w:rsidP="002822E3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Bold"/>
          <w:b/>
          <w:bCs/>
        </w:rPr>
        <w:lastRenderedPageBreak/>
        <w:t xml:space="preserve">Serum and Plasma: </w:t>
      </w:r>
      <w:r w:rsidRPr="002822E3">
        <w:rPr>
          <w:rFonts w:eastAsia="HelenPro-Regular"/>
        </w:rPr>
        <w:t>Specimens with li</w:t>
      </w:r>
      <w:r w:rsidR="002822E3">
        <w:rPr>
          <w:rFonts w:eastAsia="HelenPro-Regular"/>
        </w:rPr>
        <w:t xml:space="preserve">pase values exceeding 1,200 U/L </w:t>
      </w:r>
      <w:r w:rsidRPr="002822E3">
        <w:rPr>
          <w:rFonts w:eastAsia="HelenPro-Regular"/>
        </w:rPr>
        <w:t>are flagged and may be diluted by following either the Automated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Dilution Protocol or the Manual Dilution Procedure.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822E3">
        <w:rPr>
          <w:rFonts w:eastAsia="HelenPro-Bold"/>
          <w:b/>
          <w:bCs/>
        </w:rPr>
        <w:t>Automated Dilution Protocol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If using the Automated Dilution Protocol,</w:t>
      </w:r>
      <w:r w:rsidR="002822E3">
        <w:rPr>
          <w:rFonts w:eastAsia="HelenPro-Regular"/>
        </w:rPr>
        <w:t xml:space="preserve"> the system performs a dilution </w:t>
      </w:r>
      <w:r w:rsidRPr="002822E3">
        <w:rPr>
          <w:rFonts w:eastAsia="HelenPro-Regular"/>
        </w:rPr>
        <w:t>of the specimen and automatically corrects the enzyme activity value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by multiplying the result by the appropriate dilution factor. To set up the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 xml:space="preserve">automatic dilution feature, refer to </w:t>
      </w:r>
      <w:r w:rsidRPr="002822E3">
        <w:rPr>
          <w:rFonts w:eastAsia="HelenPro-Bold"/>
          <w:i/>
          <w:iCs/>
        </w:rPr>
        <w:t xml:space="preserve">Section 2 </w:t>
      </w:r>
      <w:r w:rsidRPr="002822E3">
        <w:rPr>
          <w:rFonts w:eastAsia="HelenPro-Regular"/>
        </w:rPr>
        <w:t xml:space="preserve">of the </w:t>
      </w:r>
      <w:r w:rsidRPr="002822E3">
        <w:rPr>
          <w:rFonts w:eastAsia="HelenPro-Bold"/>
          <w:b/>
          <w:bCs/>
        </w:rPr>
        <w:t>ARCHITECT System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Bold"/>
          <w:b/>
          <w:bCs/>
        </w:rPr>
        <w:t xml:space="preserve">Operations Manual </w:t>
      </w:r>
      <w:r w:rsidRPr="002822E3">
        <w:rPr>
          <w:rFonts w:eastAsia="HelenPro-Regular"/>
        </w:rPr>
        <w:t>for additional information.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2822E3">
        <w:rPr>
          <w:rFonts w:eastAsia="HelenPro-Bold"/>
          <w:b/>
          <w:bCs/>
        </w:rPr>
        <w:t>Manual Dilution Procedure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Manual dilutions should be performed as follows: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 xml:space="preserve">• Use saline (0.85% to 0.90% </w:t>
      </w:r>
      <w:proofErr w:type="spellStart"/>
      <w:r w:rsidRPr="002822E3">
        <w:rPr>
          <w:rFonts w:eastAsia="HelenPro-Regular"/>
        </w:rPr>
        <w:t>NaCl</w:t>
      </w:r>
      <w:proofErr w:type="spellEnd"/>
      <w:r w:rsidRPr="002822E3">
        <w:rPr>
          <w:rFonts w:eastAsia="HelenPro-Regular"/>
        </w:rPr>
        <w:t>) to dilute the sample.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• The operator must enter the dilution f</w:t>
      </w:r>
      <w:r w:rsidR="002822E3">
        <w:rPr>
          <w:rFonts w:eastAsia="HelenPro-Regular"/>
        </w:rPr>
        <w:t xml:space="preserve">actor in the patient or control </w:t>
      </w:r>
      <w:r w:rsidRPr="002822E3">
        <w:rPr>
          <w:rFonts w:eastAsia="HelenPro-Regular"/>
        </w:rPr>
        <w:t>order screen. The system uses this dilution factor to automatically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correct the enzyme activity value by multiplying the result by the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entered factor.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• If the operator does not enter the dilu</w:t>
      </w:r>
      <w:r w:rsidR="002822E3">
        <w:rPr>
          <w:rFonts w:eastAsia="HelenPro-Regular"/>
        </w:rPr>
        <w:t xml:space="preserve">tion factor, the result must be </w:t>
      </w:r>
      <w:r w:rsidRPr="002822E3">
        <w:rPr>
          <w:rFonts w:eastAsia="HelenPro-Regular"/>
        </w:rPr>
        <w:t>multiplied by the appropriate dilution factor before reporting the result.</w:t>
      </w:r>
    </w:p>
    <w:p w:rsidR="00746B00" w:rsidRPr="002822E3" w:rsidRDefault="00746B00" w:rsidP="00746B00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Bold"/>
          <w:b/>
          <w:bCs/>
        </w:rPr>
        <w:t xml:space="preserve">NOTE: </w:t>
      </w:r>
      <w:r w:rsidRPr="002822E3">
        <w:rPr>
          <w:rFonts w:eastAsia="HelenPro-Regular"/>
        </w:rPr>
        <w:t>If a diluted sample result is flagged</w:t>
      </w:r>
      <w:r w:rsidR="002822E3">
        <w:rPr>
          <w:rFonts w:eastAsia="HelenPro-Regular"/>
        </w:rPr>
        <w:t xml:space="preserve"> indicating it is less than the </w:t>
      </w:r>
      <w:r w:rsidRPr="002822E3">
        <w:rPr>
          <w:rFonts w:eastAsia="HelenPro-Regular"/>
        </w:rPr>
        <w:t>linear low limit, do not report the result. Rerun using an appropriate</w:t>
      </w:r>
      <w:r w:rsidR="002822E3">
        <w:rPr>
          <w:rFonts w:eastAsia="HelenPro-Regular"/>
        </w:rPr>
        <w:t xml:space="preserve"> </w:t>
      </w:r>
      <w:r w:rsidRPr="002822E3">
        <w:rPr>
          <w:rFonts w:eastAsia="HelenPro-Regular"/>
        </w:rPr>
        <w:t>dilution.</w:t>
      </w:r>
    </w:p>
    <w:p w:rsidR="00746B00" w:rsidRPr="002822E3" w:rsidRDefault="00746B00" w:rsidP="002822E3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 xml:space="preserve">For detailed information on ordering dilutions, refer to </w:t>
      </w:r>
      <w:r w:rsidRPr="002822E3">
        <w:rPr>
          <w:rFonts w:eastAsia="HelenPro-Bold"/>
          <w:i/>
          <w:iCs/>
        </w:rPr>
        <w:t xml:space="preserve">Section 5 </w:t>
      </w:r>
      <w:r w:rsidR="002822E3">
        <w:rPr>
          <w:rFonts w:eastAsia="HelenPro-Regular"/>
        </w:rPr>
        <w:t xml:space="preserve">of the </w:t>
      </w:r>
      <w:r w:rsidRPr="002822E3">
        <w:rPr>
          <w:rFonts w:eastAsia="HelenPro-Bold"/>
          <w:b/>
          <w:bCs/>
        </w:rPr>
        <w:t>ARCHITECT System Operations Manual</w:t>
      </w:r>
      <w:r w:rsidRPr="002822E3">
        <w:rPr>
          <w:rFonts w:eastAsia="HelenPro-Regular"/>
        </w:rPr>
        <w:t>.</w:t>
      </w:r>
    </w:p>
    <w:p w:rsidR="001E0F5F" w:rsidRPr="005A00BA" w:rsidRDefault="001E0F5F" w:rsidP="00F95946">
      <w:pPr>
        <w:rPr>
          <w:b/>
          <w:color w:val="000000"/>
        </w:rPr>
      </w:pPr>
    </w:p>
    <w:p w:rsidR="00912FE4" w:rsidRPr="005A00BA" w:rsidRDefault="00912FE4" w:rsidP="00F95946">
      <w:pPr>
        <w:rPr>
          <w:rFonts w:eastAsia="HelenPro-Regular"/>
        </w:rPr>
      </w:pPr>
      <w:r w:rsidRPr="005A00BA">
        <w:rPr>
          <w:b/>
          <w:color w:val="000000"/>
        </w:rPr>
        <w:t>Precision:</w:t>
      </w:r>
      <w:r w:rsidR="0038442D" w:rsidRPr="005A00BA">
        <w:rPr>
          <w:b/>
          <w:color w:val="000000"/>
        </w:rPr>
        <w:t xml:space="preserve"> </w:t>
      </w:r>
    </w:p>
    <w:p w:rsidR="004B5F9D" w:rsidRPr="002822E3" w:rsidRDefault="00746B00" w:rsidP="00F95946">
      <w:pPr>
        <w:autoSpaceDE w:val="0"/>
        <w:autoSpaceDN w:val="0"/>
        <w:adjustRightInd w:val="0"/>
        <w:rPr>
          <w:rFonts w:eastAsia="HelenPro-Regular"/>
        </w:rPr>
      </w:pPr>
      <w:r w:rsidRPr="002822E3">
        <w:rPr>
          <w:rFonts w:eastAsia="HelenPro-Regular"/>
        </w:rPr>
        <w:t>The imprecision of the Lipase assay is ≤ 7.5% Total CV.</w:t>
      </w:r>
    </w:p>
    <w:p w:rsidR="00B81E9E" w:rsidRPr="005A00BA" w:rsidRDefault="00746B00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6417F493" wp14:editId="76178D52">
            <wp:extent cx="426720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5A00BA" w:rsidRDefault="00C53E37" w:rsidP="00C53E37">
      <w:pPr>
        <w:pStyle w:val="Heading4"/>
        <w:rPr>
          <w:sz w:val="24"/>
          <w:szCs w:val="24"/>
        </w:rPr>
      </w:pPr>
      <w:r w:rsidRPr="005A00BA">
        <w:rPr>
          <w:sz w:val="24"/>
          <w:szCs w:val="24"/>
        </w:rPr>
        <w:t>Limitations of Procedure</w:t>
      </w:r>
      <w:r w:rsidR="00973EAF" w:rsidRPr="005A00BA">
        <w:rPr>
          <w:sz w:val="24"/>
          <w:szCs w:val="24"/>
        </w:rPr>
        <w:t xml:space="preserve"> 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 xml:space="preserve">ARCHITECT c Systems are designed to </w:t>
      </w:r>
      <w:r>
        <w:rPr>
          <w:rFonts w:eastAsia="HelenPro-Regular"/>
        </w:rPr>
        <w:t xml:space="preserve">mitigate reagent carryover, and </w:t>
      </w:r>
      <w:r w:rsidRPr="0052342A">
        <w:rPr>
          <w:rFonts w:eastAsia="HelenPro-Regular"/>
        </w:rPr>
        <w:t>testing is performed during assay development to determine needed</w:t>
      </w:r>
      <w:r>
        <w:rPr>
          <w:rFonts w:eastAsia="HelenPro-Regular"/>
        </w:rPr>
        <w:t xml:space="preserve"> </w:t>
      </w:r>
      <w:proofErr w:type="spellStart"/>
      <w:r w:rsidRPr="0052342A">
        <w:rPr>
          <w:rFonts w:eastAsia="HelenPro-Regular"/>
        </w:rPr>
        <w:t>SmartWash</w:t>
      </w:r>
      <w:proofErr w:type="spellEnd"/>
      <w:r w:rsidRPr="0052342A">
        <w:rPr>
          <w:rFonts w:eastAsia="HelenPro-Regular"/>
        </w:rPr>
        <w:t xml:space="preserve"> settings. However, system conditions may occur that allow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>Lipase contamination from other lipase-containing reagents. Lipase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>is found in Clinical Chemistry Cholesterol 7D62, Triglyceride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>7D74, Direct LDL 1E31, and Ultra HDL 3K33 reagents.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>To minimize the potential for Lipase contamination: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lastRenderedPageBreak/>
        <w:t>1. Always complete the cuvette wash cycle</w:t>
      </w:r>
      <w:r>
        <w:rPr>
          <w:rFonts w:eastAsia="HelenPro-Regular"/>
        </w:rPr>
        <w:t xml:space="preserve"> in its entirety. If necessary, </w:t>
      </w:r>
      <w:r w:rsidRPr="0052342A">
        <w:rPr>
          <w:rFonts w:eastAsia="HelenPro-Regular"/>
        </w:rPr>
        <w:t>Pause (do not stop) the system to ensure the cuvette wash occurs as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>scheduled.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>2. Ensure instrument maintenance activities are complete.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 xml:space="preserve">3. Verify all </w:t>
      </w:r>
      <w:proofErr w:type="spellStart"/>
      <w:r w:rsidRPr="0052342A">
        <w:rPr>
          <w:rFonts w:eastAsia="HelenPro-Regular"/>
        </w:rPr>
        <w:t>SmartWash</w:t>
      </w:r>
      <w:proofErr w:type="spellEnd"/>
      <w:r w:rsidRPr="0052342A">
        <w:rPr>
          <w:rFonts w:eastAsia="HelenPro-Regular"/>
        </w:rPr>
        <w:t xml:space="preserve"> parameters are configured correctly.</w:t>
      </w:r>
    </w:p>
    <w:p w:rsidR="00746B00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>4. Perform reagent carryover testi</w:t>
      </w:r>
      <w:r>
        <w:rPr>
          <w:rFonts w:eastAsia="HelenPro-Regular"/>
        </w:rPr>
        <w:t xml:space="preserve">ng for non-Abbott assays before </w:t>
      </w:r>
      <w:r w:rsidRPr="0052342A">
        <w:rPr>
          <w:rFonts w:eastAsia="HelenPro-Regular"/>
        </w:rPr>
        <w:t>implementing them in the laboratory. Refer to Reagent carryover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>evaluation in the Architect c System Assay Applications Guide. For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>additional information, refer to Reagent carryover corrective action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 xml:space="preserve">procedures in </w:t>
      </w:r>
      <w:r w:rsidRPr="0052342A">
        <w:rPr>
          <w:rFonts w:eastAsia="HelenPro-Regular"/>
          <w:i/>
          <w:iCs/>
        </w:rPr>
        <w:t xml:space="preserve">Section 10 </w:t>
      </w:r>
      <w:r w:rsidRPr="0052342A">
        <w:rPr>
          <w:rFonts w:eastAsia="HelenPro-Regular"/>
        </w:rPr>
        <w:t xml:space="preserve">of the </w:t>
      </w:r>
      <w:r w:rsidRPr="0052342A">
        <w:rPr>
          <w:rFonts w:eastAsia="HelenPro-Bold"/>
          <w:b/>
          <w:bCs/>
        </w:rPr>
        <w:t>ARCHITECT System Operations</w:t>
      </w:r>
      <w:r>
        <w:rPr>
          <w:rFonts w:eastAsia="HelenPro-Regular"/>
        </w:rPr>
        <w:t xml:space="preserve"> </w:t>
      </w:r>
      <w:r w:rsidRPr="0052342A">
        <w:rPr>
          <w:rFonts w:eastAsia="HelenPro-Bold"/>
          <w:b/>
          <w:bCs/>
        </w:rPr>
        <w:t>Manual.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>Should elevated or erratic Lipase</w:t>
      </w:r>
      <w:r>
        <w:rPr>
          <w:rFonts w:eastAsia="HelenPro-Regular"/>
        </w:rPr>
        <w:t xml:space="preserve"> results continue to occur, you </w:t>
      </w:r>
      <w:r w:rsidRPr="0052342A">
        <w:rPr>
          <w:rFonts w:eastAsia="HelenPro-Regular"/>
        </w:rPr>
        <w:t xml:space="preserve">may choose to configure the following </w:t>
      </w:r>
      <w:proofErr w:type="spellStart"/>
      <w:r w:rsidRPr="0052342A">
        <w:rPr>
          <w:rFonts w:eastAsia="HelenPro-Regular"/>
        </w:rPr>
        <w:t>SmartWash</w:t>
      </w:r>
      <w:proofErr w:type="spellEnd"/>
      <w:r w:rsidRPr="0052342A">
        <w:rPr>
          <w:rFonts w:eastAsia="HelenPro-Regular"/>
        </w:rPr>
        <w:t xml:space="preserve"> settings on the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 xml:space="preserve">ARCHITECT c 4000 and c 8000 instruments (refer to </w:t>
      </w:r>
      <w:r w:rsidRPr="0052342A">
        <w:rPr>
          <w:rFonts w:eastAsia="HelenPro-Regular"/>
          <w:i/>
          <w:iCs/>
        </w:rPr>
        <w:t>Section 2</w:t>
      </w:r>
      <w:r w:rsidRPr="0052342A">
        <w:rPr>
          <w:rFonts w:eastAsia="HelenPro-Regular"/>
        </w:rPr>
        <w:t>, in the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Bold"/>
          <w:b/>
          <w:bCs/>
        </w:rPr>
        <w:t>ARCHITECT System Operations Manual</w:t>
      </w:r>
      <w:r w:rsidRPr="0052342A">
        <w:rPr>
          <w:rFonts w:eastAsia="HelenPro-Regular"/>
        </w:rPr>
        <w:t>):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 xml:space="preserve">Add the following </w:t>
      </w:r>
      <w:proofErr w:type="spellStart"/>
      <w:r w:rsidRPr="0052342A">
        <w:rPr>
          <w:rFonts w:eastAsia="HelenPro-Regular"/>
        </w:rPr>
        <w:t>SmartWash</w:t>
      </w:r>
      <w:proofErr w:type="spellEnd"/>
      <w:r w:rsidRPr="0052342A">
        <w:rPr>
          <w:rFonts w:eastAsia="HelenPro-Regular"/>
        </w:rPr>
        <w:t xml:space="preserve"> for all assays:</w:t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noProof/>
        </w:rPr>
        <w:drawing>
          <wp:inline distT="0" distB="0" distL="0" distR="0" wp14:anchorId="6654F257" wp14:editId="7BED1EDD">
            <wp:extent cx="3476625" cy="962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42A" w:rsidRPr="0052342A" w:rsidRDefault="0052342A" w:rsidP="0052342A">
      <w:pPr>
        <w:autoSpaceDE w:val="0"/>
        <w:autoSpaceDN w:val="0"/>
        <w:adjustRightInd w:val="0"/>
        <w:rPr>
          <w:rFonts w:eastAsia="HelenPro-Regular"/>
        </w:rPr>
      </w:pPr>
      <w:r w:rsidRPr="0052342A">
        <w:rPr>
          <w:rFonts w:eastAsia="HelenPro-Regular"/>
        </w:rPr>
        <w:t>On the ARCHITECT c 16000 instr</w:t>
      </w:r>
      <w:r>
        <w:rPr>
          <w:rFonts w:eastAsia="HelenPro-Regular"/>
        </w:rPr>
        <w:t xml:space="preserve">ument, line-separate the Lipase </w:t>
      </w:r>
      <w:r w:rsidRPr="0052342A">
        <w:rPr>
          <w:rFonts w:eastAsia="HelenPro-Regular"/>
        </w:rPr>
        <w:t>reagent from the Cholesterol, Triglyceride, Ultra HDL, and Direct LDL</w:t>
      </w:r>
      <w:r>
        <w:rPr>
          <w:rFonts w:eastAsia="HelenPro-Regular"/>
        </w:rPr>
        <w:t xml:space="preserve"> </w:t>
      </w:r>
      <w:r w:rsidRPr="0052342A">
        <w:rPr>
          <w:rFonts w:eastAsia="HelenPro-Regular"/>
        </w:rPr>
        <w:t>reagents.</w:t>
      </w:r>
    </w:p>
    <w:p w:rsidR="0052342A" w:rsidRDefault="0052342A" w:rsidP="0052342A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5A00BA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5A00BA">
        <w:rPr>
          <w:rFonts w:eastAsia="HelenPro-Bold"/>
          <w:b/>
          <w:bCs/>
        </w:rPr>
        <w:t>Interfering Substances</w:t>
      </w:r>
    </w:p>
    <w:p w:rsidR="00DB7BA9" w:rsidRPr="00677E98" w:rsidRDefault="00746B00" w:rsidP="00D16B69">
      <w:pPr>
        <w:jc w:val="both"/>
        <w:rPr>
          <w:b/>
        </w:rPr>
      </w:pPr>
      <w:r>
        <w:rPr>
          <w:noProof/>
        </w:rPr>
        <w:drawing>
          <wp:inline distT="0" distB="0" distL="0" distR="0" wp14:anchorId="28649FFF" wp14:editId="375AB967">
            <wp:extent cx="4191000" cy="1828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746B00">
        <w:rPr>
          <w:rFonts w:ascii="Arial" w:hAnsi="Arial" w:cs="Arial"/>
          <w:sz w:val="22"/>
          <w:szCs w:val="22"/>
        </w:rPr>
        <w:t>Lipase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425BA0" w:rsidRDefault="0052342A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June</w:t>
      </w:r>
      <w:r w:rsidR="0074336C">
        <w:rPr>
          <w:rFonts w:ascii="Arial" w:hAnsi="Arial" w:cs="Arial"/>
          <w:bCs/>
          <w:sz w:val="22"/>
          <w:szCs w:val="22"/>
        </w:rPr>
        <w:t xml:space="preserve"> 201</w:t>
      </w:r>
      <w:r>
        <w:rPr>
          <w:rFonts w:ascii="Arial" w:hAnsi="Arial" w:cs="Arial"/>
          <w:bCs/>
          <w:sz w:val="22"/>
          <w:szCs w:val="22"/>
        </w:rPr>
        <w:t>6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52342A">
        <w:rPr>
          <w:rFonts w:ascii="HelenPro-Bold" w:eastAsia="HelenPro-Bold" w:cs="HelenPro-Bold"/>
          <w:bCs/>
          <w:sz w:val="22"/>
          <w:szCs w:val="22"/>
        </w:rPr>
        <w:t>306943/R04</w:t>
      </w:r>
    </w:p>
    <w:p w:rsidR="000A13F2" w:rsidRPr="00425BA0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25BA0">
        <w:rPr>
          <w:rFonts w:ascii="Arial" w:hAnsi="Arial" w:cs="Arial"/>
          <w:sz w:val="22"/>
          <w:szCs w:val="22"/>
        </w:rPr>
        <w:t xml:space="preserve">ABBOTT ARCHITECT </w:t>
      </w:r>
      <w:r w:rsidR="00746B00">
        <w:rPr>
          <w:rFonts w:ascii="Arial" w:hAnsi="Arial" w:cs="Arial"/>
          <w:sz w:val="22"/>
          <w:szCs w:val="22"/>
        </w:rPr>
        <w:t>Lipase</w:t>
      </w:r>
      <w:r w:rsidR="00880899" w:rsidRPr="000A13F2">
        <w:rPr>
          <w:rFonts w:ascii="Arial" w:hAnsi="Arial" w:cs="Arial"/>
          <w:sz w:val="22"/>
          <w:szCs w:val="22"/>
        </w:rPr>
        <w:t xml:space="preserve"> </w:t>
      </w:r>
      <w:r w:rsidRPr="00425BA0">
        <w:rPr>
          <w:rFonts w:ascii="Arial" w:hAnsi="Arial" w:cs="Arial"/>
          <w:sz w:val="22"/>
          <w:szCs w:val="22"/>
        </w:rPr>
        <w:t>Calibrator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065C26" w:rsidRDefault="00065C26" w:rsidP="00246FA8">
      <w:pPr>
        <w:rPr>
          <w:b/>
        </w:rPr>
      </w:pPr>
    </w:p>
    <w:p w:rsidR="001E0F5F" w:rsidRDefault="001E0F5F" w:rsidP="00246FA8">
      <w:pPr>
        <w:rPr>
          <w:b/>
        </w:rPr>
      </w:pPr>
    </w:p>
    <w:p w:rsidR="001E0F5F" w:rsidRDefault="001E0F5F" w:rsidP="00246FA8">
      <w:pPr>
        <w:rPr>
          <w:b/>
        </w:rPr>
      </w:pPr>
    </w:p>
    <w:p w:rsidR="001E0F5F" w:rsidRDefault="001E0F5F" w:rsidP="00246FA8">
      <w:pPr>
        <w:rPr>
          <w:b/>
        </w:rPr>
      </w:pPr>
    </w:p>
    <w:p w:rsidR="001E0F5F" w:rsidRDefault="001E0F5F" w:rsidP="00246FA8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</w:p>
    <w:sectPr w:rsidR="002D18CA" w:rsidSect="00507B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50" w:rsidRDefault="00194250">
      <w:r>
        <w:separator/>
      </w:r>
    </w:p>
  </w:endnote>
  <w:endnote w:type="continuationSeparator" w:id="0">
    <w:p w:rsidR="00194250" w:rsidRDefault="001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50" w:rsidRDefault="00194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50" w:rsidRDefault="00194250" w:rsidP="00BC1EC4">
    <w:pPr>
      <w:pStyle w:val="Footer"/>
      <w:rPr>
        <w:b/>
        <w:sz w:val="20"/>
        <w:szCs w:val="20"/>
      </w:rPr>
    </w:pPr>
  </w:p>
  <w:p w:rsidR="00194250" w:rsidRPr="00746B00" w:rsidRDefault="00194250" w:rsidP="00BC1EC4">
    <w:pPr>
      <w:pStyle w:val="Footer"/>
      <w:rPr>
        <w:rFonts w:ascii="Arial" w:hAnsi="Arial" w:cs="Arial"/>
        <w:sz w:val="22"/>
        <w:szCs w:val="22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A60DD9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A60DD9">
      <w:rPr>
        <w:noProof/>
        <w:sz w:val="20"/>
        <w:szCs w:val="20"/>
      </w:rPr>
      <w:t>9</w:t>
    </w:r>
    <w:r w:rsidRPr="00427B21">
      <w:rPr>
        <w:sz w:val="20"/>
        <w:szCs w:val="20"/>
      </w:rPr>
      <w:fldChar w:fldCharType="end"/>
    </w:r>
  </w:p>
  <w:p w:rsidR="00194250" w:rsidRDefault="00194250">
    <w:pPr>
      <w:pStyle w:val="Footer"/>
    </w:pPr>
  </w:p>
  <w:p w:rsidR="00194250" w:rsidRDefault="00194250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50" w:rsidRDefault="00194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50" w:rsidRDefault="00194250">
      <w:r>
        <w:separator/>
      </w:r>
    </w:p>
  </w:footnote>
  <w:footnote w:type="continuationSeparator" w:id="0">
    <w:p w:rsidR="00194250" w:rsidRDefault="0019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50" w:rsidRDefault="00194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50" w:rsidRDefault="00194250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 4840-CH-123</w:t>
    </w:r>
  </w:p>
  <w:p w:rsidR="00194250" w:rsidRDefault="00194250" w:rsidP="00100BF8">
    <w:pPr>
      <w:jc w:val="right"/>
      <w:rPr>
        <w:sz w:val="20"/>
        <w:szCs w:val="20"/>
      </w:rPr>
    </w:pPr>
    <w:r>
      <w:rPr>
        <w:sz w:val="20"/>
        <w:szCs w:val="20"/>
      </w:rPr>
      <w:t>ARCHITECT Lipase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50" w:rsidRDefault="00194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4C3D"/>
    <w:rsid w:val="000165C6"/>
    <w:rsid w:val="00020469"/>
    <w:rsid w:val="000232F2"/>
    <w:rsid w:val="000276BD"/>
    <w:rsid w:val="000303B1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2178C"/>
    <w:rsid w:val="00132081"/>
    <w:rsid w:val="00133F38"/>
    <w:rsid w:val="0014554C"/>
    <w:rsid w:val="00155687"/>
    <w:rsid w:val="00157696"/>
    <w:rsid w:val="0016247C"/>
    <w:rsid w:val="00167572"/>
    <w:rsid w:val="00172CF7"/>
    <w:rsid w:val="00177DAD"/>
    <w:rsid w:val="00194250"/>
    <w:rsid w:val="0019760C"/>
    <w:rsid w:val="00197D14"/>
    <w:rsid w:val="001A41B0"/>
    <w:rsid w:val="001A639E"/>
    <w:rsid w:val="001B29A7"/>
    <w:rsid w:val="001B4267"/>
    <w:rsid w:val="001C21ED"/>
    <w:rsid w:val="001C48DA"/>
    <w:rsid w:val="001D3841"/>
    <w:rsid w:val="001D6AE0"/>
    <w:rsid w:val="001E079E"/>
    <w:rsid w:val="001E0F5F"/>
    <w:rsid w:val="001F32A9"/>
    <w:rsid w:val="001F6B7B"/>
    <w:rsid w:val="002154D2"/>
    <w:rsid w:val="00246FA8"/>
    <w:rsid w:val="0025031C"/>
    <w:rsid w:val="00252880"/>
    <w:rsid w:val="00253C1F"/>
    <w:rsid w:val="00255C54"/>
    <w:rsid w:val="002649AA"/>
    <w:rsid w:val="00267D3D"/>
    <w:rsid w:val="002746A8"/>
    <w:rsid w:val="00275B78"/>
    <w:rsid w:val="002822E3"/>
    <w:rsid w:val="00294A08"/>
    <w:rsid w:val="002B0D2A"/>
    <w:rsid w:val="002B1993"/>
    <w:rsid w:val="002C0E55"/>
    <w:rsid w:val="002C7FD5"/>
    <w:rsid w:val="002D18CA"/>
    <w:rsid w:val="002D2075"/>
    <w:rsid w:val="002D370D"/>
    <w:rsid w:val="002D38DF"/>
    <w:rsid w:val="002D6FB9"/>
    <w:rsid w:val="002F52E0"/>
    <w:rsid w:val="003056A7"/>
    <w:rsid w:val="00316431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376A"/>
    <w:rsid w:val="003D38B7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A03BD"/>
    <w:rsid w:val="004A2AA3"/>
    <w:rsid w:val="004B5F9D"/>
    <w:rsid w:val="004C05F8"/>
    <w:rsid w:val="004C104D"/>
    <w:rsid w:val="004C12F1"/>
    <w:rsid w:val="004C2C23"/>
    <w:rsid w:val="004C37CB"/>
    <w:rsid w:val="004F5F8A"/>
    <w:rsid w:val="004F6C28"/>
    <w:rsid w:val="00507B0C"/>
    <w:rsid w:val="0052342A"/>
    <w:rsid w:val="00533CE1"/>
    <w:rsid w:val="00551335"/>
    <w:rsid w:val="0055619E"/>
    <w:rsid w:val="0056023B"/>
    <w:rsid w:val="00571CD2"/>
    <w:rsid w:val="00574309"/>
    <w:rsid w:val="005806E5"/>
    <w:rsid w:val="0058304A"/>
    <w:rsid w:val="005902C0"/>
    <w:rsid w:val="00590F92"/>
    <w:rsid w:val="005A00BA"/>
    <w:rsid w:val="005A1D53"/>
    <w:rsid w:val="005A4739"/>
    <w:rsid w:val="005A7348"/>
    <w:rsid w:val="005B0D1C"/>
    <w:rsid w:val="005C4292"/>
    <w:rsid w:val="005E2E76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3150E"/>
    <w:rsid w:val="00644800"/>
    <w:rsid w:val="006559EB"/>
    <w:rsid w:val="00656BB9"/>
    <w:rsid w:val="006646FE"/>
    <w:rsid w:val="00674186"/>
    <w:rsid w:val="00677E98"/>
    <w:rsid w:val="00682038"/>
    <w:rsid w:val="0068574B"/>
    <w:rsid w:val="006A5AAE"/>
    <w:rsid w:val="006B0A70"/>
    <w:rsid w:val="006B3C65"/>
    <w:rsid w:val="006D28ED"/>
    <w:rsid w:val="006D40ED"/>
    <w:rsid w:val="006E5155"/>
    <w:rsid w:val="006F7F4F"/>
    <w:rsid w:val="00714B7D"/>
    <w:rsid w:val="00714F24"/>
    <w:rsid w:val="00717F6F"/>
    <w:rsid w:val="0074336C"/>
    <w:rsid w:val="00746B00"/>
    <w:rsid w:val="007703C0"/>
    <w:rsid w:val="007840DD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C284E"/>
    <w:rsid w:val="008D4DF4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914AE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C5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0DD9"/>
    <w:rsid w:val="00A67673"/>
    <w:rsid w:val="00A71728"/>
    <w:rsid w:val="00A71D1D"/>
    <w:rsid w:val="00A72EC0"/>
    <w:rsid w:val="00A747D3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D402C"/>
    <w:rsid w:val="00AE6F5B"/>
    <w:rsid w:val="00AE7704"/>
    <w:rsid w:val="00AF597C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81E9E"/>
    <w:rsid w:val="00B8261F"/>
    <w:rsid w:val="00BA0054"/>
    <w:rsid w:val="00BB709E"/>
    <w:rsid w:val="00BC1EC4"/>
    <w:rsid w:val="00BC76E2"/>
    <w:rsid w:val="00BE40A6"/>
    <w:rsid w:val="00BF1298"/>
    <w:rsid w:val="00BF32B2"/>
    <w:rsid w:val="00C2715D"/>
    <w:rsid w:val="00C32412"/>
    <w:rsid w:val="00C3571A"/>
    <w:rsid w:val="00C53E37"/>
    <w:rsid w:val="00C61B4A"/>
    <w:rsid w:val="00C63D0C"/>
    <w:rsid w:val="00C90E57"/>
    <w:rsid w:val="00C912E2"/>
    <w:rsid w:val="00C967D5"/>
    <w:rsid w:val="00CA11D0"/>
    <w:rsid w:val="00CC2751"/>
    <w:rsid w:val="00CC37B4"/>
    <w:rsid w:val="00CC3D62"/>
    <w:rsid w:val="00CD795B"/>
    <w:rsid w:val="00CE247E"/>
    <w:rsid w:val="00CE2DC7"/>
    <w:rsid w:val="00CF2F62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82559"/>
    <w:rsid w:val="00D94BB8"/>
    <w:rsid w:val="00D97908"/>
    <w:rsid w:val="00DA040A"/>
    <w:rsid w:val="00DA09BD"/>
    <w:rsid w:val="00DA6C6A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25C17"/>
    <w:rsid w:val="00E36B73"/>
    <w:rsid w:val="00E40388"/>
    <w:rsid w:val="00E44BED"/>
    <w:rsid w:val="00E4787B"/>
    <w:rsid w:val="00E50643"/>
    <w:rsid w:val="00E72FEC"/>
    <w:rsid w:val="00E97A8C"/>
    <w:rsid w:val="00EA1269"/>
    <w:rsid w:val="00EA713D"/>
    <w:rsid w:val="00EB2F9F"/>
    <w:rsid w:val="00EB33FE"/>
    <w:rsid w:val="00EB6D05"/>
    <w:rsid w:val="00EC002B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520C5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5EA9"/>
    <w:rsid w:val="00FD6E32"/>
    <w:rsid w:val="00FE338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EFDB-09E4-4FFD-975D-99BD1A5F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1582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10930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3</cp:revision>
  <cp:lastPrinted>2012-02-10T12:42:00Z</cp:lastPrinted>
  <dcterms:created xsi:type="dcterms:W3CDTF">2018-08-22T21:00:00Z</dcterms:created>
  <dcterms:modified xsi:type="dcterms:W3CDTF">2018-10-19T22:39:00Z</dcterms:modified>
</cp:coreProperties>
</file>