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8B11FF">
      <w:pPr>
        <w:rPr>
          <w:b/>
        </w:rPr>
      </w:pPr>
      <w:r>
        <w:rPr>
          <w:noProof/>
        </w:rPr>
        <w:drawing>
          <wp:inline distT="0" distB="0" distL="0" distR="0" wp14:anchorId="06B70790" wp14:editId="36A9D70F">
            <wp:extent cx="2095500" cy="571500"/>
            <wp:effectExtent l="0" t="0" r="0" b="0"/>
            <wp:docPr id="6" name="Picture 6"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8B11FF" w:rsidRPr="007E4CE6" w:rsidRDefault="008B11FF">
      <w:pPr>
        <w:rPr>
          <w:b/>
        </w:rPr>
      </w:pPr>
    </w:p>
    <w:p w:rsidR="00952CFC" w:rsidRPr="00952CFC" w:rsidRDefault="00952CFC" w:rsidP="006107A2">
      <w:pPr>
        <w:jc w:val="center"/>
        <w:rPr>
          <w:rFonts w:eastAsia="HelenPro-Regular"/>
          <w:b/>
          <w:sz w:val="28"/>
          <w:szCs w:val="28"/>
        </w:rPr>
      </w:pPr>
      <w:r w:rsidRPr="00952CFC">
        <w:rPr>
          <w:rFonts w:eastAsia="HelenPro-Regular"/>
          <w:b/>
          <w:sz w:val="28"/>
          <w:szCs w:val="28"/>
        </w:rPr>
        <w:t>GAMMA-GLUTAMYL TRANSFERASE</w:t>
      </w:r>
      <w:r w:rsidR="00AD1C5F">
        <w:rPr>
          <w:rFonts w:eastAsia="HelenPro-Regular"/>
          <w:b/>
          <w:sz w:val="28"/>
          <w:szCs w:val="28"/>
        </w:rPr>
        <w:t xml:space="preserve"> (GGT)</w:t>
      </w:r>
    </w:p>
    <w:p w:rsidR="0056023B" w:rsidRPr="001A639E" w:rsidRDefault="004A2AA3" w:rsidP="006107A2">
      <w:pPr>
        <w:jc w:val="center"/>
        <w:rPr>
          <w:b/>
          <w:sz w:val="28"/>
          <w:szCs w:val="28"/>
        </w:rPr>
      </w:pPr>
      <w:r>
        <w:rPr>
          <w:b/>
          <w:sz w:val="28"/>
          <w:szCs w:val="28"/>
        </w:rPr>
        <w:t>SERUM</w:t>
      </w:r>
      <w:r w:rsidR="001F0FA4">
        <w:rPr>
          <w:b/>
          <w:sz w:val="28"/>
          <w:szCs w:val="28"/>
        </w:rPr>
        <w:t xml:space="preserve"> OR </w:t>
      </w:r>
      <w:r w:rsidR="0018762B">
        <w:rPr>
          <w:b/>
          <w:sz w:val="28"/>
          <w:szCs w:val="28"/>
        </w:rPr>
        <w:t>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9A32AB" w:rsidRPr="00952CFC" w:rsidRDefault="00952CFC" w:rsidP="00952CFC">
      <w:pPr>
        <w:autoSpaceDE w:val="0"/>
        <w:autoSpaceDN w:val="0"/>
        <w:adjustRightInd w:val="0"/>
        <w:rPr>
          <w:rFonts w:eastAsia="HelenPro-Regular"/>
        </w:rPr>
      </w:pPr>
      <w:r w:rsidRPr="00952CFC">
        <w:rPr>
          <w:rFonts w:eastAsia="HelenPro-Regular"/>
        </w:rPr>
        <w:t>The Gamma-</w:t>
      </w:r>
      <w:proofErr w:type="spellStart"/>
      <w:r w:rsidRPr="00952CFC">
        <w:rPr>
          <w:rFonts w:eastAsia="HelenPro-Regular"/>
        </w:rPr>
        <w:t>Glutamyl</w:t>
      </w:r>
      <w:proofErr w:type="spellEnd"/>
      <w:r w:rsidRPr="00952CFC">
        <w:rPr>
          <w:rFonts w:eastAsia="HelenPro-Regular"/>
        </w:rPr>
        <w:t xml:space="preserve"> </w:t>
      </w:r>
      <w:proofErr w:type="spellStart"/>
      <w:r w:rsidRPr="00952CFC">
        <w:rPr>
          <w:rFonts w:eastAsia="HelenPro-Regular"/>
        </w:rPr>
        <w:t>Transferase</w:t>
      </w:r>
      <w:proofErr w:type="spellEnd"/>
      <w:r w:rsidRPr="00952CFC">
        <w:rPr>
          <w:rFonts w:eastAsia="HelenPro-Regular"/>
        </w:rPr>
        <w:t xml:space="preserve"> (GGT) assay is used for the</w:t>
      </w:r>
      <w:r>
        <w:rPr>
          <w:rFonts w:eastAsia="HelenPro-Regular"/>
        </w:rPr>
        <w:t xml:space="preserve"> </w:t>
      </w:r>
      <w:r w:rsidRPr="00952CFC">
        <w:rPr>
          <w:rFonts w:eastAsia="HelenPro-Regular"/>
        </w:rPr>
        <w:t>quantitation of gamma-</w:t>
      </w:r>
      <w:proofErr w:type="spellStart"/>
      <w:r w:rsidRPr="00952CFC">
        <w:rPr>
          <w:rFonts w:eastAsia="HelenPro-Regular"/>
        </w:rPr>
        <w:t>glutamyl</w:t>
      </w:r>
      <w:proofErr w:type="spellEnd"/>
      <w:r w:rsidRPr="00952CFC">
        <w:rPr>
          <w:rFonts w:eastAsia="HelenPro-Regular"/>
        </w:rPr>
        <w:t xml:space="preserve"> </w:t>
      </w:r>
      <w:proofErr w:type="spellStart"/>
      <w:r w:rsidRPr="00952CFC">
        <w:rPr>
          <w:rFonts w:eastAsia="HelenPro-Regular"/>
        </w:rPr>
        <w:t>transferase</w:t>
      </w:r>
      <w:proofErr w:type="spellEnd"/>
      <w:r w:rsidRPr="00952CFC">
        <w:rPr>
          <w:rFonts w:eastAsia="HelenPro-Regular"/>
        </w:rPr>
        <w:t xml:space="preserve"> in human serum or plasma.</w:t>
      </w:r>
    </w:p>
    <w:p w:rsidR="00952CFC" w:rsidRPr="00952CFC" w:rsidRDefault="00952CFC" w:rsidP="00952CFC">
      <w:pPr>
        <w:jc w:val="both"/>
        <w:rPr>
          <w:b/>
        </w:rPr>
      </w:pPr>
    </w:p>
    <w:p w:rsidR="0009322F" w:rsidRPr="00952CFC" w:rsidRDefault="006559EB" w:rsidP="006107A2">
      <w:pPr>
        <w:jc w:val="both"/>
        <w:rPr>
          <w:sz w:val="28"/>
          <w:szCs w:val="28"/>
        </w:rPr>
      </w:pPr>
      <w:r w:rsidRPr="00952CFC">
        <w:rPr>
          <w:b/>
          <w:sz w:val="28"/>
          <w:szCs w:val="28"/>
        </w:rPr>
        <w:t>Clinical Significance</w:t>
      </w:r>
      <w:r w:rsidR="006107A2" w:rsidRPr="00952CFC">
        <w:rPr>
          <w:sz w:val="28"/>
          <w:szCs w:val="28"/>
        </w:rPr>
        <w:t xml:space="preserve"> </w:t>
      </w:r>
    </w:p>
    <w:p w:rsidR="00952CFC" w:rsidRPr="00952CFC" w:rsidRDefault="00952CFC" w:rsidP="00952CFC">
      <w:pPr>
        <w:autoSpaceDE w:val="0"/>
        <w:autoSpaceDN w:val="0"/>
        <w:adjustRightInd w:val="0"/>
        <w:rPr>
          <w:rFonts w:eastAsia="HelenPro-Regular"/>
        </w:rPr>
      </w:pPr>
      <w:r w:rsidRPr="00952CFC">
        <w:rPr>
          <w:rFonts w:eastAsia="HelenPro-Regular"/>
        </w:rPr>
        <w:t>Gamma-</w:t>
      </w:r>
      <w:proofErr w:type="spellStart"/>
      <w:r w:rsidRPr="00952CFC">
        <w:rPr>
          <w:rFonts w:eastAsia="HelenPro-Regular"/>
        </w:rPr>
        <w:t>glutamyl</w:t>
      </w:r>
      <w:proofErr w:type="spellEnd"/>
      <w:r w:rsidRPr="00952CFC">
        <w:rPr>
          <w:rFonts w:eastAsia="HelenPro-Regular"/>
        </w:rPr>
        <w:t xml:space="preserve"> </w:t>
      </w:r>
      <w:proofErr w:type="spellStart"/>
      <w:r w:rsidRPr="00952CFC">
        <w:rPr>
          <w:rFonts w:eastAsia="HelenPro-Regular"/>
        </w:rPr>
        <w:t>transferase</w:t>
      </w:r>
      <w:proofErr w:type="spellEnd"/>
      <w:r w:rsidRPr="00952CFC">
        <w:rPr>
          <w:rFonts w:eastAsia="HelenPro-Regular"/>
        </w:rPr>
        <w:t xml:space="preserve"> was first id</w:t>
      </w:r>
      <w:r>
        <w:rPr>
          <w:rFonts w:eastAsia="HelenPro-Regular"/>
        </w:rPr>
        <w:t xml:space="preserve">entified in kidney tissue. Even </w:t>
      </w:r>
      <w:r w:rsidRPr="00952CFC">
        <w:rPr>
          <w:rFonts w:eastAsia="HelenPro-Regular"/>
        </w:rPr>
        <w:t>though renal tissue has the highest level of GGT, the enzyme present</w:t>
      </w:r>
      <w:r>
        <w:rPr>
          <w:rFonts w:eastAsia="HelenPro-Regular"/>
        </w:rPr>
        <w:t xml:space="preserve"> </w:t>
      </w:r>
      <w:r w:rsidRPr="00952CFC">
        <w:rPr>
          <w:rFonts w:eastAsia="HelenPro-Regular"/>
        </w:rPr>
        <w:t xml:space="preserve">in serum appears to originate primarily from the </w:t>
      </w:r>
      <w:proofErr w:type="spellStart"/>
      <w:r w:rsidRPr="00952CFC">
        <w:rPr>
          <w:rFonts w:eastAsia="HelenPro-Regular"/>
        </w:rPr>
        <w:t>hepatobiliary</w:t>
      </w:r>
      <w:proofErr w:type="spellEnd"/>
      <w:r w:rsidRPr="00952CFC">
        <w:rPr>
          <w:rFonts w:eastAsia="HelenPro-Regular"/>
        </w:rPr>
        <w:t xml:space="preserve"> system,</w:t>
      </w:r>
      <w:r>
        <w:rPr>
          <w:rFonts w:eastAsia="HelenPro-Regular"/>
        </w:rPr>
        <w:t xml:space="preserve"> </w:t>
      </w:r>
      <w:r w:rsidRPr="00952CFC">
        <w:rPr>
          <w:rFonts w:eastAsia="HelenPro-Regular"/>
        </w:rPr>
        <w:t>and GGT is elevated in many forms of liver disease. Elevations in</w:t>
      </w:r>
    </w:p>
    <w:p w:rsidR="00C32412" w:rsidRPr="00952CFC" w:rsidRDefault="00952CFC" w:rsidP="00952CFC">
      <w:pPr>
        <w:autoSpaceDE w:val="0"/>
        <w:autoSpaceDN w:val="0"/>
        <w:adjustRightInd w:val="0"/>
        <w:rPr>
          <w:rFonts w:eastAsia="HelenPro-Regular"/>
        </w:rPr>
      </w:pPr>
      <w:r w:rsidRPr="00952CFC">
        <w:rPr>
          <w:rFonts w:eastAsia="HelenPro-Regular"/>
        </w:rPr>
        <w:t>GGT levels are seen earlier and are more pronounced than those with</w:t>
      </w:r>
      <w:r>
        <w:rPr>
          <w:rFonts w:eastAsia="HelenPro-Regular"/>
        </w:rPr>
        <w:t xml:space="preserve"> </w:t>
      </w:r>
      <w:r w:rsidRPr="00952CFC">
        <w:rPr>
          <w:rFonts w:eastAsia="HelenPro-Regular"/>
        </w:rPr>
        <w:t>other liver enzymes in cases of obstructive jaundice and metastatic</w:t>
      </w:r>
      <w:r>
        <w:rPr>
          <w:rFonts w:eastAsia="HelenPro-Regular"/>
        </w:rPr>
        <w:t xml:space="preserve"> </w:t>
      </w:r>
      <w:r w:rsidRPr="00952CFC">
        <w:rPr>
          <w:rFonts w:eastAsia="HelenPro-Regular"/>
        </w:rPr>
        <w:t>neoplasms. It may reach 5 to 30 times normal levels in intra- or</w:t>
      </w:r>
      <w:r>
        <w:rPr>
          <w:rFonts w:eastAsia="HelenPro-Regular"/>
        </w:rPr>
        <w:t xml:space="preserve"> </w:t>
      </w:r>
      <w:r w:rsidRPr="00952CFC">
        <w:rPr>
          <w:rFonts w:eastAsia="HelenPro-Regular"/>
        </w:rPr>
        <w:t>post-hepatic biliary obstruction. Only moderate elevations in the enzyme</w:t>
      </w:r>
      <w:r>
        <w:rPr>
          <w:rFonts w:eastAsia="HelenPro-Regular"/>
        </w:rPr>
        <w:t xml:space="preserve"> </w:t>
      </w:r>
      <w:r w:rsidRPr="00952CFC">
        <w:rPr>
          <w:rFonts w:eastAsia="HelenPro-Regular"/>
        </w:rPr>
        <w:t>level (2 to 5 times normal) are observed with infectious hepatitis:</w:t>
      </w:r>
      <w:r>
        <w:rPr>
          <w:rFonts w:eastAsia="HelenPro-Regular"/>
        </w:rPr>
        <w:t xml:space="preserve"> </w:t>
      </w:r>
      <w:r w:rsidRPr="00952CFC">
        <w:rPr>
          <w:rFonts w:eastAsia="HelenPro-Regular"/>
        </w:rPr>
        <w:t>therefore, GGT measurements are less useful diagnostically than</w:t>
      </w:r>
      <w:r>
        <w:rPr>
          <w:rFonts w:eastAsia="HelenPro-Regular"/>
        </w:rPr>
        <w:t xml:space="preserve"> </w:t>
      </w:r>
      <w:r w:rsidRPr="00952CFC">
        <w:rPr>
          <w:rFonts w:eastAsia="HelenPro-Regular"/>
        </w:rPr>
        <w:t>transaminase determinations with this condition.</w:t>
      </w:r>
    </w:p>
    <w:p w:rsidR="009C7BD7" w:rsidRPr="00952CFC" w:rsidRDefault="009C7BD7" w:rsidP="008A7F96">
      <w:pPr>
        <w:jc w:val="both"/>
        <w:rPr>
          <w:b/>
        </w:rPr>
      </w:pPr>
    </w:p>
    <w:p w:rsidR="008A7F96" w:rsidRPr="00952CFC" w:rsidRDefault="008A7F96" w:rsidP="008A7F96">
      <w:pPr>
        <w:jc w:val="both"/>
        <w:rPr>
          <w:color w:val="FF0000"/>
          <w:sz w:val="28"/>
          <w:szCs w:val="28"/>
        </w:rPr>
      </w:pPr>
      <w:r w:rsidRPr="00952CFC">
        <w:rPr>
          <w:b/>
          <w:sz w:val="28"/>
          <w:szCs w:val="28"/>
        </w:rPr>
        <w:t>Principle</w:t>
      </w:r>
      <w:r w:rsidRPr="00952CFC">
        <w:rPr>
          <w:sz w:val="28"/>
          <w:szCs w:val="28"/>
        </w:rPr>
        <w:t xml:space="preserve"> </w:t>
      </w:r>
    </w:p>
    <w:p w:rsidR="008A7F96" w:rsidRPr="00952CFC" w:rsidRDefault="008A7F96" w:rsidP="008A7F96">
      <w:pPr>
        <w:jc w:val="both"/>
      </w:pPr>
    </w:p>
    <w:p w:rsidR="00952CFC" w:rsidRPr="00952CFC" w:rsidRDefault="00952CFC" w:rsidP="00952CFC">
      <w:pPr>
        <w:autoSpaceDE w:val="0"/>
        <w:autoSpaceDN w:val="0"/>
        <w:adjustRightInd w:val="0"/>
        <w:rPr>
          <w:rFonts w:eastAsia="HelenPro-Regular"/>
        </w:rPr>
      </w:pPr>
      <w:r w:rsidRPr="00952CFC">
        <w:rPr>
          <w:rFonts w:eastAsia="HelenPro-Regular"/>
        </w:rPr>
        <w:t>GGT catalyzes the transfer of the gam</w:t>
      </w:r>
      <w:r>
        <w:rPr>
          <w:rFonts w:eastAsia="HelenPro-Regular"/>
        </w:rPr>
        <w:t>ma-</w:t>
      </w:r>
      <w:proofErr w:type="spellStart"/>
      <w:r>
        <w:rPr>
          <w:rFonts w:eastAsia="HelenPro-Regular"/>
        </w:rPr>
        <w:t>glutamyl</w:t>
      </w:r>
      <w:proofErr w:type="spellEnd"/>
      <w:r>
        <w:rPr>
          <w:rFonts w:eastAsia="HelenPro-Regular"/>
        </w:rPr>
        <w:t xml:space="preserve"> group from the </w:t>
      </w:r>
      <w:r w:rsidRPr="00952CFC">
        <w:rPr>
          <w:rFonts w:eastAsia="HelenPro-Regular"/>
        </w:rPr>
        <w:t>donor substrate (</w:t>
      </w:r>
      <w:r w:rsidRPr="00952CFC">
        <w:rPr>
          <w:rFonts w:eastAsia="HelenPro-Regular"/>
          <w:i/>
          <w:iCs/>
        </w:rPr>
        <w:t>L</w:t>
      </w:r>
      <w:r w:rsidRPr="00952CFC">
        <w:rPr>
          <w:rFonts w:eastAsia="HelenPro-Regular"/>
        </w:rPr>
        <w:t>-gamma-glutamyl-3-carboxy-4-nitroanilide) to the</w:t>
      </w:r>
      <w:r>
        <w:rPr>
          <w:rFonts w:eastAsia="HelenPro-Regular"/>
        </w:rPr>
        <w:t xml:space="preserve"> </w:t>
      </w:r>
      <w:proofErr w:type="spellStart"/>
      <w:r w:rsidRPr="00952CFC">
        <w:rPr>
          <w:rFonts w:eastAsia="HelenPro-Regular"/>
        </w:rPr>
        <w:t>glycylglycine</w:t>
      </w:r>
      <w:proofErr w:type="spellEnd"/>
      <w:r w:rsidRPr="00952CFC">
        <w:rPr>
          <w:rFonts w:eastAsia="HelenPro-Regular"/>
        </w:rPr>
        <w:t xml:space="preserve"> acceptor to yield 3-carboxy-4-nitroaniline. The rate of the</w:t>
      </w:r>
      <w:r>
        <w:rPr>
          <w:rFonts w:eastAsia="HelenPro-Regular"/>
        </w:rPr>
        <w:t xml:space="preserve"> </w:t>
      </w:r>
      <w:r w:rsidRPr="00952CFC">
        <w:rPr>
          <w:rFonts w:eastAsia="HelenPro-Regular"/>
        </w:rPr>
        <w:t xml:space="preserve">absorbance increase at 412 nm (416 nm for </w:t>
      </w:r>
      <w:r w:rsidRPr="00952CFC">
        <w:rPr>
          <w:rFonts w:eastAsia="HelenPro-Regular"/>
          <w:i/>
          <w:iCs/>
        </w:rPr>
        <w:t xml:space="preserve">c </w:t>
      </w:r>
      <w:r w:rsidRPr="00952CFC">
        <w:rPr>
          <w:rFonts w:eastAsia="HelenPro-Regular"/>
        </w:rPr>
        <w:t xml:space="preserve">4000 and </w:t>
      </w:r>
      <w:r w:rsidRPr="00952CFC">
        <w:rPr>
          <w:rFonts w:eastAsia="HelenPro-Regular"/>
          <w:i/>
          <w:iCs/>
        </w:rPr>
        <w:t xml:space="preserve">c </w:t>
      </w:r>
      <w:r w:rsidRPr="00952CFC">
        <w:rPr>
          <w:rFonts w:eastAsia="HelenPro-Regular"/>
        </w:rPr>
        <w:t>16000) is</w:t>
      </w:r>
      <w:r>
        <w:rPr>
          <w:rFonts w:eastAsia="HelenPro-Regular"/>
        </w:rPr>
        <w:t xml:space="preserve"> </w:t>
      </w:r>
      <w:r w:rsidRPr="00952CFC">
        <w:rPr>
          <w:rFonts w:eastAsia="HelenPro-Regular"/>
        </w:rPr>
        <w:t>directly proportional to the GGT in the sample. The GGT procedure is a</w:t>
      </w:r>
      <w:r>
        <w:rPr>
          <w:rFonts w:eastAsia="HelenPro-Regular"/>
        </w:rPr>
        <w:t xml:space="preserve"> </w:t>
      </w:r>
      <w:r w:rsidRPr="00952CFC">
        <w:rPr>
          <w:rFonts w:eastAsia="HelenPro-Regular"/>
        </w:rPr>
        <w:t xml:space="preserve">modification of the method described by </w:t>
      </w:r>
      <w:proofErr w:type="spellStart"/>
      <w:r w:rsidRPr="00952CFC">
        <w:rPr>
          <w:rFonts w:eastAsia="HelenPro-Regular"/>
        </w:rPr>
        <w:t>Theodorsen</w:t>
      </w:r>
      <w:proofErr w:type="spellEnd"/>
      <w:r w:rsidRPr="00952CFC">
        <w:rPr>
          <w:rFonts w:eastAsia="HelenPro-Regular"/>
        </w:rPr>
        <w:t xml:space="preserve"> et al.</w:t>
      </w:r>
    </w:p>
    <w:p w:rsidR="00952CFC" w:rsidRDefault="00952CFC" w:rsidP="00952CFC">
      <w:pPr>
        <w:rPr>
          <w:rFonts w:eastAsia="HelenPro-Bold"/>
          <w:b/>
          <w:bCs/>
        </w:rPr>
      </w:pPr>
    </w:p>
    <w:p w:rsidR="0056023B" w:rsidRPr="00952CFC" w:rsidRDefault="00952CFC" w:rsidP="00952CFC">
      <w:pPr>
        <w:rPr>
          <w:b/>
        </w:rPr>
      </w:pPr>
      <w:r w:rsidRPr="00952CFC">
        <w:rPr>
          <w:rFonts w:eastAsia="HelenPro-Bold"/>
          <w:b/>
          <w:bCs/>
        </w:rPr>
        <w:t xml:space="preserve">Methodology: </w:t>
      </w:r>
      <w:r w:rsidRPr="00952CFC">
        <w:rPr>
          <w:rFonts w:eastAsia="HelenPro-Regular"/>
          <w:i/>
          <w:iCs/>
        </w:rPr>
        <w:t>L-</w:t>
      </w:r>
      <w:r w:rsidRPr="00952CFC">
        <w:rPr>
          <w:rFonts w:eastAsia="HelenPro-Regular"/>
        </w:rPr>
        <w:t>Gamma-glutamyl-3-carboxy-4-nitroanilide Substrate</w:t>
      </w:r>
    </w:p>
    <w:p w:rsidR="009A32AB" w:rsidRPr="00952CFC" w:rsidRDefault="009A32AB" w:rsidP="006559EB">
      <w:pPr>
        <w:rPr>
          <w:b/>
        </w:rPr>
      </w:pPr>
    </w:p>
    <w:p w:rsidR="006559EB" w:rsidRPr="00952CFC" w:rsidRDefault="006559EB" w:rsidP="006559EB">
      <w:pPr>
        <w:rPr>
          <w:b/>
          <w:sz w:val="28"/>
          <w:szCs w:val="28"/>
        </w:rPr>
      </w:pPr>
      <w:r w:rsidRPr="00952CFC">
        <w:rPr>
          <w:b/>
          <w:sz w:val="28"/>
          <w:szCs w:val="28"/>
        </w:rPr>
        <w:t>Specimen Collection and Handling</w:t>
      </w:r>
      <w:r w:rsidR="00D60AFA" w:rsidRPr="00952CFC">
        <w:rPr>
          <w:b/>
          <w:sz w:val="28"/>
          <w:szCs w:val="28"/>
        </w:rPr>
        <w:t xml:space="preserve"> </w:t>
      </w:r>
    </w:p>
    <w:p w:rsidR="004A03BD" w:rsidRPr="00952CFC" w:rsidRDefault="004A03BD" w:rsidP="006559EB">
      <w:pPr>
        <w:rPr>
          <w:b/>
        </w:rPr>
      </w:pPr>
    </w:p>
    <w:p w:rsidR="000F0494" w:rsidRPr="00952CFC" w:rsidRDefault="000F0494" w:rsidP="000F0494">
      <w:pPr>
        <w:autoSpaceDE w:val="0"/>
        <w:autoSpaceDN w:val="0"/>
        <w:adjustRightInd w:val="0"/>
        <w:rPr>
          <w:rFonts w:eastAsia="HelenPro-Bold"/>
          <w:b/>
          <w:bCs/>
        </w:rPr>
      </w:pPr>
      <w:r w:rsidRPr="00952CFC">
        <w:rPr>
          <w:rFonts w:eastAsia="HelenPro-Bold"/>
          <w:b/>
          <w:bCs/>
        </w:rPr>
        <w:t>Suitable Specimens</w:t>
      </w:r>
    </w:p>
    <w:p w:rsidR="00952CFC" w:rsidRPr="00952CFC" w:rsidRDefault="00952CFC" w:rsidP="00952CFC">
      <w:pPr>
        <w:autoSpaceDE w:val="0"/>
        <w:autoSpaceDN w:val="0"/>
        <w:adjustRightInd w:val="0"/>
        <w:rPr>
          <w:rFonts w:eastAsia="HelenPro-Bold"/>
          <w:b/>
          <w:bCs/>
        </w:rPr>
      </w:pPr>
      <w:r w:rsidRPr="00952CFC">
        <w:rPr>
          <w:rFonts w:eastAsia="HelenPro-Bold"/>
          <w:b/>
          <w:bCs/>
        </w:rPr>
        <w:t>Suitable Specimens</w:t>
      </w:r>
    </w:p>
    <w:p w:rsidR="00952CFC" w:rsidRPr="00952CFC" w:rsidRDefault="00952CFC" w:rsidP="00952CFC">
      <w:pPr>
        <w:autoSpaceDE w:val="0"/>
        <w:autoSpaceDN w:val="0"/>
        <w:adjustRightInd w:val="0"/>
        <w:rPr>
          <w:rFonts w:eastAsia="HelenPro-Regular"/>
        </w:rPr>
      </w:pPr>
      <w:r w:rsidRPr="00952CFC">
        <w:rPr>
          <w:rFonts w:eastAsia="HelenPro-Regular"/>
        </w:rPr>
        <w:t>Serum and plasma are acceptable specimens.</w:t>
      </w:r>
    </w:p>
    <w:p w:rsidR="00952CFC" w:rsidRPr="00952CFC" w:rsidRDefault="00952CFC" w:rsidP="00952CFC">
      <w:pPr>
        <w:autoSpaceDE w:val="0"/>
        <w:autoSpaceDN w:val="0"/>
        <w:adjustRightInd w:val="0"/>
        <w:rPr>
          <w:rFonts w:eastAsia="HelenPro-Regular"/>
        </w:rPr>
      </w:pPr>
      <w:r w:rsidRPr="00952CFC">
        <w:rPr>
          <w:rFonts w:eastAsia="HelenPro-Regular"/>
        </w:rPr>
        <w:t xml:space="preserve">• </w:t>
      </w:r>
      <w:r w:rsidRPr="00952CFC">
        <w:rPr>
          <w:rFonts w:eastAsia="HelenPro-Bold"/>
          <w:b/>
          <w:bCs/>
        </w:rPr>
        <w:t xml:space="preserve">Serum: </w:t>
      </w:r>
      <w:r w:rsidRPr="00952CFC">
        <w:rPr>
          <w:rFonts w:eastAsia="HelenPro-Regular"/>
        </w:rPr>
        <w:t>Use serum collected by s</w:t>
      </w:r>
      <w:r>
        <w:rPr>
          <w:rFonts w:eastAsia="HelenPro-Regular"/>
        </w:rPr>
        <w:t xml:space="preserve">tandard venipuncture techniques </w:t>
      </w:r>
      <w:r w:rsidRPr="00952CFC">
        <w:rPr>
          <w:rFonts w:eastAsia="HelenPro-Regular"/>
        </w:rPr>
        <w:t>into glass or plastic tubes with or without gel barriers. Ensure</w:t>
      </w:r>
      <w:r>
        <w:rPr>
          <w:rFonts w:eastAsia="HelenPro-Regular"/>
        </w:rPr>
        <w:t xml:space="preserve"> </w:t>
      </w:r>
      <w:r w:rsidRPr="00952CFC">
        <w:rPr>
          <w:rFonts w:eastAsia="HelenPro-Regular"/>
        </w:rPr>
        <w:t>complete clot formation has taken place prior to centrifugation.</w:t>
      </w:r>
    </w:p>
    <w:p w:rsidR="00952CFC" w:rsidRPr="00952CFC" w:rsidRDefault="00952CFC" w:rsidP="00952CFC">
      <w:pPr>
        <w:autoSpaceDE w:val="0"/>
        <w:autoSpaceDN w:val="0"/>
        <w:adjustRightInd w:val="0"/>
        <w:rPr>
          <w:rFonts w:eastAsia="HelenPro-Regular"/>
        </w:rPr>
      </w:pPr>
      <w:r w:rsidRPr="00952CFC">
        <w:rPr>
          <w:rFonts w:eastAsia="HelenPro-Regular"/>
        </w:rPr>
        <w:t>Centrifuge according to tube manufacturer’</w:t>
      </w:r>
      <w:r>
        <w:rPr>
          <w:rFonts w:eastAsia="HelenPro-Regular"/>
        </w:rPr>
        <w:t xml:space="preserve">s instructions to ensure </w:t>
      </w:r>
      <w:r w:rsidRPr="00952CFC">
        <w:rPr>
          <w:rFonts w:eastAsia="HelenPro-Regular"/>
        </w:rPr>
        <w:t>proper separation of serum from blood cells.</w:t>
      </w:r>
    </w:p>
    <w:p w:rsidR="00952CFC" w:rsidRPr="00952CFC" w:rsidRDefault="00952CFC" w:rsidP="00952CFC">
      <w:pPr>
        <w:autoSpaceDE w:val="0"/>
        <w:autoSpaceDN w:val="0"/>
        <w:adjustRightInd w:val="0"/>
        <w:rPr>
          <w:rFonts w:eastAsia="HelenPro-Regular"/>
        </w:rPr>
      </w:pPr>
      <w:r w:rsidRPr="00952CFC">
        <w:rPr>
          <w:rFonts w:eastAsia="HelenPro-Regular"/>
        </w:rPr>
        <w:t>Some specimens, especiall</w:t>
      </w:r>
      <w:r>
        <w:rPr>
          <w:rFonts w:eastAsia="HelenPro-Regular"/>
        </w:rPr>
        <w:t xml:space="preserve">y those from patients receiving </w:t>
      </w:r>
      <w:r w:rsidRPr="00952CFC">
        <w:rPr>
          <w:rFonts w:eastAsia="HelenPro-Regular"/>
        </w:rPr>
        <w:t>anticoagulant or thrombolytic therapy, may take longer to complete</w:t>
      </w:r>
      <w:r>
        <w:rPr>
          <w:rFonts w:eastAsia="HelenPro-Regular"/>
        </w:rPr>
        <w:t xml:space="preserve"> </w:t>
      </w:r>
      <w:r w:rsidRPr="00952CFC">
        <w:rPr>
          <w:rFonts w:eastAsia="HelenPro-Regular"/>
        </w:rPr>
        <w:t>their clotting processes. Fibrin clots may subsequently form in these</w:t>
      </w:r>
      <w:r>
        <w:rPr>
          <w:rFonts w:eastAsia="HelenPro-Regular"/>
        </w:rPr>
        <w:t xml:space="preserve"> </w:t>
      </w:r>
      <w:r w:rsidRPr="00952CFC">
        <w:rPr>
          <w:rFonts w:eastAsia="HelenPro-Regular"/>
        </w:rPr>
        <w:t>sera and the clots could cause erroneous test results.</w:t>
      </w:r>
    </w:p>
    <w:p w:rsidR="009A32AB" w:rsidRPr="00952CFC" w:rsidRDefault="00952CFC" w:rsidP="00952CFC">
      <w:pPr>
        <w:autoSpaceDE w:val="0"/>
        <w:autoSpaceDN w:val="0"/>
        <w:adjustRightInd w:val="0"/>
        <w:rPr>
          <w:rFonts w:eastAsia="HelenPro-Regular"/>
        </w:rPr>
      </w:pPr>
      <w:r w:rsidRPr="00952CFC">
        <w:rPr>
          <w:rFonts w:eastAsia="HelenPro-Regular"/>
        </w:rPr>
        <w:lastRenderedPageBreak/>
        <w:t xml:space="preserve">• </w:t>
      </w:r>
      <w:r w:rsidRPr="00952CFC">
        <w:rPr>
          <w:rFonts w:eastAsia="HelenPro-Bold"/>
          <w:b/>
          <w:bCs/>
        </w:rPr>
        <w:t xml:space="preserve">Plasma: </w:t>
      </w:r>
      <w:r w:rsidRPr="00952CFC">
        <w:rPr>
          <w:rFonts w:eastAsia="HelenPro-Regular"/>
        </w:rPr>
        <w:t>Use plasma collected by s</w:t>
      </w:r>
      <w:r>
        <w:rPr>
          <w:rFonts w:eastAsia="HelenPro-Regular"/>
        </w:rPr>
        <w:t xml:space="preserve">tandard venipuncture techniques </w:t>
      </w:r>
      <w:r w:rsidRPr="00952CFC">
        <w:rPr>
          <w:rFonts w:eastAsia="HelenPro-Regular"/>
        </w:rPr>
        <w:t>into glass or plastic tubes. Acceptable anticoagulants are lithium</w:t>
      </w:r>
      <w:r>
        <w:rPr>
          <w:rFonts w:eastAsia="HelenPro-Regular"/>
        </w:rPr>
        <w:t xml:space="preserve"> </w:t>
      </w:r>
      <w:r w:rsidRPr="00952CFC">
        <w:rPr>
          <w:rFonts w:eastAsia="HelenPro-Regular"/>
        </w:rPr>
        <w:t>heparin (with or without gel barrier) and sodium heparin. Ensure</w:t>
      </w:r>
      <w:r>
        <w:rPr>
          <w:rFonts w:eastAsia="HelenPro-Regular"/>
        </w:rPr>
        <w:t xml:space="preserve"> </w:t>
      </w:r>
      <w:r w:rsidRPr="00952CFC">
        <w:rPr>
          <w:rFonts w:eastAsia="HelenPro-Regular"/>
        </w:rPr>
        <w:t>centrifugation is adequate to remove platelets. Centrifuge according</w:t>
      </w:r>
      <w:r>
        <w:rPr>
          <w:rFonts w:eastAsia="HelenPro-Regular"/>
        </w:rPr>
        <w:t xml:space="preserve"> </w:t>
      </w:r>
      <w:r w:rsidRPr="00952CFC">
        <w:rPr>
          <w:rFonts w:eastAsia="HelenPro-Regular"/>
        </w:rPr>
        <w:t>to tube manufacturer’s instructions to ensure proper separation of</w:t>
      </w:r>
      <w:r>
        <w:rPr>
          <w:rFonts w:eastAsia="HelenPro-Regular"/>
        </w:rPr>
        <w:t xml:space="preserve"> </w:t>
      </w:r>
      <w:r w:rsidRPr="00952CFC">
        <w:rPr>
          <w:rFonts w:eastAsia="HelenPro-Regular"/>
        </w:rPr>
        <w:t>plasma from blood cells.</w:t>
      </w:r>
    </w:p>
    <w:p w:rsidR="009A32AB" w:rsidRDefault="009A32AB" w:rsidP="009A32AB">
      <w:pPr>
        <w:autoSpaceDE w:val="0"/>
        <w:autoSpaceDN w:val="0"/>
        <w:adjustRightInd w:val="0"/>
        <w:rPr>
          <w:rFonts w:eastAsia="HelenPro-Bold"/>
          <w:b/>
          <w:bCs/>
        </w:rPr>
      </w:pPr>
    </w:p>
    <w:p w:rsidR="00DA4542" w:rsidRPr="009A32AB" w:rsidRDefault="00DA4542" w:rsidP="009A32AB">
      <w:pPr>
        <w:autoSpaceDE w:val="0"/>
        <w:autoSpaceDN w:val="0"/>
        <w:adjustRightInd w:val="0"/>
        <w:rPr>
          <w:rFonts w:eastAsia="HelenPro-Bold"/>
          <w:b/>
          <w:bCs/>
        </w:rPr>
      </w:pPr>
      <w:r w:rsidRPr="009A32AB">
        <w:rPr>
          <w:rFonts w:eastAsia="HelenPro-Bold"/>
          <w:b/>
          <w:bCs/>
        </w:rPr>
        <w:t>Specimen Storage</w:t>
      </w:r>
    </w:p>
    <w:p w:rsidR="009A32AB" w:rsidRPr="000F0494" w:rsidRDefault="00952CFC" w:rsidP="000F0494">
      <w:pPr>
        <w:autoSpaceDE w:val="0"/>
        <w:autoSpaceDN w:val="0"/>
        <w:adjustRightInd w:val="0"/>
        <w:rPr>
          <w:rFonts w:eastAsia="HelenPro-Regular"/>
        </w:rPr>
      </w:pPr>
      <w:r>
        <w:rPr>
          <w:noProof/>
        </w:rPr>
        <w:drawing>
          <wp:inline distT="0" distB="0" distL="0" distR="0" wp14:anchorId="5BB6C4ED" wp14:editId="5B1FC3AE">
            <wp:extent cx="2657475" cy="140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57475" cy="1409700"/>
                    </a:xfrm>
                    <a:prstGeom prst="rect">
                      <a:avLst/>
                    </a:prstGeom>
                  </pic:spPr>
                </pic:pic>
              </a:graphicData>
            </a:graphic>
          </wp:inline>
        </w:drawing>
      </w:r>
    </w:p>
    <w:p w:rsidR="00DA4542" w:rsidRDefault="00DA4542"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F7103F" w:rsidRPr="00F7103F" w:rsidRDefault="00F7103F" w:rsidP="00973EAF">
      <w:pPr>
        <w:ind w:firstLine="720"/>
        <w:rPr>
          <w:b/>
        </w:rPr>
      </w:pPr>
      <w:r w:rsidRPr="00F7103F">
        <w:rPr>
          <w:b/>
        </w:rPr>
        <w:t>MATERIALS PROVIDED</w:t>
      </w:r>
    </w:p>
    <w:p w:rsidR="00F7103F" w:rsidRPr="00F7103F" w:rsidRDefault="00F7103F" w:rsidP="00F7103F"/>
    <w:p w:rsidR="00EC73F8" w:rsidRPr="00952CFC" w:rsidRDefault="00952CFC" w:rsidP="00952CFC">
      <w:pPr>
        <w:ind w:firstLine="720"/>
      </w:pPr>
      <w:r w:rsidRPr="00952CFC">
        <w:rPr>
          <w:rFonts w:eastAsia="HelenPro-Regular"/>
        </w:rPr>
        <w:t>7D65 Gamma-</w:t>
      </w:r>
      <w:proofErr w:type="spellStart"/>
      <w:r w:rsidRPr="00952CFC">
        <w:rPr>
          <w:rFonts w:eastAsia="HelenPro-Regular"/>
        </w:rPr>
        <w:t>Glutamyl</w:t>
      </w:r>
      <w:proofErr w:type="spellEnd"/>
      <w:r w:rsidRPr="00952CFC">
        <w:rPr>
          <w:rFonts w:eastAsia="HelenPro-Regular"/>
        </w:rPr>
        <w:t xml:space="preserve"> </w:t>
      </w:r>
      <w:proofErr w:type="spellStart"/>
      <w:r w:rsidRPr="00952CFC">
        <w:rPr>
          <w:rFonts w:eastAsia="HelenPro-Regular"/>
        </w:rPr>
        <w:t>Transferase</w:t>
      </w:r>
      <w:proofErr w:type="spellEnd"/>
      <w:r w:rsidRPr="00952CFC">
        <w:rPr>
          <w:rFonts w:eastAsia="HelenPro-Regular"/>
        </w:rPr>
        <w:t xml:space="preserve"> Reagent Kit</w:t>
      </w:r>
    </w:p>
    <w:p w:rsidR="00952CFC" w:rsidRDefault="00952CFC" w:rsidP="00973EAF">
      <w:pPr>
        <w:ind w:firstLine="720"/>
        <w:rPr>
          <w:b/>
        </w:rPr>
      </w:pPr>
    </w:p>
    <w:p w:rsidR="00F7103F" w:rsidRPr="00F7103F" w:rsidRDefault="00F7103F" w:rsidP="00973EAF">
      <w:pPr>
        <w:ind w:firstLine="720"/>
        <w:rPr>
          <w:b/>
        </w:rPr>
      </w:pPr>
      <w:r w:rsidRPr="00F7103F">
        <w:rPr>
          <w:b/>
        </w:rPr>
        <w:t>MATERIALS REQUIRED BUT NOT PROVIDED</w:t>
      </w:r>
    </w:p>
    <w:p w:rsidR="00953EA1" w:rsidRPr="00953EA1" w:rsidRDefault="00953EA1" w:rsidP="00953EA1">
      <w:pPr>
        <w:autoSpaceDE w:val="0"/>
        <w:autoSpaceDN w:val="0"/>
        <w:adjustRightInd w:val="0"/>
        <w:ind w:left="720"/>
        <w:rPr>
          <w:rFonts w:eastAsia="HelenPro-Regular"/>
        </w:rPr>
      </w:pPr>
      <w:r w:rsidRPr="00953EA1">
        <w:rPr>
          <w:rFonts w:eastAsia="HelenPro-Regular"/>
        </w:rPr>
        <w:t>• Control Material</w:t>
      </w:r>
    </w:p>
    <w:p w:rsidR="00C32412" w:rsidRPr="00953EA1" w:rsidRDefault="00953EA1" w:rsidP="000F0494">
      <w:pPr>
        <w:autoSpaceDE w:val="0"/>
        <w:autoSpaceDN w:val="0"/>
        <w:adjustRightInd w:val="0"/>
        <w:ind w:left="720"/>
        <w:rPr>
          <w:b/>
        </w:rPr>
      </w:pPr>
      <w:r w:rsidRPr="00953EA1">
        <w:rPr>
          <w:rFonts w:eastAsia="HelenPro-Regular"/>
        </w:rPr>
        <w:t xml:space="preserve">• Saline (0.85% to 0.90% </w:t>
      </w:r>
      <w:proofErr w:type="spellStart"/>
      <w:r w:rsidRPr="00953EA1">
        <w:rPr>
          <w:rFonts w:eastAsia="HelenPro-Regular"/>
        </w:rPr>
        <w:t>NaCl</w:t>
      </w:r>
      <w:proofErr w:type="spellEnd"/>
      <w:r w:rsidRPr="00953EA1">
        <w:rPr>
          <w:rFonts w:eastAsia="HelenPro-Regular"/>
        </w:rPr>
        <w:t>) for specimens that require dilution</w:t>
      </w:r>
    </w:p>
    <w:p w:rsidR="00953EA1" w:rsidRDefault="00953EA1"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953EA1" w:rsidRPr="00953EA1" w:rsidRDefault="00953EA1" w:rsidP="00953EA1">
      <w:pPr>
        <w:autoSpaceDE w:val="0"/>
        <w:autoSpaceDN w:val="0"/>
        <w:adjustRightInd w:val="0"/>
        <w:rPr>
          <w:rFonts w:eastAsia="HelenPro-Regular"/>
        </w:rPr>
      </w:pPr>
      <w:r w:rsidRPr="00953EA1">
        <w:rPr>
          <w:rFonts w:eastAsia="HelenPro-Regular"/>
        </w:rPr>
        <w:t>1. For in vitro diagnostic use.</w:t>
      </w:r>
    </w:p>
    <w:p w:rsidR="00953EA1" w:rsidRPr="00953EA1" w:rsidRDefault="00953EA1" w:rsidP="00953EA1">
      <w:pPr>
        <w:autoSpaceDE w:val="0"/>
        <w:autoSpaceDN w:val="0"/>
        <w:adjustRightInd w:val="0"/>
        <w:rPr>
          <w:rFonts w:eastAsia="HelenPro-Regular"/>
        </w:rPr>
      </w:pPr>
      <w:r w:rsidRPr="00953EA1">
        <w:rPr>
          <w:rFonts w:eastAsia="HelenPro-Regular"/>
        </w:rPr>
        <w:t>2. Do not use components beyond the expiration date.</w:t>
      </w:r>
    </w:p>
    <w:p w:rsidR="00953EA1" w:rsidRPr="00953EA1" w:rsidRDefault="00953EA1" w:rsidP="00953EA1">
      <w:pPr>
        <w:autoSpaceDE w:val="0"/>
        <w:autoSpaceDN w:val="0"/>
        <w:adjustRightInd w:val="0"/>
        <w:rPr>
          <w:rFonts w:eastAsia="HelenPro-Regular"/>
        </w:rPr>
      </w:pPr>
      <w:r w:rsidRPr="00953EA1">
        <w:rPr>
          <w:rFonts w:eastAsia="HelenPro-Regular"/>
        </w:rPr>
        <w:t>3. 4. Do not mix reagents prepared at different times.</w:t>
      </w:r>
    </w:p>
    <w:p w:rsidR="00F7103F" w:rsidRPr="00F7103F" w:rsidRDefault="00F7103F" w:rsidP="000F0494">
      <w:pPr>
        <w:autoSpaceDE w:val="0"/>
        <w:autoSpaceDN w:val="0"/>
        <w:adjustRightInd w:val="0"/>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4A03BD" w:rsidRDefault="00F7103F" w:rsidP="00953EA1">
      <w:pPr>
        <w:rPr>
          <w:rFonts w:eastAsia="HelenPro-Regular"/>
        </w:rPr>
      </w:pPr>
      <w:r w:rsidRPr="00F7103F">
        <w:rPr>
          <w:rFonts w:eastAsia="HelenPro-Regular"/>
        </w:rPr>
        <w:t>It is recommended that all human sourced materials be considered</w:t>
      </w:r>
      <w:r w:rsidR="00953EA1">
        <w:rPr>
          <w:rFonts w:eastAsia="HelenPro-Regular"/>
        </w:rPr>
        <w:t xml:space="preserve"> </w:t>
      </w:r>
      <w:r w:rsidRPr="00F7103F">
        <w:rPr>
          <w:rFonts w:eastAsia="HelenPro-Regular"/>
        </w:rPr>
        <w:t>potentially infectious and be handled in accordance with the OSHA</w:t>
      </w:r>
      <w:r w:rsidR="00953EA1">
        <w:rPr>
          <w:rFonts w:eastAsia="HelenPro-Regular"/>
        </w:rPr>
        <w:t xml:space="preserve"> </w:t>
      </w: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953EA1">
        <w:rPr>
          <w:rFonts w:eastAsia="HelenPro-Regular"/>
        </w:rPr>
        <w:t xml:space="preserve"> </w:t>
      </w:r>
      <w:r w:rsidRPr="00F7103F">
        <w:rPr>
          <w:rFonts w:eastAsia="HelenPro-Regular"/>
        </w:rPr>
        <w:t>appropriate biosafety practices should be used for materials that contain or are suspected of containing infectious agents.</w:t>
      </w:r>
    </w:p>
    <w:p w:rsidR="00952CFC" w:rsidRPr="00952CFC" w:rsidRDefault="00952CFC" w:rsidP="00952CFC">
      <w:pPr>
        <w:autoSpaceDE w:val="0"/>
        <w:autoSpaceDN w:val="0"/>
        <w:adjustRightInd w:val="0"/>
        <w:rPr>
          <w:rFonts w:eastAsia="HelenPro-Regular"/>
        </w:rPr>
      </w:pPr>
      <w:r w:rsidRPr="00952CFC">
        <w:rPr>
          <w:rFonts w:eastAsia="HelenPro-Regular"/>
        </w:rPr>
        <w:t>• The following warning and precaution apply to</w:t>
      </w:r>
      <w:r>
        <w:rPr>
          <w:rFonts w:eastAsia="HelenPro-Regular"/>
        </w:rPr>
        <w:t xml:space="preserve"> R1</w:t>
      </w:r>
      <w:r w:rsidRPr="00952CFC">
        <w:rPr>
          <w:rFonts w:eastAsia="HelenPro-Regular"/>
        </w:rPr>
        <w:t xml:space="preserve"> and </w:t>
      </w:r>
      <w:r>
        <w:rPr>
          <w:rFonts w:eastAsia="HelenPro-Regular"/>
        </w:rPr>
        <w:t>R2</w:t>
      </w:r>
      <w:r w:rsidRPr="00952CFC">
        <w:rPr>
          <w:rFonts w:eastAsia="HelenPro-Regular"/>
        </w:rPr>
        <w:t>:</w:t>
      </w:r>
    </w:p>
    <w:p w:rsidR="00952CFC" w:rsidRPr="00952CFC" w:rsidRDefault="00952CFC" w:rsidP="00952CFC">
      <w:pPr>
        <w:autoSpaceDE w:val="0"/>
        <w:autoSpaceDN w:val="0"/>
        <w:adjustRightInd w:val="0"/>
        <w:rPr>
          <w:rFonts w:eastAsia="HelenPro-Regular"/>
        </w:rPr>
      </w:pPr>
      <w:r w:rsidRPr="00952CFC">
        <w:rPr>
          <w:rFonts w:eastAsia="HelenPro-Regular"/>
        </w:rPr>
        <w:t xml:space="preserve">Contains sodium </w:t>
      </w:r>
      <w:proofErr w:type="spellStart"/>
      <w:r w:rsidRPr="00952CFC">
        <w:rPr>
          <w:rFonts w:eastAsia="HelenPro-Regular"/>
        </w:rPr>
        <w:t>azide</w:t>
      </w:r>
      <w:proofErr w:type="spellEnd"/>
      <w:r w:rsidRPr="00952CFC">
        <w:rPr>
          <w:rFonts w:eastAsia="HelenPro-Regular"/>
        </w:rPr>
        <w:t>.</w:t>
      </w:r>
    </w:p>
    <w:p w:rsidR="00952CFC" w:rsidRPr="00952CFC" w:rsidRDefault="00952CFC" w:rsidP="00952CFC">
      <w:pPr>
        <w:autoSpaceDE w:val="0"/>
        <w:autoSpaceDN w:val="0"/>
        <w:adjustRightInd w:val="0"/>
        <w:rPr>
          <w:rFonts w:eastAsia="HelenPro-Regular"/>
        </w:rPr>
      </w:pPr>
      <w:r w:rsidRPr="00952CFC">
        <w:rPr>
          <w:rFonts w:eastAsia="HelenPro-Regular"/>
        </w:rPr>
        <w:t>EUH032 Contact with acids liberates very toxic gas.</w:t>
      </w:r>
    </w:p>
    <w:p w:rsidR="00952CFC" w:rsidRPr="00952CFC" w:rsidRDefault="00952CFC" w:rsidP="00952CFC">
      <w:pPr>
        <w:autoSpaceDE w:val="0"/>
        <w:autoSpaceDN w:val="0"/>
        <w:adjustRightInd w:val="0"/>
        <w:rPr>
          <w:rFonts w:eastAsia="HelenPro-Regular"/>
        </w:rPr>
      </w:pPr>
      <w:r w:rsidRPr="00952CFC">
        <w:rPr>
          <w:rFonts w:eastAsia="HelenPro-Regular"/>
        </w:rPr>
        <w:t>These materials and their containers must be disposed of in a safe</w:t>
      </w:r>
    </w:p>
    <w:p w:rsidR="009A32AB" w:rsidRPr="0003338F" w:rsidRDefault="00952CFC" w:rsidP="00952CFC">
      <w:pPr>
        <w:rPr>
          <w:rFonts w:eastAsia="HelenPro-Regular"/>
        </w:rPr>
      </w:pPr>
      <w:r w:rsidRPr="00952CFC">
        <w:rPr>
          <w:rFonts w:eastAsia="HelenPro-Regular"/>
        </w:rPr>
        <w:lastRenderedPageBreak/>
        <w:t>way.</w:t>
      </w:r>
    </w:p>
    <w:p w:rsidR="0038442D" w:rsidRDefault="0038442D"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953EA1" w:rsidRPr="00953EA1" w:rsidRDefault="00953EA1" w:rsidP="00953EA1">
      <w:pPr>
        <w:autoSpaceDE w:val="0"/>
        <w:autoSpaceDN w:val="0"/>
        <w:adjustRightInd w:val="0"/>
        <w:rPr>
          <w:rFonts w:eastAsia="HelenPro-Regular"/>
        </w:rPr>
      </w:pPr>
      <w:r w:rsidRPr="00953EA1">
        <w:rPr>
          <w:rFonts w:eastAsia="HelenPro-Regular"/>
        </w:rPr>
        <w:t>Remove air bubbles, if present in th</w:t>
      </w:r>
      <w:r>
        <w:rPr>
          <w:rFonts w:eastAsia="HelenPro-Regular"/>
        </w:rPr>
        <w:t xml:space="preserve">e reagent cartridge, with a new </w:t>
      </w:r>
      <w:r w:rsidRPr="00953EA1">
        <w:rPr>
          <w:rFonts w:eastAsia="HelenPro-Regular"/>
        </w:rPr>
        <w:t>applicator stick. Alternatively, allow the reagent to sit at the appropriate</w:t>
      </w:r>
      <w:r>
        <w:rPr>
          <w:rFonts w:eastAsia="HelenPro-Regular"/>
        </w:rPr>
        <w:t xml:space="preserve"> </w:t>
      </w:r>
      <w:r w:rsidRPr="00953EA1">
        <w:rPr>
          <w:rFonts w:eastAsia="HelenPro-Regular"/>
        </w:rPr>
        <w:t>storage temperature to allow the bubbles to dissipate. To minimize</w:t>
      </w:r>
      <w:r>
        <w:rPr>
          <w:rFonts w:eastAsia="HelenPro-Regular"/>
        </w:rPr>
        <w:t xml:space="preserve"> </w:t>
      </w:r>
      <w:r w:rsidRPr="00953EA1">
        <w:rPr>
          <w:rFonts w:eastAsia="HelenPro-Regular"/>
        </w:rPr>
        <w:t>volume depletion, do not use a transfer pipette to remove the bubbles.</w:t>
      </w:r>
    </w:p>
    <w:p w:rsidR="00953EA1" w:rsidRPr="00953EA1" w:rsidRDefault="00953EA1" w:rsidP="00953EA1">
      <w:pPr>
        <w:autoSpaceDE w:val="0"/>
        <w:autoSpaceDN w:val="0"/>
        <w:adjustRightInd w:val="0"/>
        <w:rPr>
          <w:rFonts w:eastAsia="HelenPro-Regular"/>
        </w:rPr>
      </w:pPr>
      <w:r w:rsidRPr="00953EA1">
        <w:rPr>
          <w:rFonts w:eastAsia="HelenPro-Bold"/>
          <w:b/>
          <w:bCs/>
        </w:rPr>
        <w:t xml:space="preserve">CAUTION: </w:t>
      </w:r>
      <w:r w:rsidRPr="00953EA1">
        <w:rPr>
          <w:rFonts w:eastAsia="HelenPro-Regular"/>
        </w:rPr>
        <w:t>Reagent bubbles may int</w:t>
      </w:r>
      <w:r>
        <w:rPr>
          <w:rFonts w:eastAsia="HelenPro-Regular"/>
        </w:rPr>
        <w:t xml:space="preserve">erfere with proper detection of </w:t>
      </w:r>
      <w:r w:rsidRPr="00953EA1">
        <w:rPr>
          <w:rFonts w:eastAsia="HelenPro-Regular"/>
        </w:rPr>
        <w:t>reagent level in the cartridge, causing insufficient reagent aspiration</w:t>
      </w:r>
      <w:r>
        <w:rPr>
          <w:rFonts w:eastAsia="HelenPro-Regular"/>
        </w:rPr>
        <w:t xml:space="preserve"> </w:t>
      </w:r>
      <w:r w:rsidRPr="00953EA1">
        <w:rPr>
          <w:rFonts w:eastAsia="HelenPro-Regular"/>
        </w:rPr>
        <w:t>which could impact results.</w:t>
      </w:r>
    </w:p>
    <w:p w:rsidR="000F0494" w:rsidRDefault="000F0494" w:rsidP="00953EA1">
      <w:pPr>
        <w:autoSpaceDE w:val="0"/>
        <w:autoSpaceDN w:val="0"/>
        <w:adjustRightInd w:val="0"/>
        <w:rPr>
          <w:rFonts w:eastAsia="HelenPro-Bold"/>
          <w:b/>
          <w:bCs/>
        </w:rPr>
      </w:pPr>
    </w:p>
    <w:p w:rsidR="00953EA1" w:rsidRPr="00953EA1" w:rsidRDefault="00953EA1" w:rsidP="00953EA1">
      <w:pPr>
        <w:autoSpaceDE w:val="0"/>
        <w:autoSpaceDN w:val="0"/>
        <w:adjustRightInd w:val="0"/>
        <w:rPr>
          <w:rFonts w:eastAsia="HelenPro-Bold"/>
          <w:b/>
          <w:bCs/>
        </w:rPr>
      </w:pPr>
      <w:r w:rsidRPr="00953EA1">
        <w:rPr>
          <w:rFonts w:eastAsia="HelenPro-Bold"/>
          <w:b/>
          <w:bCs/>
        </w:rPr>
        <w:t>Reagent Storage</w:t>
      </w:r>
    </w:p>
    <w:p w:rsidR="000F0494" w:rsidRDefault="000F0494" w:rsidP="000F0494">
      <w:pPr>
        <w:autoSpaceDE w:val="0"/>
        <w:autoSpaceDN w:val="0"/>
        <w:adjustRightInd w:val="0"/>
        <w:rPr>
          <w:rFonts w:eastAsia="HelenPro-Regular"/>
        </w:rPr>
      </w:pPr>
      <w:r w:rsidRPr="000F0494">
        <w:rPr>
          <w:rFonts w:eastAsia="HelenPro-Regular"/>
        </w:rPr>
        <w:t xml:space="preserve">Unopened reagents are stable until </w:t>
      </w:r>
      <w:r>
        <w:rPr>
          <w:rFonts w:eastAsia="HelenPro-Regular"/>
        </w:rPr>
        <w:t xml:space="preserve">the expiration date when stored </w:t>
      </w:r>
      <w:r w:rsidRPr="000F0494">
        <w:rPr>
          <w:rFonts w:eastAsia="HelenPro-Regular"/>
        </w:rPr>
        <w:t>at 2 to 8°C.</w:t>
      </w:r>
    </w:p>
    <w:p w:rsidR="000F0494" w:rsidRPr="000F0494" w:rsidRDefault="000F0494" w:rsidP="000F0494">
      <w:pPr>
        <w:spacing w:after="72"/>
        <w:rPr>
          <w:rFonts w:eastAsia="HelenPro-Regular"/>
        </w:rPr>
      </w:pPr>
      <w:r w:rsidRPr="000F0494">
        <w:rPr>
          <w:rFonts w:eastAsia="HelenPro-Regular"/>
        </w:rPr>
        <w:t xml:space="preserve">Reagent stability is </w:t>
      </w:r>
      <w:r w:rsidR="00952CFC">
        <w:rPr>
          <w:rFonts w:eastAsia="HelenPro-Regular"/>
        </w:rPr>
        <w:t>27</w:t>
      </w:r>
      <w:r w:rsidRPr="000F0494">
        <w:rPr>
          <w:rFonts w:eastAsia="HelenPro-Regular"/>
        </w:rPr>
        <w:t xml:space="preserve"> days if the reagent is uncapped and onboard.</w:t>
      </w:r>
    </w:p>
    <w:p w:rsidR="000F0494" w:rsidRDefault="000F0494" w:rsidP="000F0494">
      <w:pPr>
        <w:spacing w:after="72"/>
        <w:rPr>
          <w:rStyle w:val="BodyBold"/>
          <w:rFonts w:ascii="Times New Roman" w:hAnsi="Times New Roman"/>
          <w:sz w:val="24"/>
          <w:szCs w:val="24"/>
        </w:rPr>
      </w:pPr>
    </w:p>
    <w:p w:rsidR="009A32AB" w:rsidRDefault="00B36577" w:rsidP="009A32AB">
      <w:pPr>
        <w:spacing w:after="72"/>
      </w:pPr>
      <w:r w:rsidRPr="007E4CE6">
        <w:rPr>
          <w:rStyle w:val="BodyBold"/>
          <w:rFonts w:ascii="Times New Roman" w:hAnsi="Times New Roman"/>
          <w:sz w:val="24"/>
          <w:szCs w:val="24"/>
          <w:lang w:val="ru-RU"/>
        </w:rPr>
        <w:t>Reagent Preparation:</w:t>
      </w:r>
      <w:r w:rsidRPr="007E4CE6">
        <w:rPr>
          <w:lang w:val="ru-RU"/>
        </w:rPr>
        <w:t xml:space="preserve"> </w:t>
      </w:r>
    </w:p>
    <w:p w:rsidR="00953EA1" w:rsidRPr="009A32AB" w:rsidRDefault="00952CFC" w:rsidP="009A32AB">
      <w:pPr>
        <w:spacing w:after="72"/>
      </w:pPr>
      <w:r>
        <w:rPr>
          <w:rFonts w:eastAsia="HelenPro-Regular"/>
        </w:rPr>
        <w:t>GGT</w:t>
      </w:r>
      <w:r w:rsidR="000F0494" w:rsidRPr="000F0494">
        <w:rPr>
          <w:rFonts w:eastAsia="HelenPro-Regular"/>
        </w:rPr>
        <w:t xml:space="preserve"> is supplied as a liquid, ready-to-use, reagent kit</w:t>
      </w:r>
      <w:r w:rsidR="000F0494">
        <w:rPr>
          <w:rFonts w:eastAsia="HelenPro-Regular"/>
        </w:rPr>
        <w:t xml:space="preserve"> </w:t>
      </w:r>
      <w:r w:rsidR="000F0494" w:rsidRPr="000F0494">
        <w:rPr>
          <w:rFonts w:eastAsia="HelenPro-Regular"/>
        </w:rPr>
        <w:t xml:space="preserve">which contains: R1 </w:t>
      </w:r>
      <w:r w:rsidR="006C43A8">
        <w:rPr>
          <w:rFonts w:eastAsia="HelenPro-Regular"/>
        </w:rPr>
        <w:t>&amp; R2</w:t>
      </w:r>
    </w:p>
    <w:p w:rsidR="00D64E39" w:rsidRDefault="00952CFC" w:rsidP="00D64E39">
      <w:pPr>
        <w:rPr>
          <w:rFonts w:ascii="Arial" w:eastAsia="HelenPro-Regular" w:hAnsi="Arial" w:cs="Arial"/>
        </w:rPr>
      </w:pPr>
      <w:r>
        <w:rPr>
          <w:noProof/>
        </w:rPr>
        <w:drawing>
          <wp:inline distT="0" distB="0" distL="0" distR="0" wp14:anchorId="636A197B" wp14:editId="28549CC9">
            <wp:extent cx="421005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0050" cy="1285875"/>
                    </a:xfrm>
                    <a:prstGeom prst="rect">
                      <a:avLst/>
                    </a:prstGeom>
                  </pic:spPr>
                </pic:pic>
              </a:graphicData>
            </a:graphic>
          </wp:inline>
        </w:drawing>
      </w:r>
    </w:p>
    <w:p w:rsidR="006C43A8" w:rsidRPr="00E54019" w:rsidRDefault="006C43A8" w:rsidP="00D64E39">
      <w:pPr>
        <w:rPr>
          <w:rFonts w:ascii="Arial" w:eastAsia="HelenPro-Regular" w:hAnsi="Arial" w:cs="Arial"/>
        </w:rPr>
      </w:pPr>
    </w:p>
    <w:p w:rsidR="00AB793D" w:rsidRDefault="00AB793D" w:rsidP="00AB793D">
      <w:pPr>
        <w:rPr>
          <w:rFonts w:eastAsia="HelenPro-Regular"/>
        </w:rPr>
      </w:pPr>
    </w:p>
    <w:p w:rsidR="00973EAF" w:rsidRPr="00973EAF" w:rsidRDefault="000F0494" w:rsidP="00973EAF">
      <w:pPr>
        <w:spacing w:after="43"/>
        <w:rPr>
          <w:i/>
          <w:color w:val="FF0000"/>
          <w:szCs w:val="15"/>
        </w:rPr>
      </w:pPr>
      <w:r>
        <w:rPr>
          <w:b/>
          <w:szCs w:val="14"/>
        </w:rPr>
        <w:t>Q</w:t>
      </w:r>
      <w:r w:rsidR="00B36577" w:rsidRPr="007E4CE6">
        <w:rPr>
          <w:b/>
          <w:szCs w:val="14"/>
        </w:rPr>
        <w:t>uality Control:</w:t>
      </w:r>
      <w:r w:rsidR="00CA11D0" w:rsidRPr="007E4CE6">
        <w:rPr>
          <w:szCs w:val="14"/>
        </w:rPr>
        <w:t xml:space="preserve">  </w:t>
      </w:r>
      <w:r w:rsidR="0056023B">
        <w:rPr>
          <w:szCs w:val="14"/>
        </w:rPr>
        <w:t xml:space="preserve">Minimum 2 levels of </w:t>
      </w:r>
      <w:r w:rsidR="0025031C" w:rsidRPr="00162EEA">
        <w:t>Chemistry</w:t>
      </w:r>
      <w:r w:rsidR="0025031C" w:rsidRPr="00162EEA">
        <w:rPr>
          <w:b/>
        </w:rPr>
        <w:t xml:space="preserve"> </w:t>
      </w:r>
      <w:r w:rsidR="0025031C" w:rsidRPr="00162EEA">
        <w:t>Control</w:t>
      </w:r>
      <w:r w:rsidR="00827DE8">
        <w:t xml:space="preserve"> (Normal and Abnormal</w:t>
      </w:r>
      <w:r w:rsidR="006C43A8">
        <w:t>)</w:t>
      </w:r>
    </w:p>
    <w:p w:rsidR="0025031C" w:rsidRPr="00162EEA" w:rsidRDefault="0025031C" w:rsidP="0025031C">
      <w:pPr>
        <w:ind w:left="1440"/>
      </w:pPr>
      <w:r w:rsidRPr="00162EEA">
        <w:rPr>
          <w:b/>
          <w:szCs w:val="14"/>
        </w:rPr>
        <w:t xml:space="preserve"> </w:t>
      </w:r>
    </w:p>
    <w:p w:rsidR="00452710" w:rsidRDefault="00452710" w:rsidP="00D60AFA">
      <w:pPr>
        <w:spacing w:after="43"/>
        <w:rPr>
          <w:b/>
          <w:sz w:val="28"/>
          <w:szCs w:val="28"/>
        </w:rPr>
      </w:pP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t xml:space="preserve">Frequency:  </w:t>
      </w:r>
    </w:p>
    <w:p w:rsidR="00CC3D62" w:rsidRDefault="00E4787B" w:rsidP="00E4787B">
      <w:pPr>
        <w:autoSpaceDE w:val="0"/>
        <w:autoSpaceDN w:val="0"/>
        <w:adjustRightInd w:val="0"/>
        <w:ind w:left="720"/>
        <w:rPr>
          <w:rFonts w:ascii="HelenPro-Regular" w:hAnsi="HelenPro-Regular" w:cs="HelenPro-Regular"/>
          <w:sz w:val="16"/>
          <w:szCs w:val="16"/>
        </w:rPr>
      </w:pPr>
      <w:r w:rsidRPr="00E4787B">
        <w:t xml:space="preserve">Calibration is stable for </w:t>
      </w:r>
      <w:r w:rsidR="00952CFC">
        <w:t>27</w:t>
      </w:r>
      <w:r w:rsidRPr="00E4787B">
        <w:t xml:space="preserve"> days (</w:t>
      </w:r>
      <w:r w:rsidR="00952CFC">
        <w:t>648</w:t>
      </w:r>
      <w:r w:rsidRPr="00E4787B">
        <w:t xml:space="preserve"> h</w:t>
      </w:r>
      <w:r>
        <w:t>ours)</w:t>
      </w:r>
      <w:r w:rsidR="00AF597C">
        <w:t xml:space="preserve"> </w:t>
      </w:r>
      <w:r w:rsidR="00AF597C" w:rsidRPr="0055619E">
        <w:t>for any one lot.</w:t>
      </w:r>
      <w:r>
        <w:t xml:space="preserve"> </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6C43A8" w:rsidRDefault="006C43A8" w:rsidP="004F5F8A">
      <w:pPr>
        <w:ind w:left="720"/>
        <w:rPr>
          <w:b/>
        </w:rPr>
      </w:pPr>
    </w:p>
    <w:p w:rsidR="004F5F8A" w:rsidRDefault="0025031C" w:rsidP="004F5F8A">
      <w:pPr>
        <w:ind w:left="720"/>
        <w:rPr>
          <w:b/>
        </w:rPr>
      </w:pPr>
      <w:r w:rsidRPr="00081C7F">
        <w:rPr>
          <w:b/>
        </w:rPr>
        <w:t>Calibration Procedure:</w:t>
      </w:r>
      <w:r w:rsidR="0006502B" w:rsidRPr="00081C7F">
        <w:rPr>
          <w:b/>
        </w:rPr>
        <w:t xml:space="preserve"> </w:t>
      </w:r>
    </w:p>
    <w:p w:rsidR="00953EA1" w:rsidRPr="00952CFC" w:rsidRDefault="00952CFC" w:rsidP="00952CFC">
      <w:pPr>
        <w:autoSpaceDE w:val="0"/>
        <w:autoSpaceDN w:val="0"/>
        <w:adjustRightInd w:val="0"/>
        <w:ind w:left="720"/>
        <w:rPr>
          <w:rFonts w:eastAsia="HelenPro-Bold"/>
          <w:b/>
          <w:bCs/>
        </w:rPr>
      </w:pPr>
      <w:r w:rsidRPr="00952CFC">
        <w:rPr>
          <w:rFonts w:eastAsia="HelenPro-Regular"/>
        </w:rPr>
        <w:lastRenderedPageBreak/>
        <w:t xml:space="preserve">A calibration factor must be entered in the </w:t>
      </w:r>
      <w:r w:rsidRPr="00952CFC">
        <w:rPr>
          <w:rFonts w:eastAsia="HelenPro-Bold"/>
          <w:b/>
          <w:bCs/>
        </w:rPr>
        <w:t>Configure assay parameters</w:t>
      </w:r>
      <w:r>
        <w:rPr>
          <w:rFonts w:eastAsia="HelenPro-Bold"/>
          <w:b/>
          <w:bCs/>
        </w:rPr>
        <w:t xml:space="preserve"> </w:t>
      </w:r>
      <w:r w:rsidRPr="00952CFC">
        <w:rPr>
          <w:rFonts w:eastAsia="HelenPro-Regular"/>
        </w:rPr>
        <w:t xml:space="preserve">window, </w:t>
      </w:r>
      <w:r w:rsidRPr="00952CFC">
        <w:rPr>
          <w:rFonts w:eastAsia="HelenPro-Bold"/>
          <w:b/>
          <w:bCs/>
        </w:rPr>
        <w:t xml:space="preserve">Calibration </w:t>
      </w:r>
      <w:r w:rsidRPr="00952CFC">
        <w:rPr>
          <w:rFonts w:eastAsia="HelenPro-Regular"/>
        </w:rPr>
        <w:t>view.</w:t>
      </w:r>
    </w:p>
    <w:p w:rsidR="00952CFC" w:rsidRDefault="00952CFC"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Pr="00973EAF" w:rsidRDefault="0025031C" w:rsidP="00D60AFA">
      <w:pPr>
        <w:spacing w:after="43"/>
        <w:rPr>
          <w:i/>
          <w:color w:val="FF0000"/>
          <w:szCs w:val="15"/>
        </w:rPr>
      </w:pPr>
      <w:r w:rsidRPr="00353FD5">
        <w:rPr>
          <w:b/>
          <w:sz w:val="28"/>
          <w:szCs w:val="28"/>
        </w:rPr>
        <w:t>Quality Control:</w:t>
      </w:r>
      <w:r w:rsidR="00D60AFA">
        <w:rPr>
          <w:b/>
          <w:sz w:val="28"/>
          <w:szCs w:val="28"/>
        </w:rPr>
        <w:t xml:space="preserve"> </w:t>
      </w:r>
    </w:p>
    <w:p w:rsidR="00F3700B" w:rsidRPr="00F3700B" w:rsidRDefault="00F3700B" w:rsidP="00F3700B">
      <w:pPr>
        <w:autoSpaceDE w:val="0"/>
        <w:autoSpaceDN w:val="0"/>
        <w:adjustRightInd w:val="0"/>
        <w:ind w:left="720"/>
        <w:rPr>
          <w:rFonts w:eastAsia="HelenPro-Regular"/>
        </w:rPr>
      </w:pPr>
      <w:r>
        <w:rPr>
          <w:rFonts w:eastAsia="HelenPro-Regular"/>
        </w:rPr>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F3700B" w:rsidRDefault="00F3700B" w:rsidP="00F3700B">
      <w:pPr>
        <w:autoSpaceDE w:val="0"/>
        <w:autoSpaceDN w:val="0"/>
        <w:adjustRightInd w:val="0"/>
        <w:ind w:left="720"/>
        <w:rPr>
          <w:rFonts w:eastAsia="HelenPro-Regular"/>
        </w:rPr>
      </w:pPr>
      <w:r w:rsidRPr="00F3700B">
        <w:rPr>
          <w:rFonts w:eastAsia="HelenPro-Regular"/>
        </w:rPr>
        <w:t>• Two levels of controls (normal and abnormal) are to be run every</w:t>
      </w:r>
      <w:r>
        <w:rPr>
          <w:rFonts w:eastAsia="HelenPro-Regular"/>
        </w:rPr>
        <w:t xml:space="preserve"> </w:t>
      </w:r>
      <w:r w:rsidRPr="00F3700B">
        <w:rPr>
          <w:rFonts w:eastAsia="HelenPro-Regular"/>
        </w:rPr>
        <w:t>24 hours.</w:t>
      </w:r>
    </w:p>
    <w:p w:rsidR="00953EA1" w:rsidRPr="00F3700B" w:rsidRDefault="00953EA1" w:rsidP="00F3700B">
      <w:pPr>
        <w:autoSpaceDE w:val="0"/>
        <w:autoSpaceDN w:val="0"/>
        <w:adjustRightInd w:val="0"/>
        <w:ind w:left="720"/>
        <w:rPr>
          <w:rFonts w:eastAsia="HelenPro-Regular"/>
        </w:rPr>
      </w:pPr>
      <w:r>
        <w:rPr>
          <w:rFonts w:eastAsia="HelenPro-Regular"/>
        </w:rPr>
        <w:t>Some controls may require addition of Liquid Stabilizer.</w:t>
      </w:r>
    </w:p>
    <w:p w:rsidR="00F3700B" w:rsidRPr="00F3700B" w:rsidRDefault="00F3700B" w:rsidP="00F3700B">
      <w:pPr>
        <w:autoSpaceDE w:val="0"/>
        <w:autoSpaceDN w:val="0"/>
        <w:adjustRightInd w:val="0"/>
        <w:ind w:left="720"/>
        <w:rPr>
          <w:rFonts w:eastAsia="HelenPro-Regular"/>
        </w:rPr>
      </w:pPr>
      <w:r w:rsidRPr="00F3700B">
        <w:rPr>
          <w:rFonts w:eastAsia="HelenPro-Regular"/>
        </w:rPr>
        <w:t>• If more frequent control monitoring is required, follow the established</w:t>
      </w:r>
      <w:r>
        <w:rPr>
          <w:rFonts w:eastAsia="HelenPro-Regular"/>
        </w:rPr>
        <w:t xml:space="preserve"> </w:t>
      </w:r>
      <w:r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F3700B" w:rsidRDefault="00F3700B" w:rsidP="00F66836">
      <w:pPr>
        <w:rPr>
          <w:b/>
          <w:sz w:val="28"/>
          <w:szCs w:val="28"/>
        </w:rPr>
      </w:pPr>
    </w:p>
    <w:p w:rsidR="00F66836" w:rsidRPr="000E6E69" w:rsidRDefault="00F66836" w:rsidP="00F66836">
      <w:pPr>
        <w:rPr>
          <w:b/>
          <w:sz w:val="28"/>
          <w:szCs w:val="28"/>
        </w:rPr>
      </w:pPr>
      <w:r w:rsidRPr="000E6E69">
        <w:rPr>
          <w:b/>
          <w:sz w:val="28"/>
          <w:szCs w:val="28"/>
        </w:rPr>
        <w:t>Procedure</w:t>
      </w:r>
      <w:r w:rsidR="006D40ED" w:rsidRPr="000E6E69">
        <w:rPr>
          <w:b/>
          <w:sz w:val="28"/>
          <w:szCs w:val="28"/>
        </w:rPr>
        <w:t xml:space="preserve"> </w:t>
      </w:r>
    </w:p>
    <w:p w:rsidR="00B36577" w:rsidRPr="000E6E69" w:rsidRDefault="00A554D4" w:rsidP="002C7FD5">
      <w:pPr>
        <w:rPr>
          <w:b/>
        </w:rPr>
      </w:pPr>
      <w:r w:rsidRPr="000E6E69">
        <w:rPr>
          <w:rFonts w:eastAsia="HelenPro-Regular"/>
        </w:rPr>
        <w:t xml:space="preserve">For a detailed description of how to run an assay, refer to </w:t>
      </w:r>
      <w:r w:rsidRPr="000E6E69">
        <w:rPr>
          <w:i/>
          <w:iCs/>
        </w:rPr>
        <w:t xml:space="preserve">Section 5 </w:t>
      </w:r>
      <w:r w:rsidRPr="000E6E69">
        <w:rPr>
          <w:rFonts w:eastAsia="HelenPro-Regular"/>
        </w:rPr>
        <w:t xml:space="preserve">of the </w:t>
      </w:r>
      <w:r w:rsidRPr="000E6E69">
        <w:rPr>
          <w:b/>
          <w:bCs/>
        </w:rPr>
        <w:t>ARCHITECT System Operations Manual</w:t>
      </w:r>
      <w:r w:rsidRPr="000E6E69">
        <w:rPr>
          <w:rFonts w:eastAsia="HelenPro-Regular"/>
        </w:rPr>
        <w:t>.</w:t>
      </w:r>
    </w:p>
    <w:p w:rsidR="00452710" w:rsidRPr="000E6E69" w:rsidRDefault="00452710" w:rsidP="00F3700B">
      <w:pPr>
        <w:rPr>
          <w:b/>
          <w:sz w:val="28"/>
          <w:szCs w:val="28"/>
        </w:rPr>
      </w:pPr>
    </w:p>
    <w:p w:rsidR="006D40ED" w:rsidRPr="000E6E69" w:rsidRDefault="00132081" w:rsidP="00F3700B">
      <w:pPr>
        <w:rPr>
          <w:i/>
          <w:color w:val="FF0000"/>
          <w:sz w:val="28"/>
          <w:szCs w:val="28"/>
        </w:rPr>
      </w:pPr>
      <w:r w:rsidRPr="000E6E69">
        <w:rPr>
          <w:b/>
          <w:sz w:val="28"/>
          <w:szCs w:val="28"/>
        </w:rPr>
        <w:t>Calculations</w:t>
      </w:r>
      <w:r w:rsidR="00D60AFA" w:rsidRPr="000E6E69">
        <w:rPr>
          <w:b/>
          <w:sz w:val="28"/>
          <w:szCs w:val="28"/>
        </w:rPr>
        <w:t xml:space="preserve"> </w:t>
      </w:r>
    </w:p>
    <w:p w:rsidR="00A554D4" w:rsidRPr="000E6E69" w:rsidRDefault="00A554D4" w:rsidP="00AB793D">
      <w:pPr>
        <w:rPr>
          <w:rFonts w:eastAsia="HelenPro-Regular"/>
        </w:rPr>
      </w:pPr>
      <w:r w:rsidRPr="000E6E69">
        <w:rPr>
          <w:rFonts w:eastAsia="HelenPro-Regular"/>
        </w:rPr>
        <w:t xml:space="preserve">Refer to </w:t>
      </w:r>
      <w:r w:rsidRPr="000E6E69">
        <w:rPr>
          <w:rFonts w:eastAsia="HelenPro-Regular"/>
          <w:i/>
          <w:iCs/>
        </w:rPr>
        <w:t xml:space="preserve">Appendix C </w:t>
      </w:r>
      <w:r w:rsidRPr="000E6E69">
        <w:rPr>
          <w:rFonts w:eastAsia="HelenPro-Regular"/>
        </w:rPr>
        <w:t xml:space="preserve">of the </w:t>
      </w:r>
      <w:r w:rsidRPr="000E6E69">
        <w:rPr>
          <w:rFonts w:eastAsia="HelenPro-Regular"/>
          <w:b/>
          <w:bCs/>
        </w:rPr>
        <w:t xml:space="preserve">ARCHITECT System Operations Manual </w:t>
      </w:r>
      <w:r w:rsidRPr="000E6E69">
        <w:rPr>
          <w:rFonts w:eastAsia="HelenPro-Regular"/>
        </w:rPr>
        <w:t>for</w:t>
      </w:r>
      <w:r w:rsidR="00D64E39" w:rsidRPr="000E6E69">
        <w:rPr>
          <w:rFonts w:eastAsia="HelenPro-Regular"/>
        </w:rPr>
        <w:t xml:space="preserve"> </w:t>
      </w:r>
      <w:r w:rsidRPr="000E6E69">
        <w:rPr>
          <w:rFonts w:eastAsia="HelenPro-Regular"/>
        </w:rPr>
        <w:t>information on results calculations.</w:t>
      </w:r>
    </w:p>
    <w:p w:rsidR="00F92520" w:rsidRPr="000E6E69" w:rsidRDefault="00F92520" w:rsidP="00A554D4">
      <w:pPr>
        <w:ind w:left="1530"/>
        <w:rPr>
          <w:rFonts w:eastAsia="HelenPro-Regular"/>
        </w:rPr>
      </w:pPr>
    </w:p>
    <w:p w:rsidR="000A090B" w:rsidRPr="000E6E69" w:rsidRDefault="00132081" w:rsidP="000A090B">
      <w:pPr>
        <w:jc w:val="both"/>
        <w:rPr>
          <w:sz w:val="28"/>
          <w:szCs w:val="28"/>
        </w:rPr>
      </w:pPr>
      <w:r w:rsidRPr="000E6E69">
        <w:rPr>
          <w:b/>
          <w:sz w:val="28"/>
          <w:szCs w:val="28"/>
        </w:rPr>
        <w:t>Reporting Results</w:t>
      </w:r>
      <w:r w:rsidR="000A090B" w:rsidRPr="000E6E69">
        <w:rPr>
          <w:sz w:val="28"/>
          <w:szCs w:val="28"/>
        </w:rPr>
        <w:t xml:space="preserve"> </w:t>
      </w:r>
    </w:p>
    <w:p w:rsidR="00F3700B" w:rsidRPr="000E6E69" w:rsidRDefault="00DA6C6A" w:rsidP="00DA6C6A">
      <w:pPr>
        <w:autoSpaceDE w:val="0"/>
        <w:autoSpaceDN w:val="0"/>
        <w:adjustRightInd w:val="0"/>
        <w:rPr>
          <w:rFonts w:eastAsia="HelenPro-Regular"/>
        </w:rPr>
      </w:pPr>
      <w:r w:rsidRPr="000E6E69">
        <w:rPr>
          <w:rFonts w:eastAsia="HelenPro-Regular"/>
        </w:rPr>
        <w:t xml:space="preserve">The result unit for the </w:t>
      </w:r>
      <w:r w:rsidR="00952CFC" w:rsidRPr="000E6E69">
        <w:rPr>
          <w:rFonts w:eastAsia="HelenPro-Regular"/>
        </w:rPr>
        <w:t>GGT</w:t>
      </w:r>
      <w:r w:rsidRPr="000E6E69">
        <w:rPr>
          <w:rFonts w:eastAsia="HelenPro-Regular"/>
        </w:rPr>
        <w:t xml:space="preserve"> assay can be reported as </w:t>
      </w:r>
      <w:r w:rsidR="00953EA1" w:rsidRPr="000E6E69">
        <w:rPr>
          <w:rFonts w:eastAsia="HelenPro-Regular"/>
        </w:rPr>
        <w:t>U/L</w:t>
      </w:r>
    </w:p>
    <w:p w:rsidR="00D64E39" w:rsidRPr="000E6E69" w:rsidRDefault="00D64E39" w:rsidP="00AB793D">
      <w:pPr>
        <w:rPr>
          <w:b/>
          <w:bCs/>
        </w:rPr>
      </w:pPr>
    </w:p>
    <w:p w:rsidR="00952CFC" w:rsidRPr="000E6E69" w:rsidRDefault="00952CFC" w:rsidP="00AB793D">
      <w:pPr>
        <w:rPr>
          <w:b/>
          <w:bCs/>
          <w:sz w:val="28"/>
          <w:szCs w:val="28"/>
        </w:rPr>
      </w:pPr>
    </w:p>
    <w:p w:rsidR="00912FE4" w:rsidRPr="000E6E69" w:rsidRDefault="00912FE4" w:rsidP="00AB793D">
      <w:pPr>
        <w:rPr>
          <w:b/>
          <w:bCs/>
          <w:sz w:val="28"/>
          <w:szCs w:val="28"/>
        </w:rPr>
      </w:pPr>
      <w:r w:rsidRPr="000E6E69">
        <w:rPr>
          <w:b/>
          <w:bCs/>
          <w:sz w:val="28"/>
          <w:szCs w:val="28"/>
        </w:rPr>
        <w:t>Specific Performance Characteristics</w:t>
      </w:r>
      <w:r w:rsidR="00D60AFA" w:rsidRPr="000E6E69">
        <w:rPr>
          <w:b/>
          <w:bCs/>
          <w:sz w:val="28"/>
          <w:szCs w:val="28"/>
        </w:rPr>
        <w:t xml:space="preserve"> </w:t>
      </w:r>
    </w:p>
    <w:p w:rsidR="00CE2DC7" w:rsidRPr="000E6E69" w:rsidRDefault="00CE2DC7" w:rsidP="00AB793D">
      <w:pPr>
        <w:rPr>
          <w:b/>
          <w:bCs/>
        </w:rPr>
      </w:pPr>
      <w:r w:rsidRPr="000E6E69">
        <w:rPr>
          <w:b/>
          <w:bCs/>
        </w:rPr>
        <w:t>Reference Ranges</w:t>
      </w:r>
      <w:r w:rsidR="00D60AFA" w:rsidRPr="000E6E69">
        <w:rPr>
          <w:b/>
          <w:bCs/>
        </w:rPr>
        <w:t xml:space="preserve"> </w:t>
      </w:r>
    </w:p>
    <w:p w:rsidR="0055619E" w:rsidRPr="000E6E69" w:rsidRDefault="006D40ED" w:rsidP="006D40ED">
      <w:pPr>
        <w:autoSpaceDE w:val="0"/>
        <w:autoSpaceDN w:val="0"/>
        <w:adjustRightInd w:val="0"/>
        <w:rPr>
          <w:rFonts w:eastAsia="HelenPro-Regular"/>
        </w:rPr>
      </w:pPr>
      <w:r w:rsidRPr="000E6E69">
        <w:rPr>
          <w:rFonts w:eastAsia="HelenPro-Regular"/>
        </w:rPr>
        <w:t>It is recommended that each laboratory determine its own reference range based upon its particular locale and population characteristics.</w:t>
      </w:r>
    </w:p>
    <w:p w:rsidR="006D40ED" w:rsidRPr="000E6E69" w:rsidRDefault="006D40ED" w:rsidP="00AB793D">
      <w:pPr>
        <w:rPr>
          <w:b/>
          <w:bCs/>
        </w:rPr>
      </w:pPr>
    </w:p>
    <w:p w:rsidR="00A554D4" w:rsidRPr="000E6E69" w:rsidRDefault="00953EA1" w:rsidP="00AB793D">
      <w:pPr>
        <w:rPr>
          <w:b/>
          <w:bCs/>
        </w:rPr>
      </w:pPr>
      <w:r w:rsidRPr="000E6E69">
        <w:rPr>
          <w:b/>
          <w:bCs/>
        </w:rPr>
        <w:t>Serum</w:t>
      </w:r>
      <w:r w:rsidR="000F0494" w:rsidRPr="000E6E69">
        <w:rPr>
          <w:b/>
          <w:bCs/>
        </w:rPr>
        <w:t>/Plasma</w:t>
      </w:r>
    </w:p>
    <w:p w:rsidR="00DA6C6A" w:rsidRPr="000E6E69" w:rsidRDefault="00DA6C6A" w:rsidP="00DA6C6A">
      <w:pPr>
        <w:rPr>
          <w:rFonts w:eastAsia="HelenPro-Bold"/>
          <w:b/>
          <w:bCs/>
        </w:rPr>
      </w:pPr>
    </w:p>
    <w:p w:rsidR="00DA6C6A" w:rsidRPr="000E6E69" w:rsidRDefault="00952CFC" w:rsidP="00AB793D">
      <w:pPr>
        <w:rPr>
          <w:b/>
          <w:bCs/>
        </w:rPr>
      </w:pPr>
      <w:r w:rsidRPr="000E6E69">
        <w:rPr>
          <w:noProof/>
        </w:rPr>
        <w:drawing>
          <wp:inline distT="0" distB="0" distL="0" distR="0" wp14:anchorId="02414F63" wp14:editId="1E8F3BFE">
            <wp:extent cx="29622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62275" cy="695325"/>
                    </a:xfrm>
                    <a:prstGeom prst="rect">
                      <a:avLst/>
                    </a:prstGeom>
                  </pic:spPr>
                </pic:pic>
              </a:graphicData>
            </a:graphic>
          </wp:inline>
        </w:drawing>
      </w:r>
    </w:p>
    <w:p w:rsidR="003349E7" w:rsidRPr="000E6E69" w:rsidRDefault="003349E7" w:rsidP="00AB793D">
      <w:pPr>
        <w:rPr>
          <w:b/>
          <w:bCs/>
        </w:rPr>
      </w:pPr>
    </w:p>
    <w:p w:rsidR="00D64E39" w:rsidRPr="000E6E69" w:rsidRDefault="00D64E39" w:rsidP="00AB793D">
      <w:pPr>
        <w:rPr>
          <w:bCs/>
        </w:rPr>
      </w:pPr>
    </w:p>
    <w:p w:rsidR="00B63E8F" w:rsidRPr="000E6E69" w:rsidRDefault="00B63E8F" w:rsidP="00623EFB">
      <w:pPr>
        <w:ind w:right="720"/>
        <w:jc w:val="both"/>
        <w:rPr>
          <w:b/>
        </w:rPr>
      </w:pPr>
      <w:r w:rsidRPr="000E6E69">
        <w:rPr>
          <w:b/>
        </w:rPr>
        <w:t>Critical Values</w:t>
      </w:r>
      <w:r w:rsidR="000E6E69">
        <w:rPr>
          <w:b/>
        </w:rPr>
        <w:t>: N/A</w:t>
      </w:r>
    </w:p>
    <w:p w:rsidR="0038442D" w:rsidRPr="000E6E69" w:rsidRDefault="0038442D" w:rsidP="00AB793D">
      <w:pPr>
        <w:rPr>
          <w:b/>
          <w:sz w:val="28"/>
          <w:szCs w:val="28"/>
        </w:rPr>
      </w:pPr>
    </w:p>
    <w:p w:rsidR="00D5211B" w:rsidRPr="000E6E69" w:rsidRDefault="005E3D52" w:rsidP="00AB793D">
      <w:pPr>
        <w:rPr>
          <w:i/>
          <w:color w:val="FF0000"/>
          <w:sz w:val="28"/>
          <w:szCs w:val="28"/>
        </w:rPr>
      </w:pPr>
      <w:r w:rsidRPr="000E6E69">
        <w:rPr>
          <w:b/>
          <w:sz w:val="28"/>
          <w:szCs w:val="28"/>
        </w:rPr>
        <w:t>Performance Characteristics</w:t>
      </w:r>
      <w:r w:rsidR="00973EAF" w:rsidRPr="000E6E69">
        <w:rPr>
          <w:b/>
          <w:sz w:val="28"/>
          <w:szCs w:val="28"/>
        </w:rPr>
        <w:t xml:space="preserve"> </w:t>
      </w:r>
    </w:p>
    <w:p w:rsidR="00E36B73" w:rsidRPr="000E6E69" w:rsidRDefault="00E36B73" w:rsidP="00AB793D">
      <w:pPr>
        <w:rPr>
          <w:b/>
          <w:sz w:val="28"/>
          <w:szCs w:val="28"/>
        </w:rPr>
      </w:pPr>
    </w:p>
    <w:p w:rsidR="00953EA1" w:rsidRPr="000E6E69" w:rsidRDefault="00953EA1" w:rsidP="00953EA1">
      <w:pPr>
        <w:autoSpaceDE w:val="0"/>
        <w:autoSpaceDN w:val="0"/>
        <w:adjustRightInd w:val="0"/>
        <w:rPr>
          <w:rFonts w:eastAsia="HelenPro-Bold"/>
          <w:b/>
          <w:bCs/>
        </w:rPr>
      </w:pPr>
      <w:r w:rsidRPr="000E6E69">
        <w:rPr>
          <w:rFonts w:eastAsia="HelenPro-Bold"/>
          <w:b/>
          <w:bCs/>
        </w:rPr>
        <w:t>Linearity</w:t>
      </w:r>
    </w:p>
    <w:p w:rsidR="00952CFC" w:rsidRPr="000E6E69" w:rsidRDefault="00952CFC" w:rsidP="00952CFC">
      <w:pPr>
        <w:autoSpaceDE w:val="0"/>
        <w:autoSpaceDN w:val="0"/>
        <w:adjustRightInd w:val="0"/>
        <w:rPr>
          <w:rFonts w:eastAsia="HelenPro-Regular"/>
        </w:rPr>
      </w:pPr>
      <w:r w:rsidRPr="000E6E69">
        <w:rPr>
          <w:rFonts w:eastAsia="HelenPro-Regular"/>
        </w:rPr>
        <w:t>GGT is linear up to 1,543 U/L (1,417 U/L using IFCC factor).</w:t>
      </w:r>
    </w:p>
    <w:p w:rsidR="005E3D52" w:rsidRPr="000E6E69" w:rsidRDefault="00952CFC" w:rsidP="00952CFC">
      <w:pPr>
        <w:autoSpaceDE w:val="0"/>
        <w:autoSpaceDN w:val="0"/>
        <w:adjustRightInd w:val="0"/>
        <w:rPr>
          <w:rFonts w:eastAsia="HelenPro-Regular"/>
        </w:rPr>
      </w:pPr>
      <w:r w:rsidRPr="000E6E69">
        <w:rPr>
          <w:rFonts w:eastAsia="HelenPro-Regular"/>
        </w:rPr>
        <w:t xml:space="preserve">Flex Rate Linearity is 9,256 U/L (8,500 U/L using IFCC factor). To use Flex Rate Linearity, the operator must edit the linear high value to 9,256 on the </w:t>
      </w:r>
      <w:r w:rsidRPr="000E6E69">
        <w:rPr>
          <w:rFonts w:eastAsia="HelenPro-Bold"/>
          <w:b/>
          <w:bCs/>
        </w:rPr>
        <w:t xml:space="preserve">Configure assay parameters </w:t>
      </w:r>
      <w:r w:rsidRPr="000E6E69">
        <w:rPr>
          <w:rFonts w:eastAsia="HelenPro-Regular"/>
        </w:rPr>
        <w:t xml:space="preserve">window, </w:t>
      </w:r>
      <w:r w:rsidRPr="000E6E69">
        <w:rPr>
          <w:rFonts w:eastAsia="HelenPro-Bold"/>
          <w:b/>
          <w:bCs/>
        </w:rPr>
        <w:t xml:space="preserve">Results </w:t>
      </w:r>
      <w:r w:rsidRPr="000E6E69">
        <w:rPr>
          <w:rFonts w:eastAsia="HelenPro-Regular"/>
        </w:rPr>
        <w:t>view.</w:t>
      </w:r>
    </w:p>
    <w:p w:rsidR="00953EA1" w:rsidRPr="000E6E69" w:rsidRDefault="00953EA1" w:rsidP="001B29A7">
      <w:pPr>
        <w:ind w:left="90"/>
        <w:rPr>
          <w:rFonts w:eastAsia="HelenPro-Bold"/>
          <w:b/>
          <w:bCs/>
        </w:rPr>
      </w:pPr>
    </w:p>
    <w:p w:rsidR="00953EA1" w:rsidRPr="000E6E69" w:rsidRDefault="00953EA1" w:rsidP="001B29A7">
      <w:pPr>
        <w:ind w:left="90"/>
        <w:rPr>
          <w:rFonts w:eastAsia="HelenPro-Bold"/>
          <w:b/>
          <w:bCs/>
        </w:rPr>
      </w:pPr>
      <w:r w:rsidRPr="000E6E69">
        <w:rPr>
          <w:rFonts w:eastAsia="HelenPro-Bold"/>
          <w:b/>
          <w:bCs/>
        </w:rPr>
        <w:t>Dilution:</w:t>
      </w:r>
    </w:p>
    <w:p w:rsidR="00952CFC" w:rsidRPr="000E6E69" w:rsidRDefault="00952CFC" w:rsidP="00952CFC">
      <w:pPr>
        <w:autoSpaceDE w:val="0"/>
        <w:autoSpaceDN w:val="0"/>
        <w:adjustRightInd w:val="0"/>
        <w:rPr>
          <w:rFonts w:eastAsia="HelenPro-Regular"/>
        </w:rPr>
      </w:pPr>
      <w:r w:rsidRPr="000E6E69">
        <w:rPr>
          <w:rFonts w:eastAsia="HelenPro-Bold"/>
          <w:b/>
          <w:bCs/>
        </w:rPr>
        <w:t xml:space="preserve">Serum and Plasma: </w:t>
      </w:r>
      <w:r w:rsidRPr="000E6E69">
        <w:rPr>
          <w:rFonts w:eastAsia="HelenPro-Regular"/>
        </w:rPr>
        <w:t>Specimens with GGT values exceeding 1,543 U/L (9,256 U/L for Flex Rate Linearity) are flagged and may be diluted by following either the Automated Dilution Protocol or the Manual Dilution Procedure.</w:t>
      </w:r>
    </w:p>
    <w:p w:rsidR="00952CFC" w:rsidRPr="000E6E69" w:rsidRDefault="00952CFC" w:rsidP="00952CFC">
      <w:pPr>
        <w:autoSpaceDE w:val="0"/>
        <w:autoSpaceDN w:val="0"/>
        <w:adjustRightInd w:val="0"/>
        <w:rPr>
          <w:rFonts w:eastAsia="HelenPro-Bold"/>
          <w:b/>
          <w:bCs/>
        </w:rPr>
      </w:pPr>
      <w:r w:rsidRPr="000E6E69">
        <w:rPr>
          <w:rFonts w:eastAsia="HelenPro-Bold"/>
          <w:b/>
          <w:bCs/>
        </w:rPr>
        <w:t>Automated Dilution Protocol</w:t>
      </w:r>
    </w:p>
    <w:p w:rsidR="00952CFC" w:rsidRPr="000E6E69" w:rsidRDefault="00952CFC" w:rsidP="00952CFC">
      <w:pPr>
        <w:autoSpaceDE w:val="0"/>
        <w:autoSpaceDN w:val="0"/>
        <w:adjustRightInd w:val="0"/>
        <w:rPr>
          <w:rFonts w:eastAsia="HelenPro-Regular"/>
        </w:rPr>
      </w:pPr>
      <w:r w:rsidRPr="000E6E69">
        <w:rPr>
          <w:rFonts w:eastAsia="HelenPro-Regular"/>
        </w:rPr>
        <w:t xml:space="preserve">If using the Automated Dilution Protocol, the system performs a dilution of the specimen and automatically corrects the enzyme activity value by multiplying the result by the appropriate dilution factor. To set up the automatic dilution feature, refer to </w:t>
      </w:r>
      <w:r w:rsidRPr="000E6E69">
        <w:rPr>
          <w:rFonts w:eastAsia="HelenPro-Bold"/>
          <w:i/>
          <w:iCs/>
        </w:rPr>
        <w:t xml:space="preserve">Section 2 </w:t>
      </w:r>
      <w:r w:rsidRPr="000E6E69">
        <w:rPr>
          <w:rFonts w:eastAsia="HelenPro-Regular"/>
        </w:rPr>
        <w:t xml:space="preserve">of the </w:t>
      </w:r>
      <w:r w:rsidRPr="000E6E69">
        <w:rPr>
          <w:rFonts w:eastAsia="HelenPro-Bold"/>
          <w:b/>
          <w:bCs/>
        </w:rPr>
        <w:t>ARCHITECT System</w:t>
      </w:r>
    </w:p>
    <w:p w:rsidR="00952CFC" w:rsidRPr="000E6E69" w:rsidRDefault="00952CFC" w:rsidP="00952CFC">
      <w:pPr>
        <w:autoSpaceDE w:val="0"/>
        <w:autoSpaceDN w:val="0"/>
        <w:adjustRightInd w:val="0"/>
        <w:rPr>
          <w:rFonts w:eastAsia="HelenPro-Regular"/>
        </w:rPr>
      </w:pPr>
      <w:r w:rsidRPr="000E6E69">
        <w:rPr>
          <w:rFonts w:eastAsia="HelenPro-Bold"/>
          <w:b/>
          <w:bCs/>
        </w:rPr>
        <w:t xml:space="preserve">Operations Manual </w:t>
      </w:r>
      <w:r w:rsidRPr="000E6E69">
        <w:rPr>
          <w:rFonts w:eastAsia="HelenPro-Regular"/>
        </w:rPr>
        <w:t>for additional information.</w:t>
      </w:r>
    </w:p>
    <w:p w:rsidR="00952CFC" w:rsidRPr="000E6E69" w:rsidRDefault="00952CFC" w:rsidP="00952CFC">
      <w:pPr>
        <w:autoSpaceDE w:val="0"/>
        <w:autoSpaceDN w:val="0"/>
        <w:adjustRightInd w:val="0"/>
        <w:rPr>
          <w:rFonts w:eastAsia="HelenPro-Bold"/>
          <w:b/>
          <w:bCs/>
        </w:rPr>
      </w:pPr>
      <w:r w:rsidRPr="000E6E69">
        <w:rPr>
          <w:rFonts w:eastAsia="HelenPro-Bold"/>
          <w:b/>
          <w:bCs/>
        </w:rPr>
        <w:t>Manual Dilution Procedure</w:t>
      </w:r>
    </w:p>
    <w:p w:rsidR="00952CFC" w:rsidRPr="000E6E69" w:rsidRDefault="00952CFC" w:rsidP="00952CFC">
      <w:pPr>
        <w:autoSpaceDE w:val="0"/>
        <w:autoSpaceDN w:val="0"/>
        <w:adjustRightInd w:val="0"/>
        <w:rPr>
          <w:rFonts w:eastAsia="HelenPro-Regular"/>
        </w:rPr>
      </w:pPr>
      <w:r w:rsidRPr="000E6E69">
        <w:rPr>
          <w:rFonts w:eastAsia="HelenPro-Regular"/>
        </w:rPr>
        <w:t>Manual dilutions should be performed as follows:</w:t>
      </w:r>
    </w:p>
    <w:p w:rsidR="00952CFC" w:rsidRPr="000E6E69" w:rsidRDefault="00952CFC" w:rsidP="00952CFC">
      <w:pPr>
        <w:autoSpaceDE w:val="0"/>
        <w:autoSpaceDN w:val="0"/>
        <w:adjustRightInd w:val="0"/>
        <w:rPr>
          <w:rFonts w:eastAsia="HelenPro-Regular"/>
        </w:rPr>
      </w:pPr>
      <w:r w:rsidRPr="000E6E69">
        <w:rPr>
          <w:rFonts w:eastAsia="HelenPro-Regular"/>
        </w:rPr>
        <w:t xml:space="preserve">• Use saline (0.85% to 0.90% </w:t>
      </w:r>
      <w:proofErr w:type="spellStart"/>
      <w:r w:rsidRPr="000E6E69">
        <w:rPr>
          <w:rFonts w:eastAsia="HelenPro-Regular"/>
        </w:rPr>
        <w:t>NaCl</w:t>
      </w:r>
      <w:proofErr w:type="spellEnd"/>
      <w:r w:rsidRPr="000E6E69">
        <w:rPr>
          <w:rFonts w:eastAsia="HelenPro-Regular"/>
        </w:rPr>
        <w:t>) to dilute the sample.</w:t>
      </w:r>
    </w:p>
    <w:p w:rsidR="00952CFC" w:rsidRPr="000E6E69" w:rsidRDefault="00952CFC" w:rsidP="00952CFC">
      <w:pPr>
        <w:autoSpaceDE w:val="0"/>
        <w:autoSpaceDN w:val="0"/>
        <w:adjustRightInd w:val="0"/>
        <w:rPr>
          <w:rFonts w:eastAsia="HelenPro-Regular"/>
        </w:rPr>
      </w:pPr>
      <w:r w:rsidRPr="000E6E69">
        <w:rPr>
          <w:rFonts w:eastAsia="HelenPro-Regular"/>
        </w:rPr>
        <w:t>• The operator must enter the dilution factor in the patient or control order screen. The system uses this dilution factor to automatically correct the enzyme activity value by multiplying the result by the entered factor.</w:t>
      </w:r>
    </w:p>
    <w:p w:rsidR="00952CFC" w:rsidRPr="000E6E69" w:rsidRDefault="00952CFC" w:rsidP="00952CFC">
      <w:pPr>
        <w:autoSpaceDE w:val="0"/>
        <w:autoSpaceDN w:val="0"/>
        <w:adjustRightInd w:val="0"/>
        <w:rPr>
          <w:rFonts w:eastAsia="HelenPro-Regular"/>
        </w:rPr>
      </w:pPr>
      <w:r w:rsidRPr="000E6E69">
        <w:rPr>
          <w:rFonts w:eastAsia="HelenPro-Regular"/>
        </w:rPr>
        <w:t>• If the operator does not enter the dilution factor, the result must be multiplied by the appropriate dilution factor before reporting the result.</w:t>
      </w:r>
    </w:p>
    <w:p w:rsidR="00952CFC" w:rsidRPr="000E6E69" w:rsidRDefault="00952CFC" w:rsidP="00952CFC">
      <w:pPr>
        <w:autoSpaceDE w:val="0"/>
        <w:autoSpaceDN w:val="0"/>
        <w:adjustRightInd w:val="0"/>
        <w:rPr>
          <w:rFonts w:eastAsia="HelenPro-Regular"/>
        </w:rPr>
      </w:pPr>
      <w:r w:rsidRPr="000E6E69">
        <w:rPr>
          <w:rFonts w:eastAsia="HelenPro-Bold"/>
          <w:b/>
          <w:bCs/>
        </w:rPr>
        <w:t xml:space="preserve">NOTE: </w:t>
      </w:r>
      <w:r w:rsidRPr="000E6E69">
        <w:rPr>
          <w:rFonts w:eastAsia="HelenPro-Regular"/>
        </w:rPr>
        <w:t>If a diluted sample result is flagged indicating it is less than the linear low limit, do not report the result. Rerun using an appropriate dilution.</w:t>
      </w:r>
    </w:p>
    <w:p w:rsidR="006C43A8" w:rsidRPr="000E6E69" w:rsidRDefault="00952CFC" w:rsidP="00952CFC">
      <w:pPr>
        <w:autoSpaceDE w:val="0"/>
        <w:autoSpaceDN w:val="0"/>
        <w:adjustRightInd w:val="0"/>
        <w:rPr>
          <w:rFonts w:eastAsia="HelenPro-Regular"/>
        </w:rPr>
      </w:pPr>
      <w:r w:rsidRPr="000E6E69">
        <w:rPr>
          <w:rFonts w:eastAsia="HelenPro-Regular"/>
        </w:rPr>
        <w:t xml:space="preserve">For detailed information on ordering dilutions, refer to </w:t>
      </w:r>
      <w:r w:rsidRPr="000E6E69">
        <w:rPr>
          <w:rFonts w:eastAsia="HelenPro-Bold"/>
          <w:i/>
          <w:iCs/>
        </w:rPr>
        <w:t xml:space="preserve">Section 5 </w:t>
      </w:r>
      <w:r w:rsidRPr="000E6E69">
        <w:rPr>
          <w:rFonts w:eastAsia="HelenPro-Regular"/>
        </w:rPr>
        <w:t xml:space="preserve">of the </w:t>
      </w:r>
      <w:r w:rsidRPr="000E6E69">
        <w:rPr>
          <w:rFonts w:eastAsia="HelenPro-Bold"/>
          <w:b/>
          <w:bCs/>
        </w:rPr>
        <w:t>ARCHITECT System Operations Manual</w:t>
      </w:r>
      <w:r w:rsidRPr="000E6E69">
        <w:rPr>
          <w:rFonts w:eastAsia="HelenPro-Regular"/>
          <w:sz w:val="16"/>
          <w:szCs w:val="16"/>
        </w:rPr>
        <w:t>.</w:t>
      </w:r>
    </w:p>
    <w:p w:rsidR="000F0494" w:rsidRPr="000E6E69" w:rsidRDefault="000F0494" w:rsidP="00DA6C6A">
      <w:pPr>
        <w:autoSpaceDE w:val="0"/>
        <w:autoSpaceDN w:val="0"/>
        <w:adjustRightInd w:val="0"/>
        <w:rPr>
          <w:b/>
        </w:rPr>
      </w:pPr>
    </w:p>
    <w:p w:rsidR="00912FE4" w:rsidRPr="000E6E69" w:rsidRDefault="00F95946" w:rsidP="00DA6C6A">
      <w:pPr>
        <w:autoSpaceDE w:val="0"/>
        <w:autoSpaceDN w:val="0"/>
        <w:adjustRightInd w:val="0"/>
        <w:rPr>
          <w:rFonts w:eastAsia="HelenPro-Regular"/>
        </w:rPr>
      </w:pPr>
      <w:r w:rsidRPr="000E6E69">
        <w:rPr>
          <w:b/>
        </w:rPr>
        <w:t>Limit of Quantitation (LOQ)</w:t>
      </w:r>
      <w:r w:rsidR="00F82D85" w:rsidRPr="000E6E69">
        <w:rPr>
          <w:b/>
          <w:lang w:val="ru-RU"/>
        </w:rPr>
        <w:t>:</w:t>
      </w:r>
      <w:r w:rsidR="00F82D85" w:rsidRPr="000E6E69">
        <w:rPr>
          <w:b/>
        </w:rPr>
        <w:t xml:space="preserve">  </w:t>
      </w:r>
      <w:r w:rsidR="00F82D85" w:rsidRPr="000E6E69">
        <w:rPr>
          <w:b/>
          <w:color w:val="000000"/>
          <w:lang w:val="ru-RU"/>
        </w:rPr>
        <w:t xml:space="preserve"> </w:t>
      </w:r>
      <w:r w:rsidR="00952CFC" w:rsidRPr="000E6E69">
        <w:rPr>
          <w:rFonts w:eastAsia="HelenPro-Regular"/>
        </w:rPr>
        <w:t>The LOQ for GGT is 3.3 U/L.</w:t>
      </w:r>
    </w:p>
    <w:p w:rsidR="008D7886" w:rsidRPr="000E6E69" w:rsidRDefault="008D7886" w:rsidP="00DA6C6A">
      <w:pPr>
        <w:autoSpaceDE w:val="0"/>
        <w:autoSpaceDN w:val="0"/>
        <w:adjustRightInd w:val="0"/>
        <w:rPr>
          <w:rFonts w:eastAsia="HelenPro-Regular"/>
        </w:rPr>
      </w:pPr>
      <w:r w:rsidRPr="000E6E69">
        <w:rPr>
          <w:rFonts w:eastAsia="HelenPro-Regular"/>
          <w:b/>
        </w:rPr>
        <w:t>Limit of Detection (LOD):</w:t>
      </w:r>
      <w:r w:rsidRPr="000E6E69">
        <w:rPr>
          <w:rFonts w:eastAsia="HelenPro-Regular"/>
        </w:rPr>
        <w:t xml:space="preserve">  </w:t>
      </w:r>
      <w:r w:rsidR="00952CFC" w:rsidRPr="000E6E69">
        <w:rPr>
          <w:rFonts w:eastAsia="HelenPro-Regular"/>
        </w:rPr>
        <w:t>The LOD for GGT is 2.5 U/L.</w:t>
      </w:r>
    </w:p>
    <w:p w:rsidR="008D7886" w:rsidRPr="000E6E69" w:rsidRDefault="008D7886" w:rsidP="00DA6C6A">
      <w:pPr>
        <w:autoSpaceDE w:val="0"/>
        <w:autoSpaceDN w:val="0"/>
        <w:adjustRightInd w:val="0"/>
        <w:rPr>
          <w:rFonts w:eastAsia="HelenPro-Regular"/>
          <w:sz w:val="16"/>
          <w:szCs w:val="16"/>
        </w:rPr>
      </w:pPr>
    </w:p>
    <w:p w:rsidR="008D7886" w:rsidRPr="000E6E69" w:rsidRDefault="008D7886" w:rsidP="00DA6C6A">
      <w:pPr>
        <w:autoSpaceDE w:val="0"/>
        <w:autoSpaceDN w:val="0"/>
        <w:adjustRightInd w:val="0"/>
        <w:rPr>
          <w:rFonts w:eastAsia="HelenPro-Regular"/>
          <w:b/>
        </w:rPr>
      </w:pPr>
      <w:r w:rsidRPr="000E6E69">
        <w:rPr>
          <w:rFonts w:eastAsia="HelenPro-Regular"/>
          <w:b/>
        </w:rPr>
        <w:t>Limitation of Procedure:</w:t>
      </w:r>
    </w:p>
    <w:p w:rsidR="008D7886" w:rsidRPr="000E6E69" w:rsidRDefault="00452710" w:rsidP="00757326">
      <w:pPr>
        <w:autoSpaceDE w:val="0"/>
        <w:autoSpaceDN w:val="0"/>
        <w:adjustRightInd w:val="0"/>
        <w:rPr>
          <w:rFonts w:eastAsia="HelenPro-Regular"/>
        </w:rPr>
      </w:pPr>
      <w:r w:rsidRPr="000E6E69">
        <w:rPr>
          <w:rFonts w:eastAsia="HelenPro-Regular"/>
        </w:rPr>
        <w:t>N/A</w:t>
      </w:r>
    </w:p>
    <w:p w:rsidR="00DA6C6A" w:rsidRPr="000E6E69" w:rsidRDefault="00DA6C6A" w:rsidP="00F95946">
      <w:pPr>
        <w:rPr>
          <w:b/>
          <w:color w:val="000000"/>
          <w:szCs w:val="15"/>
        </w:rPr>
      </w:pPr>
    </w:p>
    <w:p w:rsidR="00912FE4" w:rsidRPr="000E6E69" w:rsidRDefault="008D7886" w:rsidP="00F95946">
      <w:pPr>
        <w:rPr>
          <w:rFonts w:eastAsia="HelenPro-Regular"/>
        </w:rPr>
      </w:pPr>
      <w:r w:rsidRPr="000E6E69">
        <w:rPr>
          <w:b/>
          <w:color w:val="000000"/>
          <w:szCs w:val="15"/>
        </w:rPr>
        <w:t>P</w:t>
      </w:r>
      <w:r w:rsidR="00912FE4" w:rsidRPr="000E6E69">
        <w:rPr>
          <w:b/>
          <w:color w:val="000000"/>
          <w:szCs w:val="15"/>
        </w:rPr>
        <w:t>recision:</w:t>
      </w:r>
      <w:r w:rsidR="0038442D" w:rsidRPr="000E6E69">
        <w:rPr>
          <w:b/>
          <w:color w:val="000000"/>
          <w:szCs w:val="15"/>
        </w:rPr>
        <w:t xml:space="preserve"> </w:t>
      </w:r>
    </w:p>
    <w:p w:rsidR="006C43A8" w:rsidRPr="000E6E69" w:rsidRDefault="00952CFC" w:rsidP="003349E7">
      <w:pPr>
        <w:autoSpaceDE w:val="0"/>
        <w:autoSpaceDN w:val="0"/>
        <w:adjustRightInd w:val="0"/>
        <w:rPr>
          <w:rFonts w:eastAsia="HelenPro-Regular"/>
        </w:rPr>
      </w:pPr>
      <w:r w:rsidRPr="000E6E69">
        <w:rPr>
          <w:rFonts w:eastAsia="HelenPro-Regular"/>
        </w:rPr>
        <w:t xml:space="preserve">The imprecision of the GGT assay is </w:t>
      </w:r>
      <w:r w:rsidRPr="000E6E69">
        <w:rPr>
          <w:rFonts w:eastAsia="HelenPro-Light"/>
        </w:rPr>
        <w:t xml:space="preserve">≤ </w:t>
      </w:r>
      <w:r w:rsidRPr="000E6E69">
        <w:rPr>
          <w:rFonts w:eastAsia="HelenPro-Regular"/>
        </w:rPr>
        <w:t>4.8% Total CV.</w:t>
      </w:r>
    </w:p>
    <w:p w:rsidR="003349E7" w:rsidRPr="000E6E69" w:rsidRDefault="003349E7" w:rsidP="003349E7">
      <w:pPr>
        <w:autoSpaceDE w:val="0"/>
        <w:autoSpaceDN w:val="0"/>
        <w:adjustRightInd w:val="0"/>
        <w:rPr>
          <w:rFonts w:eastAsia="HelenPro-Regular"/>
        </w:rPr>
      </w:pPr>
      <w:r w:rsidRPr="000E6E69">
        <w:rPr>
          <w:rFonts w:eastAsia="HelenPro-Regular"/>
        </w:rPr>
        <w:t>Serum/Plasma:</w:t>
      </w:r>
    </w:p>
    <w:p w:rsidR="003349E7" w:rsidRPr="000E6E69" w:rsidRDefault="00952CFC" w:rsidP="00F95946">
      <w:pPr>
        <w:autoSpaceDE w:val="0"/>
        <w:autoSpaceDN w:val="0"/>
        <w:adjustRightInd w:val="0"/>
        <w:rPr>
          <w:noProof/>
        </w:rPr>
      </w:pPr>
      <w:r w:rsidRPr="000E6E69">
        <w:rPr>
          <w:noProof/>
        </w:rPr>
        <w:lastRenderedPageBreak/>
        <w:drawing>
          <wp:inline distT="0" distB="0" distL="0" distR="0" wp14:anchorId="77FD4D7F" wp14:editId="4B930A41">
            <wp:extent cx="3533775" cy="2657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33775" cy="2657475"/>
                    </a:xfrm>
                    <a:prstGeom prst="rect">
                      <a:avLst/>
                    </a:prstGeom>
                  </pic:spPr>
                </pic:pic>
              </a:graphicData>
            </a:graphic>
          </wp:inline>
        </w:drawing>
      </w:r>
    </w:p>
    <w:p w:rsidR="00810F0F" w:rsidRPr="000E6E69" w:rsidRDefault="00810F0F" w:rsidP="00F95946">
      <w:pPr>
        <w:autoSpaceDE w:val="0"/>
        <w:autoSpaceDN w:val="0"/>
        <w:adjustRightInd w:val="0"/>
        <w:rPr>
          <w:rFonts w:eastAsia="HelenPro-Regular"/>
        </w:rPr>
      </w:pPr>
    </w:p>
    <w:p w:rsidR="00BC1EC4" w:rsidRPr="000E6E69" w:rsidRDefault="008D7886" w:rsidP="00BC1EC4">
      <w:pPr>
        <w:pStyle w:val="Heading4"/>
        <w:rPr>
          <w:sz w:val="32"/>
        </w:rPr>
      </w:pPr>
      <w:r w:rsidRPr="000E6E69">
        <w:t>I</w:t>
      </w:r>
      <w:r w:rsidR="00F05CCD" w:rsidRPr="000E6E69">
        <w:t xml:space="preserve">nterfering Substances: </w:t>
      </w:r>
    </w:p>
    <w:p w:rsidR="00F95946" w:rsidRPr="000E6E69" w:rsidRDefault="00F95946" w:rsidP="00F95946">
      <w:pPr>
        <w:autoSpaceDE w:val="0"/>
        <w:autoSpaceDN w:val="0"/>
        <w:adjustRightInd w:val="0"/>
        <w:rPr>
          <w:rFonts w:eastAsia="HelenPro-Bold"/>
          <w:b/>
          <w:bCs/>
        </w:rPr>
      </w:pPr>
      <w:r w:rsidRPr="000E6E69">
        <w:rPr>
          <w:rFonts w:eastAsia="HelenPro-Bold"/>
          <w:b/>
          <w:bCs/>
        </w:rPr>
        <w:t>Interfering Substances</w:t>
      </w:r>
    </w:p>
    <w:p w:rsidR="008D7886" w:rsidRPr="000E6E69" w:rsidRDefault="008D7886" w:rsidP="008D7886">
      <w:pPr>
        <w:autoSpaceDE w:val="0"/>
        <w:autoSpaceDN w:val="0"/>
        <w:adjustRightInd w:val="0"/>
        <w:rPr>
          <w:rFonts w:eastAsia="HelenPro-Regular"/>
        </w:rPr>
      </w:pPr>
      <w:r w:rsidRPr="000E6E69">
        <w:rPr>
          <w:rFonts w:eastAsia="HelenPro-Regular"/>
        </w:rPr>
        <w:t xml:space="preserve">Interference studies were conducted using CLSI protocol NCCLS EP7-P. Interference effects were assessed by Dose Response and Paired Difference methods, at the medical decision level of the </w:t>
      </w:r>
      <w:proofErr w:type="spellStart"/>
      <w:r w:rsidRPr="000E6E69">
        <w:rPr>
          <w:rFonts w:eastAsia="HelenPro-Regular"/>
        </w:rPr>
        <w:t>analyte</w:t>
      </w:r>
      <w:proofErr w:type="spellEnd"/>
      <w:r w:rsidRPr="000E6E69">
        <w:rPr>
          <w:rFonts w:eastAsia="HelenPro-Regular"/>
        </w:rPr>
        <w:t>.</w:t>
      </w:r>
    </w:p>
    <w:p w:rsidR="008D7886" w:rsidRPr="000E6E69" w:rsidRDefault="008D7886" w:rsidP="008D7886">
      <w:pPr>
        <w:autoSpaceDE w:val="0"/>
        <w:autoSpaceDN w:val="0"/>
        <w:adjustRightInd w:val="0"/>
        <w:rPr>
          <w:rFonts w:eastAsia="HelenPro-Regular"/>
          <w:sz w:val="16"/>
          <w:szCs w:val="16"/>
        </w:rPr>
      </w:pPr>
    </w:p>
    <w:p w:rsidR="0074336C" w:rsidRPr="000E6E69" w:rsidRDefault="00952CFC" w:rsidP="0074336C">
      <w:pPr>
        <w:autoSpaceDE w:val="0"/>
        <w:autoSpaceDN w:val="0"/>
        <w:adjustRightInd w:val="0"/>
        <w:rPr>
          <w:rFonts w:eastAsia="HelenPro-Bold"/>
          <w:b/>
          <w:bCs/>
        </w:rPr>
      </w:pPr>
      <w:r w:rsidRPr="000E6E69">
        <w:rPr>
          <w:noProof/>
        </w:rPr>
        <w:drawing>
          <wp:inline distT="0" distB="0" distL="0" distR="0" wp14:anchorId="62FD4909" wp14:editId="29E7CDEA">
            <wp:extent cx="4210050" cy="1838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10050" cy="1838325"/>
                    </a:xfrm>
                    <a:prstGeom prst="rect">
                      <a:avLst/>
                    </a:prstGeom>
                  </pic:spPr>
                </pic:pic>
              </a:graphicData>
            </a:graphic>
          </wp:inline>
        </w:drawing>
      </w:r>
    </w:p>
    <w:p w:rsidR="00BC1EC4" w:rsidRPr="000E6E69" w:rsidRDefault="00BC1EC4" w:rsidP="00AB5354">
      <w:pPr>
        <w:rPr>
          <w:rFonts w:eastAsia="HelenPro-Regular"/>
        </w:rPr>
      </w:pPr>
    </w:p>
    <w:p w:rsidR="006C43A8" w:rsidRPr="000E6E69" w:rsidRDefault="006C43A8" w:rsidP="00D16B69">
      <w:pPr>
        <w:jc w:val="both"/>
        <w:rPr>
          <w:b/>
        </w:rPr>
      </w:pPr>
    </w:p>
    <w:p w:rsidR="006C43A8" w:rsidRPr="000E6E69" w:rsidRDefault="006C43A8" w:rsidP="00D16B69">
      <w:pPr>
        <w:jc w:val="both"/>
        <w:rPr>
          <w:b/>
        </w:rPr>
      </w:pPr>
    </w:p>
    <w:p w:rsidR="00D16B69" w:rsidRPr="000E6E69" w:rsidRDefault="00D16B69" w:rsidP="00D16B69">
      <w:pPr>
        <w:jc w:val="both"/>
        <w:rPr>
          <w:b/>
        </w:rPr>
      </w:pPr>
      <w:r w:rsidRPr="000E6E69">
        <w:rPr>
          <w:b/>
        </w:rPr>
        <w:t>References:</w:t>
      </w:r>
      <w:r w:rsidR="00973EAF" w:rsidRPr="000E6E69">
        <w:rPr>
          <w:b/>
        </w:rPr>
        <w:t xml:space="preserve"> </w:t>
      </w:r>
    </w:p>
    <w:p w:rsidR="000A13F2" w:rsidRPr="000E6E69" w:rsidRDefault="000A13F2" w:rsidP="00030CDD">
      <w:pPr>
        <w:pStyle w:val="ListParagraph"/>
        <w:numPr>
          <w:ilvl w:val="0"/>
          <w:numId w:val="4"/>
        </w:numPr>
        <w:rPr>
          <w:sz w:val="22"/>
          <w:szCs w:val="22"/>
        </w:rPr>
      </w:pPr>
      <w:r w:rsidRPr="000E6E69">
        <w:rPr>
          <w:sz w:val="22"/>
          <w:szCs w:val="22"/>
        </w:rPr>
        <w:t xml:space="preserve">ABBOTT ARCHITECT </w:t>
      </w:r>
      <w:r w:rsidR="00E3772B" w:rsidRPr="000E6E69">
        <w:rPr>
          <w:sz w:val="22"/>
          <w:szCs w:val="22"/>
        </w:rPr>
        <w:t>GGT</w:t>
      </w:r>
      <w:r w:rsidRPr="000E6E69">
        <w:rPr>
          <w:sz w:val="22"/>
          <w:szCs w:val="22"/>
        </w:rPr>
        <w:t xml:space="preserve"> package insert</w:t>
      </w:r>
    </w:p>
    <w:p w:rsidR="000A13F2" w:rsidRPr="000E6E69" w:rsidRDefault="000A13F2" w:rsidP="000A13F2">
      <w:pPr>
        <w:pStyle w:val="ListParagraph"/>
        <w:rPr>
          <w:sz w:val="22"/>
          <w:szCs w:val="22"/>
        </w:rPr>
      </w:pPr>
      <w:r w:rsidRPr="000E6E69">
        <w:rPr>
          <w:sz w:val="22"/>
          <w:szCs w:val="22"/>
        </w:rPr>
        <w:t>Abbott Laboratories</w:t>
      </w:r>
    </w:p>
    <w:p w:rsidR="000A13F2" w:rsidRPr="000E6E69" w:rsidRDefault="000A13F2" w:rsidP="000A13F2">
      <w:pPr>
        <w:pStyle w:val="ListParagraph"/>
        <w:rPr>
          <w:sz w:val="22"/>
          <w:szCs w:val="22"/>
        </w:rPr>
      </w:pPr>
      <w:r w:rsidRPr="000E6E69">
        <w:rPr>
          <w:sz w:val="22"/>
          <w:szCs w:val="22"/>
        </w:rPr>
        <w:t>Diagnostics Division</w:t>
      </w:r>
    </w:p>
    <w:p w:rsidR="000A13F2" w:rsidRPr="000E6E69" w:rsidRDefault="000A13F2" w:rsidP="000A13F2">
      <w:pPr>
        <w:pStyle w:val="ListParagraph"/>
        <w:rPr>
          <w:sz w:val="22"/>
          <w:szCs w:val="22"/>
        </w:rPr>
      </w:pPr>
      <w:r w:rsidRPr="000E6E69">
        <w:rPr>
          <w:sz w:val="22"/>
          <w:szCs w:val="22"/>
        </w:rPr>
        <w:t>Abbott Park, IL  60064</w:t>
      </w:r>
    </w:p>
    <w:p w:rsidR="000A13F2" w:rsidRPr="000E6E69" w:rsidRDefault="00E3772B" w:rsidP="000A13F2">
      <w:pPr>
        <w:pStyle w:val="ListParagraph"/>
      </w:pPr>
      <w:r w:rsidRPr="000E6E69">
        <w:rPr>
          <w:bCs/>
          <w:sz w:val="22"/>
          <w:szCs w:val="22"/>
        </w:rPr>
        <w:t>Dec</w:t>
      </w:r>
      <w:r w:rsidR="00757326" w:rsidRPr="000E6E69">
        <w:rPr>
          <w:bCs/>
          <w:sz w:val="22"/>
          <w:szCs w:val="22"/>
        </w:rPr>
        <w:t xml:space="preserve"> 20</w:t>
      </w:r>
      <w:r w:rsidR="001F0FA4" w:rsidRPr="000E6E69">
        <w:rPr>
          <w:bCs/>
          <w:sz w:val="22"/>
          <w:szCs w:val="22"/>
        </w:rPr>
        <w:t>1</w:t>
      </w:r>
      <w:r w:rsidR="0018762B" w:rsidRPr="000E6E69">
        <w:rPr>
          <w:bCs/>
          <w:sz w:val="22"/>
          <w:szCs w:val="22"/>
        </w:rPr>
        <w:t>2</w:t>
      </w:r>
      <w:r w:rsidR="000A13F2" w:rsidRPr="000E6E69">
        <w:rPr>
          <w:bCs/>
          <w:sz w:val="22"/>
          <w:szCs w:val="22"/>
        </w:rPr>
        <w:t xml:space="preserve"> </w:t>
      </w:r>
      <w:r w:rsidRPr="000E6E69">
        <w:rPr>
          <w:rFonts w:eastAsia="HelenPro-Bold"/>
          <w:bCs/>
        </w:rPr>
        <w:t>305249/R04</w:t>
      </w:r>
    </w:p>
    <w:p w:rsidR="00881923" w:rsidRPr="000E6E69" w:rsidRDefault="000A13F2" w:rsidP="00030CDD">
      <w:pPr>
        <w:pStyle w:val="ListParagraph"/>
        <w:numPr>
          <w:ilvl w:val="0"/>
          <w:numId w:val="4"/>
        </w:numPr>
        <w:spacing w:after="72"/>
        <w:jc w:val="both"/>
      </w:pPr>
      <w:r w:rsidRPr="000E6E69">
        <w:t>Abbott ARCHITECT</w:t>
      </w:r>
      <w:r w:rsidR="00D16B69" w:rsidRPr="000E6E69">
        <w:rPr>
          <w:lang w:val="ru-RU"/>
        </w:rPr>
        <w:t xml:space="preserve"> Operator’s Guide</w:t>
      </w:r>
    </w:p>
    <w:p w:rsidR="00AB5354" w:rsidRPr="000E6E69" w:rsidRDefault="00AB5354" w:rsidP="0009322F">
      <w:pPr>
        <w:rPr>
          <w:b/>
        </w:rPr>
      </w:pPr>
    </w:p>
    <w:p w:rsidR="0009322F" w:rsidRPr="000E6E69" w:rsidRDefault="0009322F" w:rsidP="000E6E69">
      <w:r w:rsidRPr="000E6E69">
        <w:rPr>
          <w:b/>
        </w:rPr>
        <w:t xml:space="preserve">Related Documents: </w:t>
      </w:r>
    </w:p>
    <w:p w:rsidR="00157696" w:rsidRDefault="00157696" w:rsidP="0009322F">
      <w:pPr>
        <w:rPr>
          <w:b/>
        </w:rPr>
      </w:pPr>
      <w:r w:rsidRPr="000E6E69">
        <w:rPr>
          <w:b/>
        </w:rPr>
        <w:t>Attachments:</w:t>
      </w:r>
      <w:r w:rsidR="00973EAF" w:rsidRPr="000E6E69">
        <w:rPr>
          <w:b/>
        </w:rPr>
        <w:t xml:space="preserve"> </w:t>
      </w:r>
      <w:bookmarkStart w:id="0" w:name="_GoBack"/>
      <w:bookmarkEnd w:id="0"/>
    </w:p>
    <w:sectPr w:rsidR="00157696" w:rsidSect="00507B0C">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88" w:rsidRDefault="00086888">
      <w:r>
        <w:separator/>
      </w:r>
    </w:p>
  </w:endnote>
  <w:endnote w:type="continuationSeparator" w:id="0">
    <w:p w:rsidR="00086888" w:rsidRDefault="0008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HelenPro-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0E6E69">
      <w:rPr>
        <w:noProof/>
        <w:sz w:val="20"/>
        <w:szCs w:val="20"/>
      </w:rPr>
      <w:t>5</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0E6E69">
      <w:rPr>
        <w:noProof/>
        <w:sz w:val="20"/>
        <w:szCs w:val="20"/>
      </w:rPr>
      <w:t>6</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88" w:rsidRDefault="00086888">
      <w:r>
        <w:separator/>
      </w:r>
    </w:p>
  </w:footnote>
  <w:footnote w:type="continuationSeparator" w:id="0">
    <w:p w:rsidR="00086888" w:rsidRDefault="00086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008B11FF">
      <w:rPr>
        <w:b/>
      </w:rPr>
      <w:t>P</w:t>
    </w:r>
    <w:r>
      <w:rPr>
        <w:b/>
        <w:sz w:val="20"/>
        <w:szCs w:val="20"/>
      </w:rPr>
      <w:t>roc#</w:t>
    </w:r>
    <w:r w:rsidR="008B11FF">
      <w:rPr>
        <w:b/>
        <w:sz w:val="20"/>
        <w:szCs w:val="20"/>
      </w:rPr>
      <w:t>4840-CH-128</w:t>
    </w:r>
  </w:p>
  <w:p w:rsidR="00DA040A" w:rsidRDefault="00DA040A" w:rsidP="00100BF8">
    <w:pPr>
      <w:jc w:val="right"/>
      <w:rPr>
        <w:sz w:val="20"/>
        <w:szCs w:val="20"/>
      </w:rPr>
    </w:pPr>
    <w:r>
      <w:rPr>
        <w:sz w:val="20"/>
        <w:szCs w:val="20"/>
      </w:rPr>
      <w:t xml:space="preserve">ARCHITECT </w:t>
    </w:r>
    <w:r w:rsidR="00E3772B">
      <w:rPr>
        <w:sz w:val="20"/>
        <w:szCs w:val="20"/>
      </w:rPr>
      <w:t>GGT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53E"/>
    <w:rsid w:val="00014AAD"/>
    <w:rsid w:val="000165C6"/>
    <w:rsid w:val="00020469"/>
    <w:rsid w:val="000232F2"/>
    <w:rsid w:val="000276BD"/>
    <w:rsid w:val="000304D2"/>
    <w:rsid w:val="00030CDD"/>
    <w:rsid w:val="00032E92"/>
    <w:rsid w:val="0003338F"/>
    <w:rsid w:val="00043105"/>
    <w:rsid w:val="000454FD"/>
    <w:rsid w:val="0006011A"/>
    <w:rsid w:val="000602A5"/>
    <w:rsid w:val="0006502B"/>
    <w:rsid w:val="000743B7"/>
    <w:rsid w:val="00081C7F"/>
    <w:rsid w:val="00082648"/>
    <w:rsid w:val="00086888"/>
    <w:rsid w:val="0009322F"/>
    <w:rsid w:val="000A090B"/>
    <w:rsid w:val="000A13F2"/>
    <w:rsid w:val="000A341D"/>
    <w:rsid w:val="000A7D58"/>
    <w:rsid w:val="000B4575"/>
    <w:rsid w:val="000C1FD8"/>
    <w:rsid w:val="000E3328"/>
    <w:rsid w:val="000E6E69"/>
    <w:rsid w:val="000F0494"/>
    <w:rsid w:val="000F49B2"/>
    <w:rsid w:val="00100BF8"/>
    <w:rsid w:val="0010358F"/>
    <w:rsid w:val="00107444"/>
    <w:rsid w:val="00132081"/>
    <w:rsid w:val="00133F38"/>
    <w:rsid w:val="0014554C"/>
    <w:rsid w:val="00155687"/>
    <w:rsid w:val="00157696"/>
    <w:rsid w:val="0016247C"/>
    <w:rsid w:val="00167572"/>
    <w:rsid w:val="00172CF7"/>
    <w:rsid w:val="0018762B"/>
    <w:rsid w:val="0019760C"/>
    <w:rsid w:val="001A0637"/>
    <w:rsid w:val="001A639E"/>
    <w:rsid w:val="001B29A7"/>
    <w:rsid w:val="001B4267"/>
    <w:rsid w:val="001C48DA"/>
    <w:rsid w:val="001D3841"/>
    <w:rsid w:val="001D6AE0"/>
    <w:rsid w:val="001E079E"/>
    <w:rsid w:val="001F0FA4"/>
    <w:rsid w:val="001F32A9"/>
    <w:rsid w:val="001F6B7B"/>
    <w:rsid w:val="00246FA8"/>
    <w:rsid w:val="0025031C"/>
    <w:rsid w:val="00255C54"/>
    <w:rsid w:val="002649AA"/>
    <w:rsid w:val="002746A8"/>
    <w:rsid w:val="002A44A9"/>
    <w:rsid w:val="002B0D2A"/>
    <w:rsid w:val="002B1993"/>
    <w:rsid w:val="002C0E55"/>
    <w:rsid w:val="002C7FD5"/>
    <w:rsid w:val="002D2075"/>
    <w:rsid w:val="002D370D"/>
    <w:rsid w:val="002D38DF"/>
    <w:rsid w:val="002E5C0B"/>
    <w:rsid w:val="002F52E0"/>
    <w:rsid w:val="003056A7"/>
    <w:rsid w:val="00317AA0"/>
    <w:rsid w:val="003349E7"/>
    <w:rsid w:val="00347BEC"/>
    <w:rsid w:val="00353FD5"/>
    <w:rsid w:val="0037463A"/>
    <w:rsid w:val="0038442D"/>
    <w:rsid w:val="00386807"/>
    <w:rsid w:val="00396C4A"/>
    <w:rsid w:val="003B2E62"/>
    <w:rsid w:val="003B40E1"/>
    <w:rsid w:val="003C2522"/>
    <w:rsid w:val="003C596F"/>
    <w:rsid w:val="003D10DE"/>
    <w:rsid w:val="003D708C"/>
    <w:rsid w:val="003E62E7"/>
    <w:rsid w:val="00400A1A"/>
    <w:rsid w:val="00400CBA"/>
    <w:rsid w:val="00405EC8"/>
    <w:rsid w:val="00410514"/>
    <w:rsid w:val="00413FEE"/>
    <w:rsid w:val="00436811"/>
    <w:rsid w:val="0044058F"/>
    <w:rsid w:val="00443DB3"/>
    <w:rsid w:val="004477CB"/>
    <w:rsid w:val="00452710"/>
    <w:rsid w:val="00452D5E"/>
    <w:rsid w:val="0045570E"/>
    <w:rsid w:val="00456256"/>
    <w:rsid w:val="00456575"/>
    <w:rsid w:val="00461686"/>
    <w:rsid w:val="0046271A"/>
    <w:rsid w:val="004708FA"/>
    <w:rsid w:val="00493DD1"/>
    <w:rsid w:val="004A03BD"/>
    <w:rsid w:val="004A2AA3"/>
    <w:rsid w:val="004C05F8"/>
    <w:rsid w:val="004C104D"/>
    <w:rsid w:val="004C2C23"/>
    <w:rsid w:val="004C37CB"/>
    <w:rsid w:val="004F5F8A"/>
    <w:rsid w:val="00507B0C"/>
    <w:rsid w:val="00533CE1"/>
    <w:rsid w:val="00551335"/>
    <w:rsid w:val="0055619E"/>
    <w:rsid w:val="0056023B"/>
    <w:rsid w:val="00574309"/>
    <w:rsid w:val="00574325"/>
    <w:rsid w:val="005806E5"/>
    <w:rsid w:val="0058304A"/>
    <w:rsid w:val="005902C0"/>
    <w:rsid w:val="005A1D53"/>
    <w:rsid w:val="005A4739"/>
    <w:rsid w:val="005A7348"/>
    <w:rsid w:val="005B0D1C"/>
    <w:rsid w:val="005E3AB5"/>
    <w:rsid w:val="005E3D52"/>
    <w:rsid w:val="005F3C0D"/>
    <w:rsid w:val="005F3E81"/>
    <w:rsid w:val="00607638"/>
    <w:rsid w:val="00610572"/>
    <w:rsid w:val="006107A2"/>
    <w:rsid w:val="00621ABB"/>
    <w:rsid w:val="00623EFB"/>
    <w:rsid w:val="00626F02"/>
    <w:rsid w:val="0063150E"/>
    <w:rsid w:val="00644800"/>
    <w:rsid w:val="006559EB"/>
    <w:rsid w:val="00674186"/>
    <w:rsid w:val="006A5AAE"/>
    <w:rsid w:val="006B3C65"/>
    <w:rsid w:val="006C43A8"/>
    <w:rsid w:val="006D28ED"/>
    <w:rsid w:val="006D40ED"/>
    <w:rsid w:val="006E5155"/>
    <w:rsid w:val="006F7F4F"/>
    <w:rsid w:val="00714B7D"/>
    <w:rsid w:val="00714F24"/>
    <w:rsid w:val="0074336C"/>
    <w:rsid w:val="00757326"/>
    <w:rsid w:val="007703C0"/>
    <w:rsid w:val="00772966"/>
    <w:rsid w:val="007840DD"/>
    <w:rsid w:val="00795231"/>
    <w:rsid w:val="007B09E3"/>
    <w:rsid w:val="007B0CCE"/>
    <w:rsid w:val="007B247B"/>
    <w:rsid w:val="007E4CE6"/>
    <w:rsid w:val="007E6C3C"/>
    <w:rsid w:val="0080146D"/>
    <w:rsid w:val="00804822"/>
    <w:rsid w:val="00810F0F"/>
    <w:rsid w:val="00812CCF"/>
    <w:rsid w:val="00827DE8"/>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11FF"/>
    <w:rsid w:val="008B590F"/>
    <w:rsid w:val="008C0AEF"/>
    <w:rsid w:val="008D4DF4"/>
    <w:rsid w:val="008D7886"/>
    <w:rsid w:val="008E00E3"/>
    <w:rsid w:val="008F7947"/>
    <w:rsid w:val="008F794A"/>
    <w:rsid w:val="0091292B"/>
    <w:rsid w:val="00912BAD"/>
    <w:rsid w:val="00912FE4"/>
    <w:rsid w:val="0092389D"/>
    <w:rsid w:val="00924B1D"/>
    <w:rsid w:val="00926E1B"/>
    <w:rsid w:val="009318E8"/>
    <w:rsid w:val="009467CE"/>
    <w:rsid w:val="00951C8E"/>
    <w:rsid w:val="00952933"/>
    <w:rsid w:val="00952CFC"/>
    <w:rsid w:val="00953BF2"/>
    <w:rsid w:val="00953EA1"/>
    <w:rsid w:val="00964971"/>
    <w:rsid w:val="00973EAF"/>
    <w:rsid w:val="00980C01"/>
    <w:rsid w:val="0098185C"/>
    <w:rsid w:val="009841EC"/>
    <w:rsid w:val="009A32AB"/>
    <w:rsid w:val="009A4991"/>
    <w:rsid w:val="009B4C90"/>
    <w:rsid w:val="009C7BD7"/>
    <w:rsid w:val="009D1D61"/>
    <w:rsid w:val="009D498B"/>
    <w:rsid w:val="009E0FF1"/>
    <w:rsid w:val="009E49EB"/>
    <w:rsid w:val="009F648F"/>
    <w:rsid w:val="00A016EE"/>
    <w:rsid w:val="00A06412"/>
    <w:rsid w:val="00A1152E"/>
    <w:rsid w:val="00A15B97"/>
    <w:rsid w:val="00A226F3"/>
    <w:rsid w:val="00A241F8"/>
    <w:rsid w:val="00A320E4"/>
    <w:rsid w:val="00A35DB6"/>
    <w:rsid w:val="00A408AE"/>
    <w:rsid w:val="00A5042D"/>
    <w:rsid w:val="00A554D4"/>
    <w:rsid w:val="00A67673"/>
    <w:rsid w:val="00A71728"/>
    <w:rsid w:val="00A71D1D"/>
    <w:rsid w:val="00A72EC0"/>
    <w:rsid w:val="00A81234"/>
    <w:rsid w:val="00A82E30"/>
    <w:rsid w:val="00A92E30"/>
    <w:rsid w:val="00AA271B"/>
    <w:rsid w:val="00AA7B6F"/>
    <w:rsid w:val="00AB5354"/>
    <w:rsid w:val="00AB793D"/>
    <w:rsid w:val="00AC0E64"/>
    <w:rsid w:val="00AD1C5F"/>
    <w:rsid w:val="00AE6F5B"/>
    <w:rsid w:val="00AF597C"/>
    <w:rsid w:val="00B11C38"/>
    <w:rsid w:val="00B13AB5"/>
    <w:rsid w:val="00B30875"/>
    <w:rsid w:val="00B36577"/>
    <w:rsid w:val="00B434E9"/>
    <w:rsid w:val="00B438DB"/>
    <w:rsid w:val="00B46687"/>
    <w:rsid w:val="00B50C75"/>
    <w:rsid w:val="00B63263"/>
    <w:rsid w:val="00B63E8F"/>
    <w:rsid w:val="00B70AAC"/>
    <w:rsid w:val="00B72271"/>
    <w:rsid w:val="00B864B3"/>
    <w:rsid w:val="00BA0054"/>
    <w:rsid w:val="00BA7778"/>
    <w:rsid w:val="00BC1EC4"/>
    <w:rsid w:val="00BC5937"/>
    <w:rsid w:val="00BC76E2"/>
    <w:rsid w:val="00BE40A6"/>
    <w:rsid w:val="00C05469"/>
    <w:rsid w:val="00C32412"/>
    <w:rsid w:val="00C53E37"/>
    <w:rsid w:val="00C63D0C"/>
    <w:rsid w:val="00C90E57"/>
    <w:rsid w:val="00C912E2"/>
    <w:rsid w:val="00C967D5"/>
    <w:rsid w:val="00CA11D0"/>
    <w:rsid w:val="00CC2751"/>
    <w:rsid w:val="00CC37B4"/>
    <w:rsid w:val="00CC3D62"/>
    <w:rsid w:val="00CD4055"/>
    <w:rsid w:val="00CE2DC7"/>
    <w:rsid w:val="00CF7868"/>
    <w:rsid w:val="00D16262"/>
    <w:rsid w:val="00D16B69"/>
    <w:rsid w:val="00D27C5A"/>
    <w:rsid w:val="00D339B0"/>
    <w:rsid w:val="00D5070C"/>
    <w:rsid w:val="00D50F05"/>
    <w:rsid w:val="00D5211B"/>
    <w:rsid w:val="00D60AFA"/>
    <w:rsid w:val="00D64E39"/>
    <w:rsid w:val="00D71AF7"/>
    <w:rsid w:val="00D73BF8"/>
    <w:rsid w:val="00D77B64"/>
    <w:rsid w:val="00D80968"/>
    <w:rsid w:val="00D94BB8"/>
    <w:rsid w:val="00D97908"/>
    <w:rsid w:val="00DA040A"/>
    <w:rsid w:val="00DA4542"/>
    <w:rsid w:val="00DA6C6A"/>
    <w:rsid w:val="00DB49D0"/>
    <w:rsid w:val="00DC56D1"/>
    <w:rsid w:val="00DD0481"/>
    <w:rsid w:val="00DE6C4E"/>
    <w:rsid w:val="00DF01DC"/>
    <w:rsid w:val="00DF022C"/>
    <w:rsid w:val="00E03B3D"/>
    <w:rsid w:val="00E07C43"/>
    <w:rsid w:val="00E12522"/>
    <w:rsid w:val="00E12AF4"/>
    <w:rsid w:val="00E36B73"/>
    <w:rsid w:val="00E3772B"/>
    <w:rsid w:val="00E40388"/>
    <w:rsid w:val="00E44BED"/>
    <w:rsid w:val="00E4698E"/>
    <w:rsid w:val="00E4787B"/>
    <w:rsid w:val="00E50643"/>
    <w:rsid w:val="00E840BC"/>
    <w:rsid w:val="00E97A8C"/>
    <w:rsid w:val="00EA1269"/>
    <w:rsid w:val="00EA713D"/>
    <w:rsid w:val="00EB2F9F"/>
    <w:rsid w:val="00EB33FE"/>
    <w:rsid w:val="00EC002B"/>
    <w:rsid w:val="00EC528B"/>
    <w:rsid w:val="00EC73F8"/>
    <w:rsid w:val="00EC7B32"/>
    <w:rsid w:val="00ED2343"/>
    <w:rsid w:val="00ED4BBB"/>
    <w:rsid w:val="00ED5787"/>
    <w:rsid w:val="00EF4170"/>
    <w:rsid w:val="00F05CCD"/>
    <w:rsid w:val="00F13523"/>
    <w:rsid w:val="00F1787A"/>
    <w:rsid w:val="00F17F45"/>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2F8C6-2EA8-4EE4-B0E0-EE4E13F6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1284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8876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3</cp:revision>
  <cp:lastPrinted>2012-02-10T12:42:00Z</cp:lastPrinted>
  <dcterms:created xsi:type="dcterms:W3CDTF">2018-08-21T13:15:00Z</dcterms:created>
  <dcterms:modified xsi:type="dcterms:W3CDTF">2018-10-22T20:15:00Z</dcterms:modified>
</cp:coreProperties>
</file>