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7E4CE6" w:rsidRDefault="005C4BED">
      <w:pPr>
        <w:rPr>
          <w:b/>
        </w:rPr>
      </w:pPr>
      <w:r>
        <w:rPr>
          <w:noProof/>
        </w:rPr>
        <w:drawing>
          <wp:inline distT="0" distB="0" distL="0" distR="0" wp14:anchorId="37AD8766" wp14:editId="17301BC4">
            <wp:extent cx="2095500" cy="571500"/>
            <wp:effectExtent l="0" t="0" r="0" b="0"/>
            <wp:docPr id="8" name="Picture 8"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952CFC" w:rsidRPr="00952CFC" w:rsidRDefault="00BD041C" w:rsidP="006107A2">
      <w:pPr>
        <w:jc w:val="center"/>
        <w:rPr>
          <w:rFonts w:eastAsia="HelenPro-Regular"/>
          <w:b/>
          <w:sz w:val="28"/>
          <w:szCs w:val="28"/>
        </w:rPr>
      </w:pPr>
      <w:r w:rsidRPr="00BD041C">
        <w:rPr>
          <w:rFonts w:eastAsia="HelenPro-Regular"/>
          <w:b/>
          <w:sz w:val="28"/>
          <w:szCs w:val="28"/>
        </w:rPr>
        <w:t>LACTATE DEHYDROGENASE</w:t>
      </w:r>
      <w:r>
        <w:rPr>
          <w:rFonts w:eastAsia="HelenPro-Regular"/>
          <w:b/>
          <w:sz w:val="28"/>
          <w:szCs w:val="28"/>
        </w:rPr>
        <w:t xml:space="preserve"> </w:t>
      </w:r>
      <w:r w:rsidR="00AD1C5F">
        <w:rPr>
          <w:rFonts w:eastAsia="HelenPro-Regular"/>
          <w:b/>
          <w:sz w:val="28"/>
          <w:szCs w:val="28"/>
        </w:rPr>
        <w:t>(</w:t>
      </w:r>
      <w:r>
        <w:rPr>
          <w:rFonts w:eastAsia="HelenPro-Regular"/>
          <w:b/>
          <w:sz w:val="28"/>
          <w:szCs w:val="28"/>
        </w:rPr>
        <w:t>LD</w:t>
      </w:r>
      <w:r w:rsidR="002664CF">
        <w:rPr>
          <w:rFonts w:eastAsia="HelenPro-Regular"/>
          <w:b/>
          <w:sz w:val="28"/>
          <w:szCs w:val="28"/>
        </w:rPr>
        <w:t>H</w:t>
      </w:r>
      <w:r w:rsidR="00AD1C5F">
        <w:rPr>
          <w:rFonts w:eastAsia="HelenPro-Regular"/>
          <w:b/>
          <w:sz w:val="28"/>
          <w:szCs w:val="28"/>
        </w:rPr>
        <w:t>)</w:t>
      </w:r>
    </w:p>
    <w:p w:rsidR="0056023B" w:rsidRPr="001A639E" w:rsidRDefault="004A2AA3" w:rsidP="006107A2">
      <w:pPr>
        <w:jc w:val="center"/>
        <w:rPr>
          <w:b/>
          <w:sz w:val="28"/>
          <w:szCs w:val="28"/>
        </w:rPr>
      </w:pPr>
      <w:r>
        <w:rPr>
          <w:b/>
          <w:sz w:val="28"/>
          <w:szCs w:val="28"/>
        </w:rPr>
        <w:t>SERUM</w:t>
      </w:r>
      <w:r w:rsidR="001F0FA4">
        <w:rPr>
          <w:b/>
          <w:sz w:val="28"/>
          <w:szCs w:val="28"/>
        </w:rPr>
        <w:t xml:space="preserve"> OR </w:t>
      </w:r>
      <w:r w:rsidR="0018762B">
        <w:rPr>
          <w:b/>
          <w:sz w:val="28"/>
          <w:szCs w:val="28"/>
        </w:rPr>
        <w:t>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9A32AB" w:rsidRPr="002664CF" w:rsidRDefault="002664CF" w:rsidP="002664CF">
      <w:pPr>
        <w:autoSpaceDE w:val="0"/>
        <w:autoSpaceDN w:val="0"/>
        <w:adjustRightInd w:val="0"/>
        <w:rPr>
          <w:rFonts w:eastAsia="HelenPro-Regular"/>
        </w:rPr>
      </w:pPr>
      <w:r w:rsidRPr="002664CF">
        <w:rPr>
          <w:rFonts w:eastAsia="HelenPro-Regular"/>
        </w:rPr>
        <w:t xml:space="preserve">The Lactate Dehydrogenase (LDH) assay </w:t>
      </w:r>
      <w:r>
        <w:rPr>
          <w:rFonts w:eastAsia="HelenPro-Regular"/>
        </w:rPr>
        <w:t xml:space="preserve">is used for the quantitation of </w:t>
      </w:r>
      <w:r w:rsidRPr="002664CF">
        <w:rPr>
          <w:rFonts w:eastAsia="HelenPro-Regular"/>
        </w:rPr>
        <w:t>lactate dehydrogenase in human serum or plasma.</w:t>
      </w:r>
    </w:p>
    <w:p w:rsidR="00952CFC" w:rsidRPr="002664CF" w:rsidRDefault="00952CFC" w:rsidP="00952CFC">
      <w:pPr>
        <w:jc w:val="both"/>
        <w:rPr>
          <w:b/>
        </w:rPr>
      </w:pPr>
    </w:p>
    <w:p w:rsidR="0009322F" w:rsidRPr="002664CF" w:rsidRDefault="006559EB" w:rsidP="006107A2">
      <w:pPr>
        <w:jc w:val="both"/>
        <w:rPr>
          <w:sz w:val="28"/>
          <w:szCs w:val="28"/>
        </w:rPr>
      </w:pPr>
      <w:r w:rsidRPr="002664CF">
        <w:rPr>
          <w:b/>
          <w:sz w:val="28"/>
          <w:szCs w:val="28"/>
        </w:rPr>
        <w:t>Clinical Significance</w:t>
      </w:r>
      <w:r w:rsidR="006107A2" w:rsidRPr="002664CF">
        <w:rPr>
          <w:sz w:val="28"/>
          <w:szCs w:val="28"/>
        </w:rPr>
        <w:t xml:space="preserve"> </w:t>
      </w:r>
    </w:p>
    <w:p w:rsidR="002664CF" w:rsidRPr="002664CF" w:rsidRDefault="002664CF" w:rsidP="002664CF">
      <w:pPr>
        <w:autoSpaceDE w:val="0"/>
        <w:autoSpaceDN w:val="0"/>
        <w:adjustRightInd w:val="0"/>
        <w:rPr>
          <w:rFonts w:eastAsia="HelenPro-Regular"/>
        </w:rPr>
      </w:pPr>
      <w:r w:rsidRPr="002664CF">
        <w:rPr>
          <w:rFonts w:eastAsia="HelenPro-Regular"/>
        </w:rPr>
        <w:t xml:space="preserve">LDH is an enzyme found in the cells </w:t>
      </w:r>
      <w:r>
        <w:rPr>
          <w:rFonts w:eastAsia="HelenPro-Regular"/>
        </w:rPr>
        <w:t xml:space="preserve">of many body tissues, including </w:t>
      </w:r>
      <w:r w:rsidRPr="002664CF">
        <w:rPr>
          <w:rFonts w:eastAsia="HelenPro-Regular"/>
        </w:rPr>
        <w:t>the heart, liver, kidneys, skeletal muscle, brain, red blood cells, and</w:t>
      </w:r>
      <w:r>
        <w:rPr>
          <w:rFonts w:eastAsia="HelenPro-Regular"/>
        </w:rPr>
        <w:t xml:space="preserve"> </w:t>
      </w:r>
      <w:r w:rsidRPr="002664CF">
        <w:rPr>
          <w:rFonts w:eastAsia="HelenPro-Regular"/>
        </w:rPr>
        <w:t>lungs. It is responsible for converting muscle lactate into pyruvate,</w:t>
      </w:r>
      <w:r>
        <w:rPr>
          <w:rFonts w:eastAsia="HelenPro-Regular"/>
        </w:rPr>
        <w:t xml:space="preserve"> </w:t>
      </w:r>
      <w:r w:rsidRPr="002664CF">
        <w:rPr>
          <w:rFonts w:eastAsia="HelenPro-Regular"/>
        </w:rPr>
        <w:t>an essential step in producing cellular energy. It is composed of four</w:t>
      </w:r>
      <w:r>
        <w:rPr>
          <w:rFonts w:eastAsia="HelenPro-Regular"/>
        </w:rPr>
        <w:t xml:space="preserve"> </w:t>
      </w:r>
      <w:r w:rsidRPr="002664CF">
        <w:rPr>
          <w:rFonts w:eastAsia="HelenPro-Regular"/>
        </w:rPr>
        <w:t>peptide chains of two subunits (M form and H form) which results in up</w:t>
      </w:r>
      <w:r>
        <w:rPr>
          <w:rFonts w:eastAsia="HelenPro-Regular"/>
        </w:rPr>
        <w:t xml:space="preserve"> </w:t>
      </w:r>
      <w:r w:rsidRPr="002664CF">
        <w:rPr>
          <w:rFonts w:eastAsia="HelenPro-Regular"/>
        </w:rPr>
        <w:t xml:space="preserve">to five different </w:t>
      </w:r>
      <w:proofErr w:type="spellStart"/>
      <w:r w:rsidRPr="002664CF">
        <w:rPr>
          <w:rFonts w:eastAsia="HelenPro-Regular"/>
        </w:rPr>
        <w:t>isoenzymes</w:t>
      </w:r>
      <w:proofErr w:type="spellEnd"/>
      <w:r w:rsidRPr="002664CF">
        <w:rPr>
          <w:rFonts w:eastAsia="HelenPro-Regular"/>
        </w:rPr>
        <w:t xml:space="preserve"> which can be separated and quantitated</w:t>
      </w:r>
      <w:r>
        <w:rPr>
          <w:rFonts w:eastAsia="HelenPro-Regular"/>
        </w:rPr>
        <w:t xml:space="preserve"> </w:t>
      </w:r>
      <w:r w:rsidRPr="002664CF">
        <w:rPr>
          <w:rFonts w:eastAsia="HelenPro-Regular"/>
        </w:rPr>
        <w:t>by electrophoresis. Measurement of the total LDH activity in serum or</w:t>
      </w:r>
      <w:r>
        <w:rPr>
          <w:rFonts w:eastAsia="HelenPro-Regular"/>
        </w:rPr>
        <w:t xml:space="preserve"> </w:t>
      </w:r>
      <w:r w:rsidRPr="002664CF">
        <w:rPr>
          <w:rFonts w:eastAsia="HelenPro-Regular"/>
        </w:rPr>
        <w:t>plasma is non</w:t>
      </w:r>
      <w:r w:rsidRPr="002664CF">
        <w:rPr>
          <w:rFonts w:ascii="MS Mincho" w:eastAsia="MS Mincho" w:hAnsi="MS Mincho" w:cs="MS Mincho" w:hint="eastAsia"/>
        </w:rPr>
        <w:t>‑</w:t>
      </w:r>
      <w:r w:rsidRPr="002664CF">
        <w:rPr>
          <w:rFonts w:eastAsia="HelenPro-Regular"/>
        </w:rPr>
        <w:t>specific and cannot differentiate the tissues of origin of</w:t>
      </w:r>
      <w:r>
        <w:rPr>
          <w:rFonts w:eastAsia="HelenPro-Regular"/>
        </w:rPr>
        <w:t xml:space="preserve"> </w:t>
      </w:r>
      <w:r w:rsidRPr="002664CF">
        <w:rPr>
          <w:rFonts w:eastAsia="HelenPro-Regular"/>
        </w:rPr>
        <w:t xml:space="preserve">the component </w:t>
      </w:r>
      <w:proofErr w:type="spellStart"/>
      <w:r w:rsidRPr="002664CF">
        <w:rPr>
          <w:rFonts w:eastAsia="HelenPro-Regular"/>
        </w:rPr>
        <w:t>isoenzymes</w:t>
      </w:r>
      <w:proofErr w:type="spellEnd"/>
      <w:r w:rsidRPr="002664CF">
        <w:rPr>
          <w:rFonts w:eastAsia="HelenPro-Regular"/>
        </w:rPr>
        <w:t>.</w:t>
      </w:r>
    </w:p>
    <w:p w:rsidR="00C32412" w:rsidRPr="002664CF" w:rsidRDefault="002664CF" w:rsidP="002664CF">
      <w:pPr>
        <w:autoSpaceDE w:val="0"/>
        <w:autoSpaceDN w:val="0"/>
        <w:adjustRightInd w:val="0"/>
        <w:rPr>
          <w:rFonts w:eastAsia="HelenPro-Regular"/>
        </w:rPr>
      </w:pPr>
      <w:r w:rsidRPr="002664CF">
        <w:rPr>
          <w:rFonts w:eastAsia="HelenPro-Regular"/>
        </w:rPr>
        <w:t>LDH is used in the differential diagnos</w:t>
      </w:r>
      <w:r>
        <w:rPr>
          <w:rFonts w:eastAsia="HelenPro-Regular"/>
        </w:rPr>
        <w:t xml:space="preserve">is of hemolytic anemia and as a </w:t>
      </w:r>
      <w:r w:rsidRPr="002664CF">
        <w:rPr>
          <w:rFonts w:eastAsia="HelenPro-Regular"/>
        </w:rPr>
        <w:t>tumor marker in some malignancies, such as germ cell tumors.</w:t>
      </w:r>
      <w:r>
        <w:rPr>
          <w:rFonts w:eastAsia="HelenPro-Regular"/>
        </w:rPr>
        <w:t xml:space="preserve"> </w:t>
      </w:r>
      <w:r w:rsidRPr="002664CF">
        <w:rPr>
          <w:rFonts w:eastAsia="HelenPro-Regular"/>
        </w:rPr>
        <w:t>LDH is elevated in hepatitis, glomerular nephritis, pulmonary embolism,</w:t>
      </w:r>
      <w:r>
        <w:rPr>
          <w:rFonts w:eastAsia="HelenPro-Regular"/>
        </w:rPr>
        <w:t xml:space="preserve"> </w:t>
      </w:r>
      <w:r w:rsidRPr="002664CF">
        <w:rPr>
          <w:rFonts w:eastAsia="HelenPro-Regular"/>
        </w:rPr>
        <w:t xml:space="preserve">muscle disease, and many </w:t>
      </w:r>
      <w:proofErr w:type="spellStart"/>
      <w:r w:rsidRPr="002664CF">
        <w:rPr>
          <w:rFonts w:eastAsia="HelenPro-Regular"/>
        </w:rPr>
        <w:t>leukemias</w:t>
      </w:r>
      <w:proofErr w:type="spellEnd"/>
      <w:r w:rsidRPr="002664CF">
        <w:rPr>
          <w:rFonts w:eastAsia="HelenPro-Regular"/>
        </w:rPr>
        <w:t xml:space="preserve"> and lymphomas.</w:t>
      </w:r>
      <w:r>
        <w:rPr>
          <w:rFonts w:eastAsia="HelenPro-Regular"/>
        </w:rPr>
        <w:t xml:space="preserve"> </w:t>
      </w:r>
      <w:r w:rsidRPr="002664CF">
        <w:rPr>
          <w:rFonts w:eastAsia="HelenPro-Regular"/>
        </w:rPr>
        <w:t>As LDH is a non-specific marker, it is used in combination with other</w:t>
      </w:r>
      <w:r>
        <w:rPr>
          <w:rFonts w:eastAsia="HelenPro-Regular"/>
        </w:rPr>
        <w:t xml:space="preserve"> </w:t>
      </w:r>
      <w:r w:rsidRPr="002664CF">
        <w:rPr>
          <w:rFonts w:eastAsia="HelenPro-Regular"/>
        </w:rPr>
        <w:t>markers in diagnosis and patient management.</w:t>
      </w:r>
    </w:p>
    <w:p w:rsidR="009C7BD7" w:rsidRPr="002664CF" w:rsidRDefault="009C7BD7" w:rsidP="008A7F96">
      <w:pPr>
        <w:jc w:val="both"/>
        <w:rPr>
          <w:b/>
        </w:rPr>
      </w:pPr>
    </w:p>
    <w:p w:rsidR="008A7F96" w:rsidRPr="002664CF" w:rsidRDefault="008A7F96" w:rsidP="008A7F96">
      <w:pPr>
        <w:jc w:val="both"/>
        <w:rPr>
          <w:color w:val="FF0000"/>
          <w:sz w:val="28"/>
          <w:szCs w:val="28"/>
        </w:rPr>
      </w:pPr>
      <w:r w:rsidRPr="002664CF">
        <w:rPr>
          <w:b/>
          <w:sz w:val="28"/>
          <w:szCs w:val="28"/>
        </w:rPr>
        <w:t>Principle</w:t>
      </w:r>
      <w:r w:rsidRPr="002664CF">
        <w:rPr>
          <w:sz w:val="28"/>
          <w:szCs w:val="28"/>
        </w:rPr>
        <w:t xml:space="preserve"> </w:t>
      </w:r>
    </w:p>
    <w:p w:rsidR="008A7F96" w:rsidRPr="002664CF" w:rsidRDefault="008A7F96" w:rsidP="008A7F96">
      <w:pPr>
        <w:jc w:val="both"/>
      </w:pPr>
    </w:p>
    <w:p w:rsidR="00952CFC" w:rsidRPr="002664CF" w:rsidRDefault="002664CF" w:rsidP="002664CF">
      <w:pPr>
        <w:autoSpaceDE w:val="0"/>
        <w:autoSpaceDN w:val="0"/>
        <w:adjustRightInd w:val="0"/>
        <w:rPr>
          <w:rFonts w:eastAsia="HelenPro-Regular"/>
        </w:rPr>
      </w:pPr>
      <w:r w:rsidRPr="002664CF">
        <w:rPr>
          <w:rFonts w:eastAsia="HelenPro-Regular"/>
        </w:rPr>
        <w:t>Lactate dehydrogenase is a hydrogen</w:t>
      </w:r>
      <w:r>
        <w:rPr>
          <w:rFonts w:eastAsia="HelenPro-Regular"/>
        </w:rPr>
        <w:t xml:space="preserve"> transfer enzyme that catalyzes </w:t>
      </w:r>
      <w:r w:rsidRPr="002664CF">
        <w:rPr>
          <w:rFonts w:eastAsia="HelenPro-Regular"/>
        </w:rPr>
        <w:t xml:space="preserve">the oxidation of </w:t>
      </w:r>
      <w:r w:rsidRPr="002664CF">
        <w:rPr>
          <w:rFonts w:eastAsia="HelenPro-Regular"/>
          <w:i/>
          <w:iCs/>
        </w:rPr>
        <w:t>L</w:t>
      </w:r>
      <w:r w:rsidRPr="002664CF">
        <w:rPr>
          <w:rFonts w:eastAsia="HelenPro-Regular"/>
        </w:rPr>
        <w:t>-lactate to pyruvate with the mediation of NAD+ as a</w:t>
      </w:r>
      <w:r>
        <w:rPr>
          <w:rFonts w:eastAsia="HelenPro-Regular"/>
        </w:rPr>
        <w:t xml:space="preserve"> </w:t>
      </w:r>
      <w:r w:rsidRPr="002664CF">
        <w:rPr>
          <w:rFonts w:eastAsia="HelenPro-Regular"/>
        </w:rPr>
        <w:t>hydrogen acceptor.</w:t>
      </w:r>
    </w:p>
    <w:p w:rsidR="002664CF" w:rsidRPr="002664CF" w:rsidRDefault="002664CF" w:rsidP="002664CF">
      <w:pPr>
        <w:autoSpaceDE w:val="0"/>
        <w:autoSpaceDN w:val="0"/>
        <w:adjustRightInd w:val="0"/>
        <w:rPr>
          <w:rFonts w:eastAsia="HelenPro-Regular"/>
        </w:rPr>
      </w:pPr>
    </w:p>
    <w:p w:rsidR="002664CF" w:rsidRPr="002664CF" w:rsidRDefault="002664CF" w:rsidP="002664CF">
      <w:pPr>
        <w:autoSpaceDE w:val="0"/>
        <w:autoSpaceDN w:val="0"/>
        <w:adjustRightInd w:val="0"/>
        <w:rPr>
          <w:rFonts w:eastAsia="HelenPro-Regular"/>
        </w:rPr>
      </w:pPr>
      <w:r w:rsidRPr="002664CF">
        <w:rPr>
          <w:noProof/>
        </w:rPr>
        <w:drawing>
          <wp:inline distT="0" distB="0" distL="0" distR="0" wp14:anchorId="1E891971" wp14:editId="0CA1C6D1">
            <wp:extent cx="4067175" cy="447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67175" cy="447675"/>
                    </a:xfrm>
                    <a:prstGeom prst="rect">
                      <a:avLst/>
                    </a:prstGeom>
                  </pic:spPr>
                </pic:pic>
              </a:graphicData>
            </a:graphic>
          </wp:inline>
        </w:drawing>
      </w:r>
    </w:p>
    <w:p w:rsidR="00952CFC" w:rsidRPr="002664CF" w:rsidRDefault="00952CFC" w:rsidP="00952CFC">
      <w:pPr>
        <w:rPr>
          <w:rFonts w:eastAsia="HelenPro-Bold"/>
          <w:b/>
          <w:bCs/>
        </w:rPr>
      </w:pPr>
    </w:p>
    <w:p w:rsidR="0056023B" w:rsidRPr="002664CF" w:rsidRDefault="00952CFC" w:rsidP="002664CF">
      <w:pPr>
        <w:autoSpaceDE w:val="0"/>
        <w:autoSpaceDN w:val="0"/>
        <w:adjustRightInd w:val="0"/>
        <w:rPr>
          <w:rFonts w:eastAsia="HelenPro-Regular"/>
        </w:rPr>
      </w:pPr>
      <w:r w:rsidRPr="002664CF">
        <w:rPr>
          <w:rFonts w:eastAsia="HelenPro-Bold"/>
          <w:b/>
          <w:bCs/>
        </w:rPr>
        <w:t xml:space="preserve">Methodology: </w:t>
      </w:r>
      <w:r w:rsidR="002664CF" w:rsidRPr="002664CF">
        <w:rPr>
          <w:rFonts w:eastAsia="HelenPro-Regular"/>
        </w:rPr>
        <w:t>This method uses the IFCC recommended</w:t>
      </w:r>
      <w:r w:rsidR="002664CF">
        <w:rPr>
          <w:rFonts w:eastAsia="HelenPro-Regular"/>
        </w:rPr>
        <w:t xml:space="preserve"> </w:t>
      </w:r>
      <w:r w:rsidR="002664CF" w:rsidRPr="002664CF">
        <w:rPr>
          <w:rFonts w:eastAsia="HelenPro-Regular"/>
        </w:rPr>
        <w:t>forward</w:t>
      </w:r>
      <w:r w:rsidR="002664CF">
        <w:rPr>
          <w:rFonts w:eastAsia="HelenPro-Regular"/>
        </w:rPr>
        <w:t xml:space="preserve"> </w:t>
      </w:r>
      <w:r w:rsidR="002664CF" w:rsidRPr="002664CF">
        <w:rPr>
          <w:rFonts w:eastAsia="HelenPro-Regular"/>
        </w:rPr>
        <w:t>reaction - Lactate to Pyruvate.</w:t>
      </w:r>
    </w:p>
    <w:p w:rsidR="009A32AB" w:rsidRPr="00952CFC" w:rsidRDefault="009A32AB" w:rsidP="006559EB">
      <w:pPr>
        <w:rPr>
          <w:b/>
        </w:rPr>
      </w:pPr>
    </w:p>
    <w:p w:rsidR="002664CF" w:rsidRDefault="002664CF" w:rsidP="006559EB">
      <w:pPr>
        <w:rPr>
          <w:b/>
          <w:sz w:val="28"/>
          <w:szCs w:val="28"/>
        </w:rPr>
      </w:pPr>
    </w:p>
    <w:p w:rsidR="002664CF" w:rsidRDefault="002664CF" w:rsidP="006559EB">
      <w:pPr>
        <w:rPr>
          <w:b/>
          <w:sz w:val="28"/>
          <w:szCs w:val="28"/>
        </w:rPr>
      </w:pPr>
    </w:p>
    <w:p w:rsidR="002664CF" w:rsidRDefault="002664CF" w:rsidP="006559EB">
      <w:pPr>
        <w:rPr>
          <w:b/>
          <w:sz w:val="28"/>
          <w:szCs w:val="28"/>
        </w:rPr>
      </w:pPr>
    </w:p>
    <w:p w:rsidR="00AF210A" w:rsidRDefault="00AF210A" w:rsidP="006559EB">
      <w:pPr>
        <w:rPr>
          <w:b/>
          <w:sz w:val="28"/>
          <w:szCs w:val="28"/>
        </w:rPr>
      </w:pPr>
    </w:p>
    <w:p w:rsidR="00AF210A" w:rsidRDefault="00AF210A" w:rsidP="006559EB">
      <w:pPr>
        <w:rPr>
          <w:b/>
          <w:sz w:val="28"/>
          <w:szCs w:val="28"/>
        </w:rPr>
      </w:pPr>
    </w:p>
    <w:p w:rsidR="00AF210A" w:rsidRDefault="00AF210A" w:rsidP="006559EB">
      <w:pPr>
        <w:rPr>
          <w:b/>
          <w:sz w:val="28"/>
          <w:szCs w:val="28"/>
        </w:rPr>
      </w:pPr>
    </w:p>
    <w:p w:rsidR="00AF210A" w:rsidRDefault="00AF210A" w:rsidP="006559EB">
      <w:pPr>
        <w:rPr>
          <w:b/>
          <w:sz w:val="28"/>
          <w:szCs w:val="28"/>
        </w:rPr>
      </w:pPr>
    </w:p>
    <w:p w:rsidR="00AF210A" w:rsidRDefault="00AF210A" w:rsidP="006559EB">
      <w:pPr>
        <w:rPr>
          <w:b/>
          <w:sz w:val="28"/>
          <w:szCs w:val="28"/>
        </w:rPr>
      </w:pPr>
    </w:p>
    <w:p w:rsidR="002664CF" w:rsidRDefault="002664CF" w:rsidP="006559EB">
      <w:pPr>
        <w:rPr>
          <w:b/>
          <w:sz w:val="28"/>
          <w:szCs w:val="28"/>
        </w:rPr>
      </w:pPr>
    </w:p>
    <w:p w:rsidR="006559EB" w:rsidRPr="00952CFC" w:rsidRDefault="006559EB" w:rsidP="006559EB">
      <w:pPr>
        <w:rPr>
          <w:b/>
          <w:sz w:val="28"/>
          <w:szCs w:val="28"/>
        </w:rPr>
      </w:pPr>
      <w:r w:rsidRPr="00952CFC">
        <w:rPr>
          <w:b/>
          <w:sz w:val="28"/>
          <w:szCs w:val="28"/>
        </w:rPr>
        <w:lastRenderedPageBreak/>
        <w:t>Specimen Collection and Handling</w:t>
      </w:r>
      <w:r w:rsidR="00D60AFA" w:rsidRPr="00952CFC">
        <w:rPr>
          <w:b/>
          <w:sz w:val="28"/>
          <w:szCs w:val="28"/>
        </w:rPr>
        <w:t xml:space="preserve"> </w:t>
      </w:r>
    </w:p>
    <w:p w:rsidR="004A03BD" w:rsidRPr="00952CFC" w:rsidRDefault="004A03BD" w:rsidP="006559EB">
      <w:pPr>
        <w:rPr>
          <w:b/>
        </w:rPr>
      </w:pPr>
    </w:p>
    <w:p w:rsidR="00952CFC" w:rsidRPr="00952CFC" w:rsidRDefault="00952CFC" w:rsidP="00952CFC">
      <w:pPr>
        <w:autoSpaceDE w:val="0"/>
        <w:autoSpaceDN w:val="0"/>
        <w:adjustRightInd w:val="0"/>
        <w:rPr>
          <w:rFonts w:eastAsia="HelenPro-Bold"/>
          <w:b/>
          <w:bCs/>
        </w:rPr>
      </w:pPr>
      <w:r w:rsidRPr="00952CFC">
        <w:rPr>
          <w:rFonts w:eastAsia="HelenPro-Bold"/>
          <w:b/>
          <w:bCs/>
        </w:rPr>
        <w:t>Suitable Specimens</w:t>
      </w:r>
    </w:p>
    <w:p w:rsidR="002664CF" w:rsidRDefault="00F31CEB" w:rsidP="002664CF">
      <w:pPr>
        <w:autoSpaceDE w:val="0"/>
        <w:autoSpaceDN w:val="0"/>
        <w:adjustRightInd w:val="0"/>
        <w:rPr>
          <w:rFonts w:eastAsia="HelenPro-Bold"/>
          <w:b/>
          <w:bCs/>
        </w:rPr>
      </w:pPr>
      <w:r>
        <w:rPr>
          <w:noProof/>
        </w:rPr>
        <w:drawing>
          <wp:inline distT="0" distB="0" distL="0" distR="0" wp14:anchorId="677E7D30" wp14:editId="5810D17B">
            <wp:extent cx="3562350" cy="5438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62350" cy="5438775"/>
                    </a:xfrm>
                    <a:prstGeom prst="rect">
                      <a:avLst/>
                    </a:prstGeom>
                  </pic:spPr>
                </pic:pic>
              </a:graphicData>
            </a:graphic>
          </wp:inline>
        </w:drawing>
      </w:r>
    </w:p>
    <w:p w:rsidR="00F31CEB" w:rsidRDefault="00F31CEB" w:rsidP="002664CF">
      <w:pPr>
        <w:autoSpaceDE w:val="0"/>
        <w:autoSpaceDN w:val="0"/>
        <w:adjustRightInd w:val="0"/>
        <w:rPr>
          <w:rFonts w:eastAsia="HelenPro-Bold"/>
          <w:b/>
          <w:bCs/>
        </w:rPr>
      </w:pPr>
      <w:r>
        <w:rPr>
          <w:noProof/>
        </w:rPr>
        <w:drawing>
          <wp:inline distT="0" distB="0" distL="0" distR="0" wp14:anchorId="73FCD45B" wp14:editId="6937AC22">
            <wp:extent cx="3552825" cy="361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24000"/>
                    <a:stretch/>
                  </pic:blipFill>
                  <pic:spPr bwMode="auto">
                    <a:xfrm>
                      <a:off x="0" y="0"/>
                      <a:ext cx="3552825" cy="361950"/>
                    </a:xfrm>
                    <a:prstGeom prst="rect">
                      <a:avLst/>
                    </a:prstGeom>
                    <a:ln>
                      <a:noFill/>
                    </a:ln>
                    <a:extLst>
                      <a:ext uri="{53640926-AAD7-44D8-BBD7-CCE9431645EC}">
                        <a14:shadowObscured xmlns:a14="http://schemas.microsoft.com/office/drawing/2010/main"/>
                      </a:ext>
                    </a:extLst>
                  </pic:spPr>
                </pic:pic>
              </a:graphicData>
            </a:graphic>
          </wp:inline>
        </w:drawing>
      </w:r>
    </w:p>
    <w:p w:rsidR="009A32AB" w:rsidRDefault="009A32AB" w:rsidP="009A32AB">
      <w:pPr>
        <w:autoSpaceDE w:val="0"/>
        <w:autoSpaceDN w:val="0"/>
        <w:adjustRightInd w:val="0"/>
        <w:rPr>
          <w:rFonts w:eastAsia="HelenPro-Bold"/>
          <w:b/>
          <w:bCs/>
        </w:rPr>
      </w:pPr>
    </w:p>
    <w:p w:rsidR="00F31CEB" w:rsidRDefault="00F31CEB" w:rsidP="009A32AB">
      <w:pPr>
        <w:autoSpaceDE w:val="0"/>
        <w:autoSpaceDN w:val="0"/>
        <w:adjustRightInd w:val="0"/>
        <w:rPr>
          <w:rFonts w:eastAsia="HelenPro-Bold"/>
          <w:b/>
          <w:bCs/>
        </w:rPr>
      </w:pPr>
    </w:p>
    <w:p w:rsidR="00F31CEB" w:rsidRDefault="00F31CEB" w:rsidP="009A32AB">
      <w:pPr>
        <w:autoSpaceDE w:val="0"/>
        <w:autoSpaceDN w:val="0"/>
        <w:adjustRightInd w:val="0"/>
        <w:rPr>
          <w:rFonts w:eastAsia="HelenPro-Bold"/>
          <w:b/>
          <w:bCs/>
        </w:rPr>
      </w:pPr>
    </w:p>
    <w:p w:rsidR="00F31CEB" w:rsidRDefault="00F31CEB" w:rsidP="009A32AB">
      <w:pPr>
        <w:autoSpaceDE w:val="0"/>
        <w:autoSpaceDN w:val="0"/>
        <w:adjustRightInd w:val="0"/>
        <w:rPr>
          <w:rFonts w:eastAsia="HelenPro-Bold"/>
          <w:b/>
          <w:bCs/>
        </w:rPr>
      </w:pPr>
    </w:p>
    <w:p w:rsidR="00F31CEB" w:rsidRDefault="00F31CEB" w:rsidP="009A32AB">
      <w:pPr>
        <w:autoSpaceDE w:val="0"/>
        <w:autoSpaceDN w:val="0"/>
        <w:adjustRightInd w:val="0"/>
        <w:rPr>
          <w:rFonts w:eastAsia="HelenPro-Bold"/>
          <w:b/>
          <w:bCs/>
        </w:rPr>
      </w:pPr>
    </w:p>
    <w:p w:rsidR="00AF210A" w:rsidRDefault="00AF210A" w:rsidP="009A32AB">
      <w:pPr>
        <w:autoSpaceDE w:val="0"/>
        <w:autoSpaceDN w:val="0"/>
        <w:adjustRightInd w:val="0"/>
        <w:rPr>
          <w:rFonts w:eastAsia="HelenPro-Bold"/>
          <w:b/>
          <w:bCs/>
        </w:rPr>
      </w:pPr>
    </w:p>
    <w:p w:rsidR="00AF210A" w:rsidRDefault="00AF210A" w:rsidP="009A32AB">
      <w:pPr>
        <w:autoSpaceDE w:val="0"/>
        <w:autoSpaceDN w:val="0"/>
        <w:adjustRightInd w:val="0"/>
        <w:rPr>
          <w:rFonts w:eastAsia="HelenPro-Bold"/>
          <w:b/>
          <w:bCs/>
        </w:rPr>
      </w:pPr>
    </w:p>
    <w:p w:rsidR="00AF210A" w:rsidRDefault="00AF210A" w:rsidP="009A32AB">
      <w:pPr>
        <w:autoSpaceDE w:val="0"/>
        <w:autoSpaceDN w:val="0"/>
        <w:adjustRightInd w:val="0"/>
        <w:rPr>
          <w:rFonts w:eastAsia="HelenPro-Bold"/>
          <w:b/>
          <w:bCs/>
        </w:rPr>
      </w:pPr>
    </w:p>
    <w:p w:rsidR="00F31CEB" w:rsidRDefault="00F31CEB" w:rsidP="009A32AB">
      <w:pPr>
        <w:autoSpaceDE w:val="0"/>
        <w:autoSpaceDN w:val="0"/>
        <w:adjustRightInd w:val="0"/>
        <w:rPr>
          <w:rFonts w:eastAsia="HelenPro-Bold"/>
          <w:b/>
          <w:bCs/>
        </w:rPr>
      </w:pPr>
    </w:p>
    <w:p w:rsidR="00DA4542" w:rsidRPr="009A32AB" w:rsidRDefault="00DA4542" w:rsidP="009A32AB">
      <w:pPr>
        <w:autoSpaceDE w:val="0"/>
        <w:autoSpaceDN w:val="0"/>
        <w:adjustRightInd w:val="0"/>
        <w:rPr>
          <w:rFonts w:eastAsia="HelenPro-Bold"/>
          <w:b/>
          <w:bCs/>
        </w:rPr>
      </w:pPr>
      <w:r w:rsidRPr="009A32AB">
        <w:rPr>
          <w:rFonts w:eastAsia="HelenPro-Bold"/>
          <w:b/>
          <w:bCs/>
        </w:rPr>
        <w:lastRenderedPageBreak/>
        <w:t>Specimen Storage</w:t>
      </w:r>
    </w:p>
    <w:p w:rsidR="009A32AB" w:rsidRPr="000F0494" w:rsidRDefault="002664CF" w:rsidP="000F0494">
      <w:pPr>
        <w:autoSpaceDE w:val="0"/>
        <w:autoSpaceDN w:val="0"/>
        <w:adjustRightInd w:val="0"/>
        <w:rPr>
          <w:rFonts w:eastAsia="HelenPro-Regular"/>
        </w:rPr>
      </w:pPr>
      <w:r>
        <w:rPr>
          <w:noProof/>
        </w:rPr>
        <w:drawing>
          <wp:inline distT="0" distB="0" distL="0" distR="0" wp14:anchorId="125EE67F" wp14:editId="425ED677">
            <wp:extent cx="2247900" cy="1362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247900" cy="1362075"/>
                    </a:xfrm>
                    <a:prstGeom prst="rect">
                      <a:avLst/>
                    </a:prstGeom>
                  </pic:spPr>
                </pic:pic>
              </a:graphicData>
            </a:graphic>
          </wp:inline>
        </w:drawing>
      </w:r>
    </w:p>
    <w:p w:rsidR="00DA4542" w:rsidRDefault="00DA4542" w:rsidP="00C32412">
      <w:pPr>
        <w:autoSpaceDE w:val="0"/>
        <w:autoSpaceDN w:val="0"/>
        <w:adjustRightInd w:val="0"/>
        <w:rPr>
          <w:rFonts w:eastAsia="HelenPro-Bold"/>
          <w:b/>
          <w:bCs/>
        </w:rPr>
      </w:pPr>
    </w:p>
    <w:p w:rsidR="002664CF" w:rsidRDefault="002664CF" w:rsidP="002664CF">
      <w:pPr>
        <w:autoSpaceDE w:val="0"/>
        <w:autoSpaceDN w:val="0"/>
        <w:adjustRightInd w:val="0"/>
        <w:rPr>
          <w:rFonts w:eastAsia="HelenPro-Regular"/>
        </w:rPr>
      </w:pPr>
      <w:r w:rsidRPr="002664CF">
        <w:rPr>
          <w:rFonts w:eastAsia="HelenPro-Regular"/>
        </w:rPr>
        <w:t xml:space="preserve">*A temperature variation of </w:t>
      </w:r>
      <w:r>
        <w:rPr>
          <w:rFonts w:eastAsia="HelenPro-Regular"/>
        </w:rPr>
        <w:t>+/-</w:t>
      </w:r>
      <w:r w:rsidRPr="002664CF">
        <w:rPr>
          <w:rFonts w:eastAsia="HelenPro-Regular"/>
        </w:rPr>
        <w:t xml:space="preserve"> 10% at -20°C</w:t>
      </w:r>
      <w:r w:rsidR="00A55263">
        <w:rPr>
          <w:rFonts w:eastAsia="HelenPro-Regular"/>
        </w:rPr>
        <w:t xml:space="preserve"> </w:t>
      </w:r>
      <w:r>
        <w:rPr>
          <w:rFonts w:eastAsia="HelenPro-Regular"/>
        </w:rPr>
        <w:t>(+/-</w:t>
      </w:r>
      <w:r w:rsidRPr="002664CF">
        <w:rPr>
          <w:rFonts w:eastAsia="HelenPro-Regular"/>
        </w:rPr>
        <w:t xml:space="preserve"> 2°C) is assumed</w:t>
      </w:r>
      <w:r>
        <w:rPr>
          <w:rFonts w:eastAsia="HelenPro-Regular"/>
        </w:rPr>
        <w:t xml:space="preserve"> </w:t>
      </w:r>
      <w:r w:rsidRPr="002664CF">
        <w:rPr>
          <w:rFonts w:eastAsia="HelenPro-Regular"/>
        </w:rPr>
        <w:t xml:space="preserve">not to change the stability of the specimen (W. </w:t>
      </w:r>
      <w:proofErr w:type="spellStart"/>
      <w:r w:rsidRPr="002664CF">
        <w:rPr>
          <w:rFonts w:eastAsia="HelenPro-Regular"/>
        </w:rPr>
        <w:t>Guder</w:t>
      </w:r>
      <w:proofErr w:type="spellEnd"/>
      <w:r w:rsidRPr="002664CF">
        <w:rPr>
          <w:rFonts w:eastAsia="HelenPro-Regular"/>
        </w:rPr>
        <w:t>, personal</w:t>
      </w:r>
      <w:r>
        <w:rPr>
          <w:rFonts w:eastAsia="HelenPro-Regular"/>
        </w:rPr>
        <w:t xml:space="preserve"> </w:t>
      </w:r>
      <w:r w:rsidRPr="002664CF">
        <w:rPr>
          <w:rFonts w:eastAsia="HelenPro-Regular"/>
        </w:rPr>
        <w:t>communication, August 6, 2001).</w:t>
      </w:r>
    </w:p>
    <w:p w:rsidR="00F31CEB" w:rsidRPr="00F31CEB" w:rsidRDefault="00F31CEB" w:rsidP="00F31CEB">
      <w:pPr>
        <w:autoSpaceDE w:val="0"/>
        <w:autoSpaceDN w:val="0"/>
        <w:adjustRightInd w:val="0"/>
        <w:rPr>
          <w:rFonts w:eastAsia="HelenPro-Regular"/>
        </w:rPr>
      </w:pPr>
      <w:r w:rsidRPr="00F31CEB">
        <w:rPr>
          <w:rFonts w:eastAsia="HelenPro-Regular"/>
        </w:rPr>
        <w:t>Each laboratory may establish a ran</w:t>
      </w:r>
      <w:r>
        <w:rPr>
          <w:rFonts w:eastAsia="HelenPro-Regular"/>
        </w:rPr>
        <w:t xml:space="preserve">ge around -20°C from either the </w:t>
      </w:r>
      <w:r w:rsidRPr="00F31CEB">
        <w:rPr>
          <w:rFonts w:eastAsia="HelenPro-Regular"/>
        </w:rPr>
        <w:t>freezer manufacturer’s specifications or your laboratory standard</w:t>
      </w:r>
      <w:r>
        <w:rPr>
          <w:rFonts w:eastAsia="HelenPro-Regular"/>
        </w:rPr>
        <w:t xml:space="preserve"> </w:t>
      </w:r>
      <w:r w:rsidRPr="00F31CEB">
        <w:rPr>
          <w:rFonts w:eastAsia="HelenPro-Regular"/>
        </w:rPr>
        <w:t>operating procedure(s) for specimen storage.</w:t>
      </w:r>
    </w:p>
    <w:p w:rsidR="002664CF" w:rsidRPr="002664CF" w:rsidRDefault="002664CF" w:rsidP="002664CF">
      <w:pPr>
        <w:autoSpaceDE w:val="0"/>
        <w:autoSpaceDN w:val="0"/>
        <w:adjustRightInd w:val="0"/>
        <w:rPr>
          <w:rFonts w:eastAsia="HelenPro-Regular"/>
        </w:rPr>
      </w:pPr>
      <w:r w:rsidRPr="002664CF">
        <w:rPr>
          <w:rFonts w:eastAsia="HelenPro-Bold"/>
          <w:b/>
          <w:bCs/>
        </w:rPr>
        <w:t xml:space="preserve">NOTE: </w:t>
      </w:r>
      <w:r w:rsidRPr="002664CF">
        <w:rPr>
          <w:rFonts w:eastAsia="HelenPro-Regular"/>
        </w:rPr>
        <w:t xml:space="preserve">The various LDH </w:t>
      </w:r>
      <w:proofErr w:type="spellStart"/>
      <w:r w:rsidRPr="002664CF">
        <w:rPr>
          <w:rFonts w:eastAsia="HelenPro-Regular"/>
        </w:rPr>
        <w:t>isoenzymes</w:t>
      </w:r>
      <w:proofErr w:type="spellEnd"/>
      <w:r w:rsidRPr="002664CF">
        <w:rPr>
          <w:rFonts w:eastAsia="HelenPro-Regular"/>
        </w:rPr>
        <w:t xml:space="preserve"> d</w:t>
      </w:r>
      <w:r>
        <w:rPr>
          <w:rFonts w:eastAsia="HelenPro-Regular"/>
        </w:rPr>
        <w:t xml:space="preserve">iffer in stability at different </w:t>
      </w:r>
      <w:r w:rsidRPr="002664CF">
        <w:rPr>
          <w:rFonts w:eastAsia="HelenPro-Regular"/>
        </w:rPr>
        <w:t>temperatures. LDH-4 and LDH-5 are most susceptible to refrigeration</w:t>
      </w:r>
      <w:r>
        <w:rPr>
          <w:rFonts w:eastAsia="HelenPro-Regular"/>
        </w:rPr>
        <w:t xml:space="preserve"> </w:t>
      </w:r>
      <w:r w:rsidRPr="002664CF">
        <w:rPr>
          <w:rFonts w:eastAsia="HelenPro-Regular"/>
        </w:rPr>
        <w:t>or freezing.</w:t>
      </w:r>
    </w:p>
    <w:p w:rsidR="002664CF" w:rsidRDefault="002664CF" w:rsidP="00C32412">
      <w:pPr>
        <w:autoSpaceDE w:val="0"/>
        <w:autoSpaceDN w:val="0"/>
        <w:adjustRightInd w:val="0"/>
        <w:rPr>
          <w:rFonts w:eastAsia="HelenPro-Bold"/>
          <w:b/>
          <w:bCs/>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6D40ED" w:rsidRDefault="006D40ED" w:rsidP="00F7103F">
      <w:pPr>
        <w:rPr>
          <w:b/>
        </w:rPr>
      </w:pPr>
    </w:p>
    <w:p w:rsidR="00F7103F" w:rsidRPr="00F7103F" w:rsidRDefault="00F7103F" w:rsidP="00973EAF">
      <w:pPr>
        <w:ind w:firstLine="720"/>
        <w:rPr>
          <w:b/>
        </w:rPr>
      </w:pPr>
      <w:r w:rsidRPr="00F7103F">
        <w:rPr>
          <w:b/>
        </w:rPr>
        <w:t>MATERIALS PROVIDED</w:t>
      </w:r>
    </w:p>
    <w:p w:rsidR="00F7103F" w:rsidRPr="00F7103F" w:rsidRDefault="00F7103F" w:rsidP="00F7103F"/>
    <w:p w:rsidR="00952CFC" w:rsidRPr="002664CF" w:rsidRDefault="002664CF" w:rsidP="00973EAF">
      <w:pPr>
        <w:ind w:firstLine="720"/>
        <w:rPr>
          <w:rFonts w:eastAsia="HelenPro-Regular"/>
        </w:rPr>
      </w:pPr>
      <w:r w:rsidRPr="002664CF">
        <w:rPr>
          <w:rFonts w:eastAsia="HelenPro-Regular"/>
        </w:rPr>
        <w:t>2P56 Lactate Dehydrogenase Reagent Kit</w:t>
      </w:r>
    </w:p>
    <w:p w:rsidR="002664CF" w:rsidRDefault="002664CF" w:rsidP="00973EAF">
      <w:pPr>
        <w:ind w:firstLine="720"/>
        <w:rPr>
          <w:b/>
        </w:rPr>
      </w:pPr>
    </w:p>
    <w:p w:rsidR="00F7103F" w:rsidRPr="00F7103F" w:rsidRDefault="00F7103F" w:rsidP="00973EAF">
      <w:pPr>
        <w:ind w:firstLine="720"/>
        <w:rPr>
          <w:b/>
        </w:rPr>
      </w:pPr>
      <w:r w:rsidRPr="00F7103F">
        <w:rPr>
          <w:b/>
        </w:rPr>
        <w:t>MATERIALS REQUIRED BUT NOT PROVIDED</w:t>
      </w:r>
    </w:p>
    <w:p w:rsidR="00953EA1" w:rsidRPr="00953EA1" w:rsidRDefault="00953EA1" w:rsidP="00953EA1">
      <w:pPr>
        <w:autoSpaceDE w:val="0"/>
        <w:autoSpaceDN w:val="0"/>
        <w:adjustRightInd w:val="0"/>
        <w:ind w:left="720"/>
        <w:rPr>
          <w:rFonts w:eastAsia="HelenPro-Regular"/>
        </w:rPr>
      </w:pPr>
      <w:r w:rsidRPr="00953EA1">
        <w:rPr>
          <w:rFonts w:eastAsia="HelenPro-Regular"/>
        </w:rPr>
        <w:t>• Control Material</w:t>
      </w:r>
    </w:p>
    <w:p w:rsidR="00C32412" w:rsidRPr="00953EA1" w:rsidRDefault="00953EA1" w:rsidP="000F0494">
      <w:pPr>
        <w:autoSpaceDE w:val="0"/>
        <w:autoSpaceDN w:val="0"/>
        <w:adjustRightInd w:val="0"/>
        <w:ind w:left="720"/>
        <w:rPr>
          <w:b/>
        </w:rPr>
      </w:pPr>
      <w:r w:rsidRPr="00953EA1">
        <w:rPr>
          <w:rFonts w:eastAsia="HelenPro-Regular"/>
        </w:rPr>
        <w:t>• Saline (0.85% to 0.90% NaCl) for specimens that require dilution</w:t>
      </w:r>
    </w:p>
    <w:p w:rsidR="00953EA1" w:rsidRDefault="00953EA1"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507B0C" w:rsidRDefault="00507B0C" w:rsidP="004A03BD">
      <w:pPr>
        <w:spacing w:before="72" w:after="43"/>
        <w:rPr>
          <w:b/>
          <w:color w:val="000000"/>
          <w:szCs w:val="15"/>
        </w:rPr>
      </w:pP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953EA1" w:rsidRPr="00953EA1" w:rsidRDefault="00953EA1" w:rsidP="00953EA1">
      <w:pPr>
        <w:autoSpaceDE w:val="0"/>
        <w:autoSpaceDN w:val="0"/>
        <w:adjustRightInd w:val="0"/>
        <w:rPr>
          <w:rFonts w:eastAsia="HelenPro-Regular"/>
        </w:rPr>
      </w:pPr>
      <w:r w:rsidRPr="00953EA1">
        <w:rPr>
          <w:rFonts w:eastAsia="HelenPro-Regular"/>
        </w:rPr>
        <w:t>1. For in vitro diagnostic use.</w:t>
      </w:r>
    </w:p>
    <w:p w:rsidR="00953EA1" w:rsidRPr="00953EA1" w:rsidRDefault="00953EA1" w:rsidP="00953EA1">
      <w:pPr>
        <w:autoSpaceDE w:val="0"/>
        <w:autoSpaceDN w:val="0"/>
        <w:adjustRightInd w:val="0"/>
        <w:rPr>
          <w:rFonts w:eastAsia="HelenPro-Regular"/>
        </w:rPr>
      </w:pPr>
      <w:r w:rsidRPr="00953EA1">
        <w:rPr>
          <w:rFonts w:eastAsia="HelenPro-Regular"/>
        </w:rPr>
        <w:t>2. Do not use components beyond the expiration date.</w:t>
      </w:r>
    </w:p>
    <w:p w:rsidR="00953EA1" w:rsidRDefault="002664CF" w:rsidP="00953EA1">
      <w:pPr>
        <w:autoSpaceDE w:val="0"/>
        <w:autoSpaceDN w:val="0"/>
        <w:adjustRightInd w:val="0"/>
        <w:rPr>
          <w:rFonts w:eastAsia="HelenPro-Regular"/>
        </w:rPr>
      </w:pPr>
      <w:r>
        <w:rPr>
          <w:rFonts w:eastAsia="HelenPro-Regular"/>
        </w:rPr>
        <w:t xml:space="preserve">3. </w:t>
      </w:r>
      <w:r w:rsidR="00953EA1" w:rsidRPr="00953EA1">
        <w:rPr>
          <w:rFonts w:eastAsia="HelenPro-Regular"/>
        </w:rPr>
        <w:t>Do not mix reagents prepared at different times.</w:t>
      </w:r>
    </w:p>
    <w:p w:rsidR="00F31CEB" w:rsidRDefault="00F31CEB" w:rsidP="00953EA1">
      <w:pPr>
        <w:autoSpaceDE w:val="0"/>
        <w:autoSpaceDN w:val="0"/>
        <w:adjustRightInd w:val="0"/>
        <w:rPr>
          <w:rFonts w:eastAsia="HelenPro-Regular"/>
        </w:rPr>
      </w:pPr>
      <w:r>
        <w:rPr>
          <w:rFonts w:eastAsia="HelenPro-Regular"/>
        </w:rPr>
        <w:t xml:space="preserve">4. </w:t>
      </w:r>
      <w:r w:rsidRPr="00F31CEB">
        <w:rPr>
          <w:rFonts w:eastAsia="HelenPro-Regular"/>
        </w:rPr>
        <w:t>Do not pool reagents within a kit or between kits.</w:t>
      </w:r>
    </w:p>
    <w:p w:rsidR="002664CF" w:rsidRPr="002664CF" w:rsidRDefault="002664CF" w:rsidP="002664CF">
      <w:pPr>
        <w:autoSpaceDE w:val="0"/>
        <w:autoSpaceDN w:val="0"/>
        <w:adjustRightInd w:val="0"/>
        <w:rPr>
          <w:rFonts w:eastAsia="HelenPro-Regular"/>
        </w:rPr>
      </w:pPr>
      <w:r w:rsidRPr="002664CF">
        <w:rPr>
          <w:rFonts w:eastAsia="HelenPro-Regular"/>
        </w:rPr>
        <w:t>• Hemolyzed specimens must not be used.</w:t>
      </w:r>
    </w:p>
    <w:p w:rsidR="002664CF" w:rsidRPr="00953EA1" w:rsidRDefault="002664CF" w:rsidP="002664CF">
      <w:pPr>
        <w:autoSpaceDE w:val="0"/>
        <w:autoSpaceDN w:val="0"/>
        <w:adjustRightInd w:val="0"/>
        <w:rPr>
          <w:rFonts w:eastAsia="HelenPro-Regular"/>
        </w:rPr>
      </w:pPr>
      <w:r w:rsidRPr="002664CF">
        <w:rPr>
          <w:rFonts w:eastAsia="HelenPro-Regular"/>
        </w:rPr>
        <w:t>• Plasma samples may exhibit pre-analy</w:t>
      </w:r>
      <w:r>
        <w:rPr>
          <w:rFonts w:eastAsia="HelenPro-Regular"/>
        </w:rPr>
        <w:t xml:space="preserve">tical variability. Refer to the </w:t>
      </w:r>
      <w:r w:rsidRPr="002664CF">
        <w:rPr>
          <w:rFonts w:eastAsia="HelenPro-Regular"/>
        </w:rPr>
        <w:t xml:space="preserve">SPECIMEN COLLECTION AND HANDLING, Plasma section of </w:t>
      </w:r>
      <w:r>
        <w:rPr>
          <w:rFonts w:eastAsia="HelenPro-Regular"/>
        </w:rPr>
        <w:t xml:space="preserve">the </w:t>
      </w:r>
      <w:r w:rsidRPr="002664CF">
        <w:rPr>
          <w:rFonts w:eastAsia="HelenPro-Regular"/>
        </w:rPr>
        <w:t>package insert</w:t>
      </w:r>
    </w:p>
    <w:p w:rsidR="00F7103F" w:rsidRPr="00F7103F" w:rsidRDefault="00F7103F" w:rsidP="000F0494">
      <w:pPr>
        <w:autoSpaceDE w:val="0"/>
        <w:autoSpaceDN w:val="0"/>
        <w:adjustRightInd w:val="0"/>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4A03BD" w:rsidRDefault="00F7103F" w:rsidP="00953EA1">
      <w:pPr>
        <w:rPr>
          <w:rFonts w:eastAsia="HelenPro-Regular"/>
        </w:rPr>
      </w:pPr>
      <w:r w:rsidRPr="00F7103F">
        <w:rPr>
          <w:rFonts w:eastAsia="HelenPro-Regular"/>
        </w:rPr>
        <w:t>It is recommended that all human sourced materials be considered</w:t>
      </w:r>
      <w:r w:rsidR="00953EA1">
        <w:rPr>
          <w:rFonts w:eastAsia="HelenPro-Regular"/>
        </w:rPr>
        <w:t xml:space="preserve"> </w:t>
      </w:r>
      <w:r w:rsidRPr="00F7103F">
        <w:rPr>
          <w:rFonts w:eastAsia="HelenPro-Regular"/>
        </w:rPr>
        <w:t>potentially infectious and be handled in accordance with the OSHA</w:t>
      </w:r>
      <w:r w:rsidR="00953EA1">
        <w:rPr>
          <w:rFonts w:eastAsia="HelenPro-Regular"/>
        </w:rPr>
        <w:t xml:space="preserve"> </w:t>
      </w: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953EA1">
        <w:rPr>
          <w:rFonts w:eastAsia="HelenPro-Regular"/>
        </w:rPr>
        <w:t xml:space="preserve"> </w:t>
      </w:r>
      <w:r w:rsidRPr="00F7103F">
        <w:rPr>
          <w:rFonts w:eastAsia="HelenPro-Regular"/>
        </w:rPr>
        <w:lastRenderedPageBreak/>
        <w:t>appropriate biosafety practices should be used for materials that contain or are suspected of containing infectious agents.</w:t>
      </w:r>
    </w:p>
    <w:p w:rsidR="009A32AB" w:rsidRPr="0003338F" w:rsidRDefault="00F31CEB" w:rsidP="00952CFC">
      <w:pPr>
        <w:rPr>
          <w:rFonts w:eastAsia="HelenPro-Regular"/>
        </w:rPr>
      </w:pPr>
      <w:r>
        <w:rPr>
          <w:noProof/>
        </w:rPr>
        <w:drawing>
          <wp:inline distT="0" distB="0" distL="0" distR="0" wp14:anchorId="1443C6F5" wp14:editId="7DAC1E6E">
            <wp:extent cx="3543300" cy="472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43300" cy="4724400"/>
                    </a:xfrm>
                    <a:prstGeom prst="rect">
                      <a:avLst/>
                    </a:prstGeom>
                  </pic:spPr>
                </pic:pic>
              </a:graphicData>
            </a:graphic>
          </wp:inline>
        </w:drawing>
      </w:r>
    </w:p>
    <w:p w:rsidR="0038442D" w:rsidRDefault="0038442D"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953EA1" w:rsidRPr="00953EA1" w:rsidRDefault="00953EA1" w:rsidP="00953EA1">
      <w:pPr>
        <w:autoSpaceDE w:val="0"/>
        <w:autoSpaceDN w:val="0"/>
        <w:adjustRightInd w:val="0"/>
        <w:rPr>
          <w:rFonts w:eastAsia="HelenPro-Regular"/>
        </w:rPr>
      </w:pPr>
      <w:r w:rsidRPr="00953EA1">
        <w:rPr>
          <w:rFonts w:eastAsia="HelenPro-Regular"/>
        </w:rPr>
        <w:t>Remove air bubbles, if present in th</w:t>
      </w:r>
      <w:r>
        <w:rPr>
          <w:rFonts w:eastAsia="HelenPro-Regular"/>
        </w:rPr>
        <w:t xml:space="preserve">e reagent cartridge, with a new </w:t>
      </w:r>
      <w:r w:rsidRPr="00953EA1">
        <w:rPr>
          <w:rFonts w:eastAsia="HelenPro-Regular"/>
        </w:rPr>
        <w:t>applicator stick. Alternatively, allow the reagent to sit at the appropriate</w:t>
      </w:r>
      <w:r>
        <w:rPr>
          <w:rFonts w:eastAsia="HelenPro-Regular"/>
        </w:rPr>
        <w:t xml:space="preserve"> </w:t>
      </w:r>
      <w:r w:rsidRPr="00953EA1">
        <w:rPr>
          <w:rFonts w:eastAsia="HelenPro-Regular"/>
        </w:rPr>
        <w:t>storage temperature to allow the bubbles to dissipate. To minimize</w:t>
      </w:r>
      <w:r>
        <w:rPr>
          <w:rFonts w:eastAsia="HelenPro-Regular"/>
        </w:rPr>
        <w:t xml:space="preserve"> </w:t>
      </w:r>
      <w:r w:rsidRPr="00953EA1">
        <w:rPr>
          <w:rFonts w:eastAsia="HelenPro-Regular"/>
        </w:rPr>
        <w:t>volume depletion, do not use a transfer pipette to remove the bubbles.</w:t>
      </w:r>
    </w:p>
    <w:p w:rsidR="00953EA1" w:rsidRPr="00953EA1" w:rsidRDefault="00953EA1" w:rsidP="00953EA1">
      <w:pPr>
        <w:autoSpaceDE w:val="0"/>
        <w:autoSpaceDN w:val="0"/>
        <w:adjustRightInd w:val="0"/>
        <w:rPr>
          <w:rFonts w:eastAsia="HelenPro-Regular"/>
        </w:rPr>
      </w:pPr>
      <w:r w:rsidRPr="00953EA1">
        <w:rPr>
          <w:rFonts w:eastAsia="HelenPro-Bold"/>
          <w:b/>
          <w:bCs/>
        </w:rPr>
        <w:t xml:space="preserve">CAUTION: </w:t>
      </w:r>
      <w:r w:rsidRPr="00953EA1">
        <w:rPr>
          <w:rFonts w:eastAsia="HelenPro-Regular"/>
        </w:rPr>
        <w:t>Reagent bubbles may int</w:t>
      </w:r>
      <w:r>
        <w:rPr>
          <w:rFonts w:eastAsia="HelenPro-Regular"/>
        </w:rPr>
        <w:t xml:space="preserve">erfere with proper detection of </w:t>
      </w:r>
      <w:r w:rsidRPr="00953EA1">
        <w:rPr>
          <w:rFonts w:eastAsia="HelenPro-Regular"/>
        </w:rPr>
        <w:t>reagent level in the cartridge, causing insufficient reagent aspiration</w:t>
      </w:r>
      <w:r>
        <w:rPr>
          <w:rFonts w:eastAsia="HelenPro-Regular"/>
        </w:rPr>
        <w:t xml:space="preserve"> </w:t>
      </w:r>
      <w:r w:rsidRPr="00953EA1">
        <w:rPr>
          <w:rFonts w:eastAsia="HelenPro-Regular"/>
        </w:rPr>
        <w:t>which could impact results.</w:t>
      </w:r>
    </w:p>
    <w:p w:rsidR="000F0494" w:rsidRDefault="000F0494" w:rsidP="00953EA1">
      <w:pPr>
        <w:autoSpaceDE w:val="0"/>
        <w:autoSpaceDN w:val="0"/>
        <w:adjustRightInd w:val="0"/>
        <w:rPr>
          <w:rFonts w:eastAsia="HelenPro-Bold"/>
          <w:b/>
          <w:bCs/>
        </w:rPr>
      </w:pPr>
    </w:p>
    <w:p w:rsidR="00AF210A" w:rsidRDefault="00AF210A" w:rsidP="00953EA1">
      <w:pPr>
        <w:autoSpaceDE w:val="0"/>
        <w:autoSpaceDN w:val="0"/>
        <w:adjustRightInd w:val="0"/>
        <w:rPr>
          <w:rFonts w:eastAsia="HelenPro-Bold"/>
          <w:b/>
          <w:bCs/>
        </w:rPr>
      </w:pPr>
    </w:p>
    <w:p w:rsidR="00AF210A" w:rsidRDefault="00AF210A" w:rsidP="00953EA1">
      <w:pPr>
        <w:autoSpaceDE w:val="0"/>
        <w:autoSpaceDN w:val="0"/>
        <w:adjustRightInd w:val="0"/>
        <w:rPr>
          <w:rFonts w:eastAsia="HelenPro-Bold"/>
          <w:b/>
          <w:bCs/>
        </w:rPr>
      </w:pPr>
    </w:p>
    <w:p w:rsidR="00AF210A" w:rsidRDefault="00AF210A" w:rsidP="00953EA1">
      <w:pPr>
        <w:autoSpaceDE w:val="0"/>
        <w:autoSpaceDN w:val="0"/>
        <w:adjustRightInd w:val="0"/>
        <w:rPr>
          <w:rFonts w:eastAsia="HelenPro-Bold"/>
          <w:b/>
          <w:bCs/>
        </w:rPr>
      </w:pPr>
    </w:p>
    <w:p w:rsidR="00AF210A" w:rsidRDefault="00AF210A" w:rsidP="00953EA1">
      <w:pPr>
        <w:autoSpaceDE w:val="0"/>
        <w:autoSpaceDN w:val="0"/>
        <w:adjustRightInd w:val="0"/>
        <w:rPr>
          <w:rFonts w:eastAsia="HelenPro-Bold"/>
          <w:b/>
          <w:bCs/>
        </w:rPr>
      </w:pPr>
    </w:p>
    <w:p w:rsidR="00AF210A" w:rsidRDefault="00AF210A" w:rsidP="00953EA1">
      <w:pPr>
        <w:autoSpaceDE w:val="0"/>
        <w:autoSpaceDN w:val="0"/>
        <w:adjustRightInd w:val="0"/>
        <w:rPr>
          <w:rFonts w:eastAsia="HelenPro-Bold"/>
          <w:b/>
          <w:bCs/>
        </w:rPr>
      </w:pPr>
    </w:p>
    <w:p w:rsidR="00AF210A" w:rsidRDefault="00AF210A" w:rsidP="00953EA1">
      <w:pPr>
        <w:autoSpaceDE w:val="0"/>
        <w:autoSpaceDN w:val="0"/>
        <w:adjustRightInd w:val="0"/>
        <w:rPr>
          <w:rFonts w:eastAsia="HelenPro-Bold"/>
          <w:b/>
          <w:bCs/>
        </w:rPr>
      </w:pPr>
    </w:p>
    <w:p w:rsidR="00AF210A" w:rsidRDefault="00AF210A" w:rsidP="00953EA1">
      <w:pPr>
        <w:autoSpaceDE w:val="0"/>
        <w:autoSpaceDN w:val="0"/>
        <w:adjustRightInd w:val="0"/>
        <w:rPr>
          <w:rFonts w:eastAsia="HelenPro-Bold"/>
          <w:b/>
          <w:bCs/>
        </w:rPr>
      </w:pPr>
    </w:p>
    <w:p w:rsidR="00AF210A" w:rsidRDefault="00AF210A" w:rsidP="00953EA1">
      <w:pPr>
        <w:autoSpaceDE w:val="0"/>
        <w:autoSpaceDN w:val="0"/>
        <w:adjustRightInd w:val="0"/>
        <w:rPr>
          <w:rFonts w:eastAsia="HelenPro-Bold"/>
          <w:b/>
          <w:bCs/>
        </w:rPr>
      </w:pPr>
    </w:p>
    <w:p w:rsidR="00953EA1" w:rsidRPr="00953EA1" w:rsidRDefault="00953EA1" w:rsidP="00953EA1">
      <w:pPr>
        <w:autoSpaceDE w:val="0"/>
        <w:autoSpaceDN w:val="0"/>
        <w:adjustRightInd w:val="0"/>
        <w:rPr>
          <w:rFonts w:eastAsia="HelenPro-Bold"/>
          <w:b/>
          <w:bCs/>
        </w:rPr>
      </w:pPr>
      <w:r w:rsidRPr="00953EA1">
        <w:rPr>
          <w:rFonts w:eastAsia="HelenPro-Bold"/>
          <w:b/>
          <w:bCs/>
        </w:rPr>
        <w:lastRenderedPageBreak/>
        <w:t>Reagent Storage</w:t>
      </w:r>
    </w:p>
    <w:p w:rsidR="00F31CEB" w:rsidRDefault="00F31CEB" w:rsidP="00F31CEB">
      <w:pPr>
        <w:autoSpaceDE w:val="0"/>
        <w:autoSpaceDN w:val="0"/>
        <w:adjustRightInd w:val="0"/>
        <w:rPr>
          <w:rFonts w:ascii="HelenPro-Regular" w:eastAsia="HelenPro-Regular" w:cs="HelenPro-Regular"/>
          <w:sz w:val="17"/>
          <w:szCs w:val="17"/>
        </w:rPr>
      </w:pPr>
      <w:r>
        <w:rPr>
          <w:noProof/>
        </w:rPr>
        <w:drawing>
          <wp:inline distT="0" distB="0" distL="0" distR="0" wp14:anchorId="7799F174" wp14:editId="55021A25">
            <wp:extent cx="3448050" cy="2057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48050" cy="2057400"/>
                    </a:xfrm>
                    <a:prstGeom prst="rect">
                      <a:avLst/>
                    </a:prstGeom>
                  </pic:spPr>
                </pic:pic>
              </a:graphicData>
            </a:graphic>
          </wp:inline>
        </w:drawing>
      </w:r>
    </w:p>
    <w:p w:rsidR="00F31CEB" w:rsidRPr="00F31CEB" w:rsidRDefault="00F31CEB" w:rsidP="00F31CEB">
      <w:pPr>
        <w:autoSpaceDE w:val="0"/>
        <w:autoSpaceDN w:val="0"/>
        <w:adjustRightInd w:val="0"/>
        <w:rPr>
          <w:rFonts w:eastAsia="HelenPro-Regular"/>
        </w:rPr>
      </w:pPr>
      <w:r w:rsidRPr="00F31CEB">
        <w:rPr>
          <w:rFonts w:eastAsia="HelenPro-Regular"/>
        </w:rPr>
        <w:t xml:space="preserve">Reagents may be stored on or off the ARCHITECT </w:t>
      </w:r>
      <w:proofErr w:type="spellStart"/>
      <w:r w:rsidRPr="00F31CEB">
        <w:rPr>
          <w:rFonts w:eastAsia="HelenPro-Regular"/>
        </w:rPr>
        <w:t>cSystem</w:t>
      </w:r>
      <w:proofErr w:type="spellEnd"/>
      <w:r w:rsidRPr="00F31CEB">
        <w:rPr>
          <w:rFonts w:eastAsia="HelenPro-Regular"/>
        </w:rPr>
        <w:t>.</w:t>
      </w:r>
    </w:p>
    <w:p w:rsidR="000F0494" w:rsidRPr="00F31CEB" w:rsidRDefault="00F31CEB" w:rsidP="00F31CEB">
      <w:pPr>
        <w:autoSpaceDE w:val="0"/>
        <w:autoSpaceDN w:val="0"/>
        <w:adjustRightInd w:val="0"/>
        <w:rPr>
          <w:rStyle w:val="BodyBold"/>
          <w:rFonts w:ascii="Times New Roman" w:eastAsia="HelenPro-Regular" w:hAnsi="Times New Roman"/>
          <w:b w:val="0"/>
          <w:color w:val="auto"/>
          <w:sz w:val="24"/>
          <w:szCs w:val="24"/>
        </w:rPr>
      </w:pPr>
      <w:r w:rsidRPr="00F31CEB">
        <w:rPr>
          <w:rFonts w:eastAsia="HelenPro-Regular"/>
        </w:rPr>
        <w:t>If reagents are removed from t</w:t>
      </w:r>
      <w:r>
        <w:rPr>
          <w:rFonts w:eastAsia="HelenPro-Regular"/>
        </w:rPr>
        <w:t xml:space="preserve">he system, store at 2-8°C (with </w:t>
      </w:r>
      <w:r w:rsidRPr="00F31CEB">
        <w:rPr>
          <w:rFonts w:eastAsia="HelenPro-Regular"/>
        </w:rPr>
        <w:t>replacement caps) in their original boxes. When reagent is placed</w:t>
      </w:r>
      <w:r>
        <w:rPr>
          <w:rFonts w:eastAsia="HelenPro-Regular"/>
        </w:rPr>
        <w:t xml:space="preserve"> </w:t>
      </w:r>
      <w:r w:rsidRPr="00F31CEB">
        <w:rPr>
          <w:rFonts w:eastAsia="HelenPro-Regular"/>
        </w:rPr>
        <w:t>back on the system, run controls and if appropriate criteria are not</w:t>
      </w:r>
      <w:r>
        <w:rPr>
          <w:rFonts w:eastAsia="HelenPro-Regular"/>
        </w:rPr>
        <w:t xml:space="preserve"> </w:t>
      </w:r>
      <w:r w:rsidRPr="00F31CEB">
        <w:rPr>
          <w:rFonts w:eastAsia="HelenPro-Regular"/>
        </w:rPr>
        <w:t>met, recalibration may be required. For information on unloading</w:t>
      </w:r>
      <w:r>
        <w:rPr>
          <w:rFonts w:eastAsia="HelenPro-Regular"/>
        </w:rPr>
        <w:t xml:space="preserve"> </w:t>
      </w:r>
      <w:r w:rsidRPr="00F31CEB">
        <w:rPr>
          <w:rFonts w:eastAsia="HelenPro-Regular"/>
        </w:rPr>
        <w:t>reagents, refer to the ARCHITECT System Operations Manual,</w:t>
      </w:r>
      <w:r>
        <w:rPr>
          <w:rFonts w:eastAsia="HelenPro-Regular"/>
        </w:rPr>
        <w:t xml:space="preserve"> </w:t>
      </w:r>
      <w:r w:rsidRPr="00F31CEB">
        <w:rPr>
          <w:rFonts w:eastAsia="HelenPro-Regular"/>
        </w:rPr>
        <w:t>Section 5.</w:t>
      </w:r>
    </w:p>
    <w:p w:rsidR="00F31CEB" w:rsidRDefault="00F31CEB" w:rsidP="009A32AB">
      <w:pPr>
        <w:spacing w:after="72"/>
        <w:rPr>
          <w:rStyle w:val="BodyBold"/>
          <w:rFonts w:ascii="Times New Roman" w:hAnsi="Times New Roman"/>
          <w:sz w:val="24"/>
          <w:szCs w:val="24"/>
          <w:lang w:val="ru-RU"/>
        </w:rPr>
      </w:pPr>
    </w:p>
    <w:p w:rsidR="009A32AB" w:rsidRDefault="00B36577" w:rsidP="009A32AB">
      <w:pPr>
        <w:spacing w:after="72"/>
      </w:pPr>
      <w:r w:rsidRPr="007E4CE6">
        <w:rPr>
          <w:rStyle w:val="BodyBold"/>
          <w:rFonts w:ascii="Times New Roman" w:hAnsi="Times New Roman"/>
          <w:sz w:val="24"/>
          <w:szCs w:val="24"/>
          <w:lang w:val="ru-RU"/>
        </w:rPr>
        <w:t>Reagent Preparation:</w:t>
      </w:r>
      <w:r w:rsidRPr="007E4CE6">
        <w:rPr>
          <w:lang w:val="ru-RU"/>
        </w:rPr>
        <w:t xml:space="preserve"> </w:t>
      </w:r>
    </w:p>
    <w:p w:rsidR="00953EA1" w:rsidRPr="009A32AB" w:rsidRDefault="003A1578" w:rsidP="009A32AB">
      <w:pPr>
        <w:spacing w:after="72"/>
      </w:pPr>
      <w:r>
        <w:rPr>
          <w:rFonts w:eastAsia="HelenPro-Regular"/>
        </w:rPr>
        <w:t>LDH</w:t>
      </w:r>
      <w:r w:rsidR="000F0494" w:rsidRPr="000F0494">
        <w:rPr>
          <w:rFonts w:eastAsia="HelenPro-Regular"/>
        </w:rPr>
        <w:t xml:space="preserve"> is supplied as a liquid, ready-to-use, reagent kit</w:t>
      </w:r>
      <w:r w:rsidR="000F0494">
        <w:rPr>
          <w:rFonts w:eastAsia="HelenPro-Regular"/>
        </w:rPr>
        <w:t xml:space="preserve"> </w:t>
      </w:r>
      <w:r w:rsidR="000F0494" w:rsidRPr="000F0494">
        <w:rPr>
          <w:rFonts w:eastAsia="HelenPro-Regular"/>
        </w:rPr>
        <w:t xml:space="preserve">which contains: R1 </w:t>
      </w:r>
      <w:r w:rsidR="006C43A8">
        <w:rPr>
          <w:rFonts w:eastAsia="HelenPro-Regular"/>
        </w:rPr>
        <w:t>&amp; R2</w:t>
      </w:r>
    </w:p>
    <w:p w:rsidR="00D64E39" w:rsidRDefault="003A1578" w:rsidP="00D64E39">
      <w:pPr>
        <w:rPr>
          <w:rFonts w:ascii="Arial" w:eastAsia="HelenPro-Regular" w:hAnsi="Arial" w:cs="Arial"/>
        </w:rPr>
      </w:pPr>
      <w:r>
        <w:rPr>
          <w:noProof/>
        </w:rPr>
        <w:drawing>
          <wp:inline distT="0" distB="0" distL="0" distR="0" wp14:anchorId="21DEB321" wp14:editId="1E26C17B">
            <wp:extent cx="4324350" cy="1304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324350" cy="1304925"/>
                    </a:xfrm>
                    <a:prstGeom prst="rect">
                      <a:avLst/>
                    </a:prstGeom>
                  </pic:spPr>
                </pic:pic>
              </a:graphicData>
            </a:graphic>
          </wp:inline>
        </w:drawing>
      </w:r>
    </w:p>
    <w:p w:rsidR="006C43A8" w:rsidRPr="00E54019" w:rsidRDefault="006C43A8" w:rsidP="00D64E39">
      <w:pPr>
        <w:rPr>
          <w:rFonts w:ascii="Arial" w:eastAsia="HelenPro-Regular" w:hAnsi="Arial" w:cs="Arial"/>
        </w:rPr>
      </w:pPr>
    </w:p>
    <w:p w:rsidR="00AB793D" w:rsidRDefault="00AB793D" w:rsidP="00AB793D">
      <w:pPr>
        <w:rPr>
          <w:rFonts w:eastAsia="HelenPro-Regular"/>
        </w:rPr>
      </w:pPr>
    </w:p>
    <w:p w:rsidR="00973EAF" w:rsidRPr="00973EAF" w:rsidRDefault="000F0494" w:rsidP="00973EAF">
      <w:pPr>
        <w:spacing w:after="43"/>
        <w:rPr>
          <w:i/>
          <w:color w:val="FF0000"/>
          <w:szCs w:val="15"/>
        </w:rPr>
      </w:pPr>
      <w:r>
        <w:rPr>
          <w:b/>
          <w:szCs w:val="14"/>
        </w:rPr>
        <w:t>Q</w:t>
      </w:r>
      <w:r w:rsidR="00B36577" w:rsidRPr="007E4CE6">
        <w:rPr>
          <w:b/>
          <w:szCs w:val="14"/>
        </w:rPr>
        <w:t>uality Control:</w:t>
      </w:r>
      <w:r w:rsidR="00CA11D0" w:rsidRPr="007E4CE6">
        <w:rPr>
          <w:szCs w:val="14"/>
        </w:rPr>
        <w:t xml:space="preserve">  </w:t>
      </w:r>
      <w:r w:rsidR="0056023B">
        <w:rPr>
          <w:szCs w:val="14"/>
        </w:rPr>
        <w:t xml:space="preserve">Minimum 2 levels of </w:t>
      </w:r>
      <w:r w:rsidR="0025031C" w:rsidRPr="00162EEA">
        <w:t>Chemistry</w:t>
      </w:r>
      <w:r w:rsidR="0025031C" w:rsidRPr="00162EEA">
        <w:rPr>
          <w:b/>
        </w:rPr>
        <w:t xml:space="preserve"> </w:t>
      </w:r>
      <w:r w:rsidR="0025031C" w:rsidRPr="00162EEA">
        <w:t>Control</w:t>
      </w:r>
      <w:r w:rsidR="00827DE8">
        <w:t xml:space="preserve"> (Normal and Abnormal</w:t>
      </w:r>
      <w:r w:rsidR="006C43A8">
        <w:t>)</w:t>
      </w:r>
    </w:p>
    <w:p w:rsidR="0025031C" w:rsidRPr="00162EEA" w:rsidRDefault="0025031C" w:rsidP="0025031C">
      <w:pPr>
        <w:ind w:left="1440"/>
      </w:pPr>
      <w:r w:rsidRPr="00162EEA">
        <w:rPr>
          <w:b/>
          <w:szCs w:val="14"/>
        </w:rPr>
        <w:t xml:space="preserve"> </w:t>
      </w:r>
    </w:p>
    <w:p w:rsidR="00452710" w:rsidRDefault="00452710" w:rsidP="00D60AFA">
      <w:pPr>
        <w:spacing w:after="43"/>
        <w:rPr>
          <w:b/>
          <w:sz w:val="28"/>
          <w:szCs w:val="28"/>
        </w:rPr>
      </w:pPr>
    </w:p>
    <w:p w:rsidR="00F31CEB" w:rsidRDefault="00F31CEB" w:rsidP="00D60AFA">
      <w:pPr>
        <w:spacing w:after="43"/>
        <w:rPr>
          <w:b/>
          <w:sz w:val="28"/>
          <w:szCs w:val="28"/>
        </w:rPr>
      </w:pPr>
    </w:p>
    <w:p w:rsidR="00F31CEB" w:rsidRDefault="00F31CEB" w:rsidP="00D60AFA">
      <w:pPr>
        <w:spacing w:after="43"/>
        <w:rPr>
          <w:b/>
          <w:sz w:val="28"/>
          <w:szCs w:val="28"/>
        </w:rPr>
      </w:pPr>
    </w:p>
    <w:p w:rsidR="00F31CEB" w:rsidRDefault="00F31CEB" w:rsidP="00D60AFA">
      <w:pPr>
        <w:spacing w:after="43"/>
        <w:rPr>
          <w:b/>
          <w:sz w:val="28"/>
          <w:szCs w:val="28"/>
        </w:rPr>
      </w:pPr>
    </w:p>
    <w:p w:rsidR="00F31CEB" w:rsidRDefault="00F31CEB" w:rsidP="00D60AFA">
      <w:pPr>
        <w:spacing w:after="43"/>
        <w:rPr>
          <w:b/>
          <w:sz w:val="28"/>
          <w:szCs w:val="28"/>
        </w:rPr>
      </w:pPr>
    </w:p>
    <w:p w:rsidR="00AF210A" w:rsidRDefault="00AF210A" w:rsidP="00D60AFA">
      <w:pPr>
        <w:spacing w:after="43"/>
        <w:rPr>
          <w:b/>
          <w:sz w:val="28"/>
          <w:szCs w:val="28"/>
        </w:rPr>
      </w:pPr>
    </w:p>
    <w:p w:rsidR="00AF210A" w:rsidRDefault="00AF210A" w:rsidP="00D60AFA">
      <w:pPr>
        <w:spacing w:after="43"/>
        <w:rPr>
          <w:b/>
          <w:sz w:val="28"/>
          <w:szCs w:val="28"/>
        </w:rPr>
      </w:pPr>
    </w:p>
    <w:p w:rsidR="00F31CEB" w:rsidRDefault="00F31CEB" w:rsidP="00D60AFA">
      <w:pPr>
        <w:spacing w:after="43"/>
        <w:rPr>
          <w:b/>
          <w:sz w:val="28"/>
          <w:szCs w:val="28"/>
        </w:rPr>
      </w:pPr>
    </w:p>
    <w:p w:rsidR="003A1578" w:rsidRDefault="003A1578" w:rsidP="00D60AFA">
      <w:pPr>
        <w:spacing w:after="43"/>
        <w:rPr>
          <w:b/>
          <w:sz w:val="28"/>
          <w:szCs w:val="28"/>
        </w:rPr>
      </w:pPr>
    </w:p>
    <w:p w:rsidR="00D60AFA" w:rsidRPr="00973EAF" w:rsidRDefault="00AE6F5B" w:rsidP="00D60AFA">
      <w:pPr>
        <w:spacing w:after="43"/>
        <w:rPr>
          <w:i/>
          <w:color w:val="FF0000"/>
          <w:szCs w:val="15"/>
        </w:rPr>
      </w:pPr>
      <w:r w:rsidRPr="007E4CE6">
        <w:rPr>
          <w:b/>
          <w:sz w:val="28"/>
          <w:szCs w:val="28"/>
        </w:rPr>
        <w:lastRenderedPageBreak/>
        <w:t>Calibration</w:t>
      </w:r>
      <w:r w:rsidR="00D60AFA">
        <w:rPr>
          <w:b/>
          <w:sz w:val="28"/>
          <w:szCs w:val="28"/>
        </w:rPr>
        <w:t xml:space="preserve"> </w:t>
      </w:r>
    </w:p>
    <w:p w:rsidR="00AE6F5B" w:rsidRDefault="00AE6F5B" w:rsidP="00AE6F5B">
      <w:pPr>
        <w:rPr>
          <w:b/>
          <w:sz w:val="28"/>
          <w:szCs w:val="28"/>
        </w:rPr>
      </w:pPr>
    </w:p>
    <w:p w:rsidR="00644800" w:rsidRPr="00B36577" w:rsidRDefault="00644800" w:rsidP="00644800">
      <w:pPr>
        <w:ind w:firstLine="720"/>
        <w:rPr>
          <w:b/>
        </w:rPr>
      </w:pPr>
      <w:r w:rsidRPr="00B36577">
        <w:rPr>
          <w:b/>
        </w:rPr>
        <w:t xml:space="preserve">Frequency:  </w:t>
      </w:r>
    </w:p>
    <w:p w:rsidR="00CC3D62" w:rsidRDefault="00E4787B" w:rsidP="00E4787B">
      <w:pPr>
        <w:autoSpaceDE w:val="0"/>
        <w:autoSpaceDN w:val="0"/>
        <w:adjustRightInd w:val="0"/>
        <w:ind w:left="720"/>
        <w:rPr>
          <w:rFonts w:ascii="HelenPro-Regular" w:hAnsi="HelenPro-Regular" w:cs="HelenPro-Regular"/>
          <w:sz w:val="16"/>
          <w:szCs w:val="16"/>
        </w:rPr>
      </w:pPr>
      <w:r w:rsidRPr="00E4787B">
        <w:t xml:space="preserve">Calibration is stable for </w:t>
      </w:r>
      <w:r w:rsidR="003A1578">
        <w:t>30</w:t>
      </w:r>
      <w:r w:rsidRPr="00E4787B">
        <w:t xml:space="preserve"> days (</w:t>
      </w:r>
      <w:r w:rsidR="003A1578">
        <w:t>720</w:t>
      </w:r>
      <w:r w:rsidRPr="00E4787B">
        <w:t xml:space="preserve"> h</w:t>
      </w:r>
      <w:r>
        <w:t>ours)</w:t>
      </w:r>
      <w:r w:rsidR="00AF597C">
        <w:t xml:space="preserve"> </w:t>
      </w:r>
      <w:r w:rsidR="00AF597C" w:rsidRPr="0055619E">
        <w:t>for any one lot.</w:t>
      </w:r>
      <w:r>
        <w:t xml:space="preserve"> </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6C43A8" w:rsidRDefault="006C43A8" w:rsidP="004F5F8A">
      <w:pPr>
        <w:ind w:left="720"/>
        <w:rPr>
          <w:b/>
        </w:rPr>
      </w:pPr>
    </w:p>
    <w:p w:rsidR="004F5F8A" w:rsidRDefault="0025031C" w:rsidP="004F5F8A">
      <w:pPr>
        <w:ind w:left="720"/>
        <w:rPr>
          <w:b/>
        </w:rPr>
      </w:pPr>
      <w:r w:rsidRPr="00081C7F">
        <w:rPr>
          <w:b/>
        </w:rPr>
        <w:t>Calibration Procedure:</w:t>
      </w:r>
      <w:r w:rsidR="0006502B" w:rsidRPr="00081C7F">
        <w:rPr>
          <w:b/>
        </w:rPr>
        <w:t xml:space="preserve"> </w:t>
      </w:r>
    </w:p>
    <w:p w:rsidR="00952CFC" w:rsidRPr="003A1578" w:rsidRDefault="003A1578" w:rsidP="003A1578">
      <w:pPr>
        <w:autoSpaceDE w:val="0"/>
        <w:autoSpaceDN w:val="0"/>
        <w:adjustRightInd w:val="0"/>
        <w:ind w:left="720"/>
        <w:rPr>
          <w:rFonts w:eastAsia="HelenPro-Regular"/>
        </w:rPr>
      </w:pPr>
      <w:r w:rsidRPr="003A1578">
        <w:rPr>
          <w:rFonts w:eastAsia="HelenPro-Regular"/>
        </w:rPr>
        <w:t>The calibration factor was established based on the IFCC</w:t>
      </w:r>
      <w:r>
        <w:rPr>
          <w:rFonts w:eastAsia="HelenPro-Regular"/>
        </w:rPr>
        <w:t xml:space="preserve"> </w:t>
      </w:r>
      <w:r w:rsidRPr="003A1578">
        <w:rPr>
          <w:rFonts w:eastAsia="HelenPro-Regular"/>
        </w:rPr>
        <w:t>methodology.</w:t>
      </w:r>
    </w:p>
    <w:p w:rsidR="003A1578" w:rsidRDefault="003A1578"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912FE4" w:rsidRDefault="00912FE4" w:rsidP="0025031C">
      <w:pPr>
        <w:rPr>
          <w:b/>
          <w:sz w:val="28"/>
          <w:szCs w:val="28"/>
        </w:rPr>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F3700B" w:rsidRDefault="00F3700B" w:rsidP="00F3700B">
      <w:pPr>
        <w:autoSpaceDE w:val="0"/>
        <w:autoSpaceDN w:val="0"/>
        <w:adjustRightInd w:val="0"/>
        <w:ind w:left="720"/>
        <w:rPr>
          <w:rFonts w:eastAsia="HelenPro-Regular"/>
        </w:rPr>
      </w:pPr>
      <w:r w:rsidRPr="00F3700B">
        <w:rPr>
          <w:rFonts w:eastAsia="HelenPro-Regular"/>
        </w:rPr>
        <w:t>• Two levels of controls (normal and abnormal) are to be run every</w:t>
      </w:r>
      <w:r>
        <w:rPr>
          <w:rFonts w:eastAsia="HelenPro-Regular"/>
        </w:rPr>
        <w:t xml:space="preserve"> </w:t>
      </w:r>
      <w:r w:rsidRPr="00F3700B">
        <w:rPr>
          <w:rFonts w:eastAsia="HelenPro-Regular"/>
        </w:rPr>
        <w:t>24 hours.</w:t>
      </w:r>
    </w:p>
    <w:p w:rsidR="00953EA1" w:rsidRPr="00F3700B" w:rsidRDefault="00953EA1" w:rsidP="00F3700B">
      <w:pPr>
        <w:autoSpaceDE w:val="0"/>
        <w:autoSpaceDN w:val="0"/>
        <w:adjustRightInd w:val="0"/>
        <w:ind w:left="720"/>
        <w:rPr>
          <w:rFonts w:eastAsia="HelenPro-Regular"/>
        </w:rPr>
      </w:pPr>
      <w:r>
        <w:rPr>
          <w:rFonts w:eastAsia="HelenPro-Regular"/>
        </w:rPr>
        <w:t>Some controls may require addition of Liquid Stabilizer.</w:t>
      </w:r>
    </w:p>
    <w:p w:rsidR="00F3700B" w:rsidRPr="00F3700B" w:rsidRDefault="00F3700B" w:rsidP="00F3700B">
      <w:pPr>
        <w:autoSpaceDE w:val="0"/>
        <w:autoSpaceDN w:val="0"/>
        <w:adjustRightInd w:val="0"/>
        <w:ind w:left="720"/>
        <w:rPr>
          <w:rFonts w:eastAsia="HelenPro-Regular"/>
        </w:rPr>
      </w:pPr>
      <w:r w:rsidRPr="00F3700B">
        <w:rPr>
          <w:rFonts w:eastAsia="HelenPro-Regular"/>
        </w:rPr>
        <w:t>• If more frequent control monitoring is required, follow the established</w:t>
      </w:r>
      <w:r>
        <w:rPr>
          <w:rFonts w:eastAsia="HelenPro-Regular"/>
        </w:rPr>
        <w:t xml:space="preserve"> </w:t>
      </w:r>
      <w:r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Pr="00F3700B"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F3700B" w:rsidRDefault="00F3700B" w:rsidP="00F66836">
      <w:pPr>
        <w:rPr>
          <w:b/>
          <w:sz w:val="28"/>
          <w:szCs w:val="28"/>
        </w:rPr>
      </w:pPr>
    </w:p>
    <w:p w:rsidR="00F66836" w:rsidRPr="00E50643" w:rsidRDefault="00F66836" w:rsidP="00F66836">
      <w:pPr>
        <w:rPr>
          <w:b/>
          <w:sz w:val="28"/>
          <w:szCs w:val="28"/>
        </w:rPr>
      </w:pPr>
      <w:r w:rsidRPr="00F66836">
        <w:rPr>
          <w:b/>
          <w:sz w:val="28"/>
          <w:szCs w:val="28"/>
        </w:rPr>
        <w:t>Procedure</w:t>
      </w:r>
      <w:r w:rsidR="006D40ED">
        <w:rPr>
          <w:b/>
          <w:sz w:val="28"/>
          <w:szCs w:val="28"/>
        </w:rPr>
        <w:t xml:space="preserve"> </w:t>
      </w:r>
    </w:p>
    <w:p w:rsidR="00B36577" w:rsidRPr="00A554D4" w:rsidRDefault="00A554D4" w:rsidP="002C7FD5">
      <w:pPr>
        <w:rPr>
          <w:b/>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452710" w:rsidRDefault="00452710" w:rsidP="00F3700B">
      <w:pPr>
        <w:rPr>
          <w:b/>
          <w:sz w:val="28"/>
          <w:szCs w:val="28"/>
        </w:rPr>
      </w:pPr>
    </w:p>
    <w:p w:rsidR="00F31CEB" w:rsidRPr="00F31CEB" w:rsidRDefault="00F31CEB" w:rsidP="00F31CEB">
      <w:pPr>
        <w:autoSpaceDE w:val="0"/>
        <w:autoSpaceDN w:val="0"/>
        <w:adjustRightInd w:val="0"/>
        <w:rPr>
          <w:rFonts w:eastAsia="HelenPro-Regular"/>
        </w:rPr>
      </w:pPr>
      <w:r w:rsidRPr="00F31CEB">
        <w:rPr>
          <w:rFonts w:eastAsia="HelenPro-Regular"/>
        </w:rPr>
        <w:t>The Lactate Dehydrogenase assa</w:t>
      </w:r>
      <w:r>
        <w:rPr>
          <w:rFonts w:eastAsia="HelenPro-Regular"/>
        </w:rPr>
        <w:t xml:space="preserve">y file must be installed on the </w:t>
      </w:r>
      <w:r w:rsidRPr="00F31CEB">
        <w:rPr>
          <w:rFonts w:eastAsia="HelenPro-Regular"/>
        </w:rPr>
        <w:t xml:space="preserve">ARCHITECT </w:t>
      </w:r>
      <w:proofErr w:type="spellStart"/>
      <w:r w:rsidRPr="00F31CEB">
        <w:rPr>
          <w:rFonts w:eastAsia="HelenPro-Regular"/>
        </w:rPr>
        <w:t>cSystem</w:t>
      </w:r>
      <w:proofErr w:type="spellEnd"/>
      <w:r w:rsidRPr="00F31CEB">
        <w:rPr>
          <w:rFonts w:eastAsia="HelenPro-Regular"/>
        </w:rPr>
        <w:t xml:space="preserve"> prior to performing the assay.</w:t>
      </w:r>
      <w:r>
        <w:rPr>
          <w:rFonts w:eastAsia="HelenPro-Regular"/>
        </w:rPr>
        <w:t xml:space="preserve"> </w:t>
      </w:r>
      <w:r w:rsidRPr="00F31CEB">
        <w:rPr>
          <w:rFonts w:eastAsia="HelenPro-Regular"/>
        </w:rPr>
        <w:t>For detailed information on assay file installation and viewing</w:t>
      </w:r>
    </w:p>
    <w:p w:rsidR="00F31CEB" w:rsidRPr="00F31CEB" w:rsidRDefault="00F31CEB" w:rsidP="00F31CEB">
      <w:pPr>
        <w:autoSpaceDE w:val="0"/>
        <w:autoSpaceDN w:val="0"/>
        <w:adjustRightInd w:val="0"/>
        <w:rPr>
          <w:rFonts w:eastAsia="HelenPro-Regular"/>
        </w:rPr>
      </w:pPr>
      <w:r w:rsidRPr="00F31CEB">
        <w:rPr>
          <w:rFonts w:eastAsia="HelenPro-Regular"/>
        </w:rPr>
        <w:t>and editing assay parameters</w:t>
      </w:r>
      <w:r>
        <w:rPr>
          <w:rFonts w:eastAsia="HelenPro-Regular"/>
        </w:rPr>
        <w:t xml:space="preserve">, refer to the ARCHITECT System </w:t>
      </w:r>
      <w:r w:rsidRPr="00F31CEB">
        <w:rPr>
          <w:rFonts w:eastAsia="HelenPro-Regular"/>
        </w:rPr>
        <w:t>Operations Manual, Section 2.</w:t>
      </w:r>
    </w:p>
    <w:p w:rsidR="00F31CEB" w:rsidRPr="00F31CEB" w:rsidRDefault="00F31CEB" w:rsidP="00F31CEB">
      <w:pPr>
        <w:autoSpaceDE w:val="0"/>
        <w:autoSpaceDN w:val="0"/>
        <w:adjustRightInd w:val="0"/>
        <w:rPr>
          <w:rFonts w:eastAsia="HelenPro-Regular"/>
        </w:rPr>
      </w:pPr>
      <w:r w:rsidRPr="00F31CEB">
        <w:rPr>
          <w:rFonts w:eastAsia="HelenPro-Regular"/>
        </w:rPr>
        <w:t>For information on printing assay parameters or for a detailed</w:t>
      </w:r>
      <w:r>
        <w:rPr>
          <w:rFonts w:eastAsia="HelenPro-Regular"/>
        </w:rPr>
        <w:t xml:space="preserve"> </w:t>
      </w:r>
      <w:r w:rsidRPr="00F31CEB">
        <w:rPr>
          <w:rFonts w:eastAsia="HelenPro-Regular"/>
        </w:rPr>
        <w:t>description of system procedures, refer to the ARCHITECT System</w:t>
      </w:r>
      <w:r>
        <w:rPr>
          <w:rFonts w:eastAsia="HelenPro-Regular"/>
        </w:rPr>
        <w:t xml:space="preserve"> </w:t>
      </w:r>
      <w:r w:rsidRPr="00F31CEB">
        <w:rPr>
          <w:rFonts w:eastAsia="HelenPro-Regular"/>
        </w:rPr>
        <w:t>Operations Manual, Section 5.</w:t>
      </w:r>
    </w:p>
    <w:p w:rsidR="003A1578" w:rsidRDefault="003A1578" w:rsidP="00F3700B">
      <w:pPr>
        <w:rPr>
          <w:b/>
          <w:sz w:val="28"/>
          <w:szCs w:val="28"/>
        </w:rPr>
      </w:pPr>
    </w:p>
    <w:p w:rsidR="006D40ED" w:rsidRPr="00F3700B" w:rsidRDefault="00132081" w:rsidP="00F3700B">
      <w:pPr>
        <w:rPr>
          <w:i/>
          <w:color w:val="FF0000"/>
          <w:sz w:val="28"/>
          <w:szCs w:val="28"/>
        </w:rPr>
      </w:pPr>
      <w:r w:rsidRPr="00F3700B">
        <w:rPr>
          <w:b/>
          <w:sz w:val="28"/>
          <w:szCs w:val="28"/>
        </w:rPr>
        <w:t>Calculations</w:t>
      </w:r>
      <w:r w:rsidR="00D60AFA" w:rsidRPr="00F3700B">
        <w:rPr>
          <w:b/>
          <w:sz w:val="28"/>
          <w:szCs w:val="28"/>
        </w:rPr>
        <w:t xml:space="preserve"> </w:t>
      </w:r>
    </w:p>
    <w:p w:rsidR="00A554D4" w:rsidRPr="009764C3" w:rsidRDefault="00A554D4" w:rsidP="00AB793D">
      <w:pPr>
        <w:rPr>
          <w:rFonts w:eastAsia="HelenPro-Regular"/>
        </w:rPr>
      </w:pPr>
      <w:r w:rsidRPr="009764C3">
        <w:rPr>
          <w:rFonts w:eastAsia="HelenPro-Regular"/>
        </w:rPr>
        <w:t xml:space="preserve">Refer to </w:t>
      </w:r>
      <w:r w:rsidRPr="009764C3">
        <w:rPr>
          <w:rFonts w:eastAsia="HelenPro-Regular"/>
          <w:i/>
          <w:iCs/>
        </w:rPr>
        <w:t xml:space="preserve">Appendix C </w:t>
      </w:r>
      <w:r w:rsidRPr="009764C3">
        <w:rPr>
          <w:rFonts w:eastAsia="HelenPro-Regular"/>
        </w:rPr>
        <w:t xml:space="preserve">of the </w:t>
      </w:r>
      <w:r w:rsidRPr="009764C3">
        <w:rPr>
          <w:rFonts w:eastAsia="HelenPro-Regular"/>
          <w:b/>
          <w:bCs/>
        </w:rPr>
        <w:t xml:space="preserve">ARCHITECT System Operations Manual </w:t>
      </w:r>
      <w:r w:rsidRPr="009764C3">
        <w:rPr>
          <w:rFonts w:eastAsia="HelenPro-Regular"/>
        </w:rPr>
        <w:t>for</w:t>
      </w:r>
      <w:r w:rsidR="00D64E39" w:rsidRPr="009764C3">
        <w:rPr>
          <w:rFonts w:eastAsia="HelenPro-Regular"/>
        </w:rPr>
        <w:t xml:space="preserve"> </w:t>
      </w:r>
      <w:r w:rsidRPr="009764C3">
        <w:rPr>
          <w:rFonts w:eastAsia="HelenPro-Regular"/>
        </w:rPr>
        <w:t>information on results calculations.</w:t>
      </w:r>
    </w:p>
    <w:p w:rsidR="00F92520" w:rsidRPr="009764C3" w:rsidRDefault="00F92520" w:rsidP="00A554D4">
      <w:pPr>
        <w:ind w:left="1530"/>
        <w:rPr>
          <w:rFonts w:eastAsia="HelenPro-Regular"/>
        </w:rPr>
      </w:pPr>
    </w:p>
    <w:p w:rsidR="000A090B" w:rsidRPr="009764C3" w:rsidRDefault="00132081" w:rsidP="000A090B">
      <w:pPr>
        <w:jc w:val="both"/>
        <w:rPr>
          <w:sz w:val="28"/>
          <w:szCs w:val="28"/>
        </w:rPr>
      </w:pPr>
      <w:r w:rsidRPr="009764C3">
        <w:rPr>
          <w:b/>
          <w:sz w:val="28"/>
          <w:szCs w:val="28"/>
        </w:rPr>
        <w:t>Reporting Results</w:t>
      </w:r>
      <w:r w:rsidR="000A090B" w:rsidRPr="009764C3">
        <w:rPr>
          <w:sz w:val="28"/>
          <w:szCs w:val="28"/>
        </w:rPr>
        <w:t xml:space="preserve"> </w:t>
      </w:r>
    </w:p>
    <w:p w:rsidR="00F3700B" w:rsidRPr="009764C3" w:rsidRDefault="00F31CEB" w:rsidP="00F31CEB">
      <w:pPr>
        <w:autoSpaceDE w:val="0"/>
        <w:autoSpaceDN w:val="0"/>
        <w:adjustRightInd w:val="0"/>
        <w:rPr>
          <w:rFonts w:eastAsia="HelenPro-Regular"/>
        </w:rPr>
      </w:pPr>
      <w:r w:rsidRPr="009764C3">
        <w:rPr>
          <w:rFonts w:eastAsia="HelenPro-Regular"/>
        </w:rPr>
        <w:t>The Conventional result units for the LDH assay is U/L. The corresponding SI result unit is U/L.</w:t>
      </w:r>
    </w:p>
    <w:p w:rsidR="00D64E39" w:rsidRPr="009764C3" w:rsidRDefault="00D64E39" w:rsidP="00AB793D">
      <w:pPr>
        <w:rPr>
          <w:b/>
          <w:bCs/>
        </w:rPr>
      </w:pPr>
    </w:p>
    <w:p w:rsidR="00912FE4" w:rsidRPr="009764C3" w:rsidRDefault="00912FE4" w:rsidP="00AB793D">
      <w:pPr>
        <w:rPr>
          <w:b/>
          <w:bCs/>
          <w:sz w:val="28"/>
          <w:szCs w:val="28"/>
        </w:rPr>
      </w:pPr>
      <w:r w:rsidRPr="009764C3">
        <w:rPr>
          <w:b/>
          <w:bCs/>
          <w:sz w:val="28"/>
          <w:szCs w:val="28"/>
        </w:rPr>
        <w:t>Specific Performance Characteristics</w:t>
      </w:r>
      <w:r w:rsidR="00D60AFA" w:rsidRPr="009764C3">
        <w:rPr>
          <w:b/>
          <w:bCs/>
          <w:sz w:val="28"/>
          <w:szCs w:val="28"/>
        </w:rPr>
        <w:t xml:space="preserve"> </w:t>
      </w:r>
    </w:p>
    <w:p w:rsidR="00CE2DC7" w:rsidRPr="009764C3" w:rsidRDefault="00CE2DC7" w:rsidP="00AB793D">
      <w:pPr>
        <w:rPr>
          <w:b/>
          <w:bCs/>
        </w:rPr>
      </w:pPr>
      <w:r w:rsidRPr="009764C3">
        <w:rPr>
          <w:b/>
          <w:bCs/>
        </w:rPr>
        <w:t>Reference Ranges</w:t>
      </w:r>
      <w:r w:rsidR="00D60AFA" w:rsidRPr="009764C3">
        <w:rPr>
          <w:b/>
          <w:bCs/>
        </w:rPr>
        <w:t xml:space="preserve"> </w:t>
      </w:r>
    </w:p>
    <w:p w:rsidR="0055619E" w:rsidRPr="009764C3" w:rsidRDefault="006D40ED" w:rsidP="006D40ED">
      <w:pPr>
        <w:autoSpaceDE w:val="0"/>
        <w:autoSpaceDN w:val="0"/>
        <w:adjustRightInd w:val="0"/>
        <w:rPr>
          <w:rFonts w:eastAsia="HelenPro-Regular"/>
        </w:rPr>
      </w:pPr>
      <w:r w:rsidRPr="009764C3">
        <w:rPr>
          <w:rFonts w:eastAsia="HelenPro-Regular"/>
        </w:rPr>
        <w:t>It is recommended that each laboratory determine its own reference range based upon its particular locale and population characteristics.</w:t>
      </w:r>
    </w:p>
    <w:p w:rsidR="006D40ED" w:rsidRPr="009764C3" w:rsidRDefault="006D40ED" w:rsidP="00AB793D">
      <w:pPr>
        <w:rPr>
          <w:b/>
          <w:bCs/>
        </w:rPr>
      </w:pPr>
    </w:p>
    <w:p w:rsidR="00A554D4" w:rsidRPr="009764C3" w:rsidRDefault="00953EA1" w:rsidP="00AB793D">
      <w:pPr>
        <w:rPr>
          <w:b/>
          <w:bCs/>
        </w:rPr>
      </w:pPr>
      <w:r w:rsidRPr="009764C3">
        <w:rPr>
          <w:b/>
          <w:bCs/>
        </w:rPr>
        <w:t>Serum</w:t>
      </w:r>
      <w:r w:rsidR="000F0494" w:rsidRPr="009764C3">
        <w:rPr>
          <w:b/>
          <w:bCs/>
        </w:rPr>
        <w:t>/Plasma</w:t>
      </w:r>
      <w:r w:rsidR="009764C3">
        <w:rPr>
          <w:b/>
          <w:bCs/>
        </w:rPr>
        <w:t>:</w:t>
      </w:r>
    </w:p>
    <w:p w:rsidR="00DA6C6A" w:rsidRDefault="00DA6C6A" w:rsidP="00AB793D">
      <w:pPr>
        <w:rPr>
          <w:b/>
          <w:bCs/>
        </w:rPr>
      </w:pPr>
    </w:p>
    <w:p w:rsidR="003F2356" w:rsidRPr="003F2356" w:rsidRDefault="003F2356" w:rsidP="003F2356">
      <w:pPr>
        <w:rPr>
          <w:b/>
          <w:bCs/>
        </w:rPr>
      </w:pPr>
      <w:r w:rsidRPr="003F2356">
        <w:rPr>
          <w:b/>
          <w:bCs/>
        </w:rPr>
        <w:t>1-30 days 135-750</w:t>
      </w:r>
    </w:p>
    <w:p w:rsidR="003F2356" w:rsidRPr="003F2356" w:rsidRDefault="003F2356" w:rsidP="003F2356">
      <w:pPr>
        <w:rPr>
          <w:b/>
          <w:bCs/>
        </w:rPr>
      </w:pPr>
      <w:r w:rsidRPr="003F2356">
        <w:rPr>
          <w:b/>
          <w:bCs/>
        </w:rPr>
        <w:t>31days – 11 months  180-435</w:t>
      </w:r>
    </w:p>
    <w:p w:rsidR="003F2356" w:rsidRPr="003F2356" w:rsidRDefault="003F2356" w:rsidP="003F2356">
      <w:pPr>
        <w:rPr>
          <w:b/>
          <w:bCs/>
        </w:rPr>
      </w:pPr>
      <w:r w:rsidRPr="003F2356">
        <w:rPr>
          <w:b/>
          <w:bCs/>
        </w:rPr>
        <w:t>1-3 years 160-370</w:t>
      </w:r>
    </w:p>
    <w:p w:rsidR="003F2356" w:rsidRPr="003F2356" w:rsidRDefault="003F2356" w:rsidP="003F2356">
      <w:pPr>
        <w:rPr>
          <w:b/>
          <w:bCs/>
        </w:rPr>
      </w:pPr>
      <w:r w:rsidRPr="003F2356">
        <w:rPr>
          <w:b/>
          <w:bCs/>
        </w:rPr>
        <w:t>4-6 years 145-345</w:t>
      </w:r>
    </w:p>
    <w:p w:rsidR="003F2356" w:rsidRPr="003F2356" w:rsidRDefault="00635864" w:rsidP="003F2356">
      <w:pPr>
        <w:rPr>
          <w:b/>
          <w:bCs/>
        </w:rPr>
      </w:pPr>
      <w:r>
        <w:rPr>
          <w:b/>
          <w:bCs/>
        </w:rPr>
        <w:t>7-9 years 143</w:t>
      </w:r>
      <w:r w:rsidR="003F2356" w:rsidRPr="003F2356">
        <w:rPr>
          <w:b/>
          <w:bCs/>
        </w:rPr>
        <w:t>-</w:t>
      </w:r>
      <w:r>
        <w:rPr>
          <w:b/>
          <w:bCs/>
        </w:rPr>
        <w:t>290</w:t>
      </w:r>
      <w:bookmarkStart w:id="0" w:name="_GoBack"/>
      <w:bookmarkEnd w:id="0"/>
    </w:p>
    <w:p w:rsidR="003F2356" w:rsidRPr="003F2356" w:rsidRDefault="003F2356" w:rsidP="003F2356">
      <w:pPr>
        <w:rPr>
          <w:b/>
          <w:bCs/>
        </w:rPr>
      </w:pPr>
      <w:r w:rsidRPr="003F2356">
        <w:rPr>
          <w:b/>
          <w:bCs/>
        </w:rPr>
        <w:t>10-12 years  120-293</w:t>
      </w:r>
    </w:p>
    <w:p w:rsidR="003F2356" w:rsidRPr="003F2356" w:rsidRDefault="003F2356" w:rsidP="003F2356">
      <w:pPr>
        <w:rPr>
          <w:b/>
          <w:bCs/>
        </w:rPr>
      </w:pPr>
      <w:r w:rsidRPr="003F2356">
        <w:rPr>
          <w:b/>
          <w:bCs/>
        </w:rPr>
        <w:t>13-15 years 110-283</w:t>
      </w:r>
    </w:p>
    <w:p w:rsidR="003F2356" w:rsidRPr="003F2356" w:rsidRDefault="003F2356" w:rsidP="003F2356">
      <w:pPr>
        <w:rPr>
          <w:b/>
          <w:bCs/>
        </w:rPr>
      </w:pPr>
      <w:r w:rsidRPr="003F2356">
        <w:rPr>
          <w:b/>
          <w:bCs/>
        </w:rPr>
        <w:t>16-17 years 105-233</w:t>
      </w:r>
    </w:p>
    <w:p w:rsidR="003F2356" w:rsidRDefault="003F2356" w:rsidP="003F2356">
      <w:pPr>
        <w:rPr>
          <w:b/>
          <w:bCs/>
        </w:rPr>
      </w:pPr>
      <w:r w:rsidRPr="003F2356">
        <w:rPr>
          <w:b/>
          <w:bCs/>
        </w:rPr>
        <w:t>Adult 125-220</w:t>
      </w:r>
    </w:p>
    <w:p w:rsidR="003F2356" w:rsidRDefault="003F2356" w:rsidP="00AB793D">
      <w:pPr>
        <w:rPr>
          <w:b/>
          <w:bCs/>
        </w:rPr>
      </w:pPr>
    </w:p>
    <w:p w:rsidR="003349E7" w:rsidRPr="009764C3" w:rsidRDefault="003349E7" w:rsidP="00AB793D">
      <w:pPr>
        <w:rPr>
          <w:b/>
          <w:bCs/>
        </w:rPr>
      </w:pPr>
    </w:p>
    <w:p w:rsidR="00B63E8F" w:rsidRPr="009764C3" w:rsidRDefault="00B63E8F" w:rsidP="00623EFB">
      <w:pPr>
        <w:ind w:right="720"/>
        <w:jc w:val="both"/>
        <w:rPr>
          <w:b/>
        </w:rPr>
      </w:pPr>
      <w:r w:rsidRPr="009764C3">
        <w:rPr>
          <w:b/>
        </w:rPr>
        <w:t>Critical Values</w:t>
      </w:r>
      <w:r w:rsidR="009764C3">
        <w:rPr>
          <w:b/>
        </w:rPr>
        <w:t>: N/A</w:t>
      </w:r>
    </w:p>
    <w:p w:rsidR="0038442D" w:rsidRPr="009764C3" w:rsidRDefault="0038442D" w:rsidP="00AB793D">
      <w:pPr>
        <w:rPr>
          <w:b/>
          <w:sz w:val="28"/>
          <w:szCs w:val="28"/>
        </w:rPr>
      </w:pPr>
    </w:p>
    <w:p w:rsidR="00D5211B" w:rsidRPr="009764C3" w:rsidRDefault="005E3D52" w:rsidP="00AB793D">
      <w:pPr>
        <w:rPr>
          <w:i/>
          <w:color w:val="FF0000"/>
          <w:sz w:val="28"/>
          <w:szCs w:val="28"/>
        </w:rPr>
      </w:pPr>
      <w:r w:rsidRPr="009764C3">
        <w:rPr>
          <w:b/>
          <w:sz w:val="28"/>
          <w:szCs w:val="28"/>
        </w:rPr>
        <w:t>Performance Characteristics</w:t>
      </w:r>
      <w:r w:rsidR="00973EAF" w:rsidRPr="009764C3">
        <w:rPr>
          <w:b/>
          <w:sz w:val="28"/>
          <w:szCs w:val="28"/>
        </w:rPr>
        <w:t xml:space="preserve"> </w:t>
      </w:r>
    </w:p>
    <w:p w:rsidR="003A1578" w:rsidRPr="009764C3" w:rsidRDefault="003A1578" w:rsidP="003A1578">
      <w:pPr>
        <w:autoSpaceDE w:val="0"/>
        <w:autoSpaceDN w:val="0"/>
        <w:adjustRightInd w:val="0"/>
        <w:rPr>
          <w:rFonts w:eastAsia="HelenPro-Bold"/>
          <w:b/>
          <w:bCs/>
        </w:rPr>
      </w:pPr>
      <w:r w:rsidRPr="009764C3">
        <w:rPr>
          <w:rFonts w:eastAsia="HelenPro-Bold"/>
          <w:b/>
          <w:bCs/>
        </w:rPr>
        <w:t>Measuring Interval</w:t>
      </w:r>
    </w:p>
    <w:p w:rsidR="00E36B73" w:rsidRPr="009764C3" w:rsidRDefault="003A1578" w:rsidP="003A1578">
      <w:pPr>
        <w:autoSpaceDE w:val="0"/>
        <w:autoSpaceDN w:val="0"/>
        <w:adjustRightInd w:val="0"/>
        <w:rPr>
          <w:rFonts w:eastAsia="HelenPro-Regular"/>
        </w:rPr>
      </w:pPr>
      <w:r w:rsidRPr="009764C3">
        <w:rPr>
          <w:rFonts w:eastAsia="HelenPro-Regular"/>
        </w:rPr>
        <w:t>The measuring interval of Lactate Dehydrogenase STD (1:3) dilution protocol is 30 to 2,000 U/L and the UNDILUTED protocol is 10 to 2,000 U/L (10 to 4,500 U/L if Flex Rate is used).</w:t>
      </w:r>
    </w:p>
    <w:p w:rsidR="003A1578" w:rsidRPr="009764C3" w:rsidRDefault="003A1578" w:rsidP="00953EA1">
      <w:pPr>
        <w:autoSpaceDE w:val="0"/>
        <w:autoSpaceDN w:val="0"/>
        <w:adjustRightInd w:val="0"/>
        <w:rPr>
          <w:rFonts w:eastAsia="HelenPro-Bold"/>
          <w:b/>
          <w:bCs/>
        </w:rPr>
      </w:pPr>
    </w:p>
    <w:p w:rsidR="00953EA1" w:rsidRPr="009764C3" w:rsidRDefault="00953EA1" w:rsidP="00953EA1">
      <w:pPr>
        <w:autoSpaceDE w:val="0"/>
        <w:autoSpaceDN w:val="0"/>
        <w:adjustRightInd w:val="0"/>
        <w:rPr>
          <w:rFonts w:eastAsia="HelenPro-Bold"/>
          <w:b/>
          <w:bCs/>
        </w:rPr>
      </w:pPr>
      <w:r w:rsidRPr="009764C3">
        <w:rPr>
          <w:rFonts w:eastAsia="HelenPro-Bold"/>
          <w:b/>
          <w:bCs/>
        </w:rPr>
        <w:t>Linearity</w:t>
      </w:r>
    </w:p>
    <w:p w:rsidR="003A1578" w:rsidRPr="009764C3" w:rsidRDefault="003A1578" w:rsidP="003A1578">
      <w:pPr>
        <w:autoSpaceDE w:val="0"/>
        <w:autoSpaceDN w:val="0"/>
        <w:adjustRightInd w:val="0"/>
        <w:rPr>
          <w:rFonts w:eastAsia="HelenPro-Regular"/>
        </w:rPr>
      </w:pPr>
      <w:r w:rsidRPr="009764C3">
        <w:rPr>
          <w:rFonts w:eastAsia="HelenPro-Regular"/>
        </w:rPr>
        <w:t>Lactate Dehydrogenase is linear up to 2,000 U/L within } 9.0% or 20 U/L, whichever is greater with 95% confidence.</w:t>
      </w:r>
    </w:p>
    <w:p w:rsidR="005E3D52" w:rsidRPr="009764C3" w:rsidRDefault="003A1578" w:rsidP="003A1578">
      <w:pPr>
        <w:autoSpaceDE w:val="0"/>
        <w:autoSpaceDN w:val="0"/>
        <w:adjustRightInd w:val="0"/>
        <w:rPr>
          <w:rFonts w:eastAsia="HelenPro-Regular"/>
        </w:rPr>
      </w:pPr>
      <w:r w:rsidRPr="009764C3">
        <w:rPr>
          <w:rFonts w:eastAsia="HelenPro-Regular"/>
        </w:rPr>
        <w:t>Flex Rate Linearity is 4,500 U/L (UNDILUTED protocol only).</w:t>
      </w:r>
    </w:p>
    <w:p w:rsidR="00953EA1" w:rsidRPr="009764C3" w:rsidRDefault="00953EA1" w:rsidP="001B29A7">
      <w:pPr>
        <w:ind w:left="90"/>
        <w:rPr>
          <w:rFonts w:eastAsia="HelenPro-Bold"/>
          <w:b/>
          <w:bCs/>
        </w:rPr>
      </w:pPr>
    </w:p>
    <w:p w:rsidR="00F31CEB" w:rsidRPr="009764C3" w:rsidRDefault="00F31CEB" w:rsidP="001B29A7">
      <w:pPr>
        <w:ind w:left="90"/>
        <w:rPr>
          <w:rFonts w:eastAsia="HelenPro-Bold"/>
          <w:b/>
          <w:bCs/>
        </w:rPr>
      </w:pPr>
    </w:p>
    <w:p w:rsidR="00F31CEB" w:rsidRPr="009764C3" w:rsidRDefault="00F31CEB" w:rsidP="001B29A7">
      <w:pPr>
        <w:ind w:left="90"/>
        <w:rPr>
          <w:rFonts w:eastAsia="HelenPro-Bold"/>
          <w:b/>
          <w:bCs/>
        </w:rPr>
      </w:pPr>
    </w:p>
    <w:p w:rsidR="00F31CEB" w:rsidRDefault="00F31CEB" w:rsidP="001B29A7">
      <w:pPr>
        <w:ind w:left="90"/>
        <w:rPr>
          <w:rFonts w:eastAsia="HelenPro-Bold"/>
          <w:b/>
          <w:bCs/>
        </w:rPr>
      </w:pPr>
    </w:p>
    <w:p w:rsidR="00973C0B" w:rsidRDefault="00973C0B" w:rsidP="001B29A7">
      <w:pPr>
        <w:ind w:left="90"/>
        <w:rPr>
          <w:rFonts w:eastAsia="HelenPro-Bold"/>
          <w:b/>
          <w:bCs/>
        </w:rPr>
      </w:pPr>
    </w:p>
    <w:p w:rsidR="00973C0B" w:rsidRDefault="00973C0B" w:rsidP="001B29A7">
      <w:pPr>
        <w:ind w:left="90"/>
        <w:rPr>
          <w:rFonts w:eastAsia="HelenPro-Bold"/>
          <w:b/>
          <w:bCs/>
        </w:rPr>
      </w:pPr>
    </w:p>
    <w:p w:rsidR="00973C0B" w:rsidRPr="009764C3" w:rsidRDefault="00973C0B" w:rsidP="001B29A7">
      <w:pPr>
        <w:ind w:left="90"/>
        <w:rPr>
          <w:rFonts w:eastAsia="HelenPro-Bold"/>
          <w:b/>
          <w:bCs/>
        </w:rPr>
      </w:pPr>
    </w:p>
    <w:p w:rsidR="00F31CEB" w:rsidRPr="009764C3" w:rsidRDefault="00F31CEB" w:rsidP="001B29A7">
      <w:pPr>
        <w:ind w:left="90"/>
        <w:rPr>
          <w:rFonts w:eastAsia="HelenPro-Bold"/>
          <w:b/>
          <w:bCs/>
        </w:rPr>
      </w:pPr>
    </w:p>
    <w:p w:rsidR="00953EA1" w:rsidRPr="009764C3" w:rsidRDefault="00953EA1" w:rsidP="001B29A7">
      <w:pPr>
        <w:ind w:left="90"/>
        <w:rPr>
          <w:rFonts w:eastAsia="HelenPro-Bold"/>
          <w:b/>
          <w:bCs/>
        </w:rPr>
      </w:pPr>
      <w:r w:rsidRPr="009764C3">
        <w:rPr>
          <w:rFonts w:eastAsia="HelenPro-Bold"/>
          <w:b/>
          <w:bCs/>
        </w:rPr>
        <w:t>Dilution:</w:t>
      </w:r>
    </w:p>
    <w:p w:rsidR="003A1578" w:rsidRPr="009764C3" w:rsidRDefault="003A1578" w:rsidP="003A1578">
      <w:pPr>
        <w:autoSpaceDE w:val="0"/>
        <w:autoSpaceDN w:val="0"/>
        <w:adjustRightInd w:val="0"/>
        <w:rPr>
          <w:rFonts w:eastAsia="HelenPro-Regular"/>
        </w:rPr>
      </w:pPr>
      <w:r w:rsidRPr="009764C3">
        <w:rPr>
          <w:rFonts w:eastAsia="HelenPro-Regular"/>
        </w:rPr>
        <w:t>Specimens with LDH values exceeding 2,000 U/L (4,500 U/L for Flex Rate Linearity) are flagged and may be diluted by following either the Automated Dilution Protocol (1:5) or the Manual Dilution Procedure.</w:t>
      </w:r>
    </w:p>
    <w:p w:rsidR="003A1578" w:rsidRPr="009764C3" w:rsidRDefault="003A1578" w:rsidP="003A1578">
      <w:pPr>
        <w:autoSpaceDE w:val="0"/>
        <w:autoSpaceDN w:val="0"/>
        <w:adjustRightInd w:val="0"/>
        <w:rPr>
          <w:rFonts w:eastAsia="HelenPro-Bold"/>
          <w:b/>
          <w:bCs/>
        </w:rPr>
      </w:pPr>
      <w:r w:rsidRPr="009764C3">
        <w:rPr>
          <w:rFonts w:eastAsia="HelenPro-Bold"/>
          <w:b/>
          <w:bCs/>
        </w:rPr>
        <w:t>Automated Dilution Protocol</w:t>
      </w:r>
    </w:p>
    <w:p w:rsidR="00952CFC" w:rsidRPr="009764C3" w:rsidRDefault="003A1578" w:rsidP="003A1578">
      <w:pPr>
        <w:autoSpaceDE w:val="0"/>
        <w:autoSpaceDN w:val="0"/>
        <w:adjustRightInd w:val="0"/>
        <w:rPr>
          <w:rFonts w:eastAsia="HelenPro-Regular"/>
        </w:rPr>
      </w:pPr>
      <w:r w:rsidRPr="009764C3">
        <w:rPr>
          <w:rFonts w:eastAsia="HelenPro-Regular"/>
        </w:rPr>
        <w:t>If using the Automated Dilution Protocol, the system performs a dilution of the specimen and automatically corrects the enzyme activity value by multiplying the result by the appropriate dilution factor.</w:t>
      </w:r>
    </w:p>
    <w:p w:rsidR="003A1578" w:rsidRPr="009764C3" w:rsidRDefault="003A1578" w:rsidP="003A1578">
      <w:pPr>
        <w:autoSpaceDE w:val="0"/>
        <w:autoSpaceDN w:val="0"/>
        <w:adjustRightInd w:val="0"/>
        <w:rPr>
          <w:rFonts w:eastAsia="HelenPro-Bold"/>
          <w:b/>
          <w:bCs/>
        </w:rPr>
      </w:pPr>
      <w:r w:rsidRPr="009764C3">
        <w:rPr>
          <w:rFonts w:eastAsia="HelenPro-Bold"/>
          <w:b/>
          <w:bCs/>
        </w:rPr>
        <w:t>Manual Dilution Procedure</w:t>
      </w:r>
    </w:p>
    <w:p w:rsidR="003A1578" w:rsidRPr="009764C3" w:rsidRDefault="003A1578" w:rsidP="003A1578">
      <w:pPr>
        <w:autoSpaceDE w:val="0"/>
        <w:autoSpaceDN w:val="0"/>
        <w:adjustRightInd w:val="0"/>
        <w:rPr>
          <w:rFonts w:eastAsia="HelenPro-Regular"/>
        </w:rPr>
      </w:pPr>
      <w:r w:rsidRPr="009764C3">
        <w:rPr>
          <w:rFonts w:eastAsia="HelenPro-Regular"/>
        </w:rPr>
        <w:t>Manual dilutions should be performed as follows:</w:t>
      </w:r>
    </w:p>
    <w:p w:rsidR="003A1578" w:rsidRPr="009764C3" w:rsidRDefault="003A1578" w:rsidP="003A1578">
      <w:pPr>
        <w:autoSpaceDE w:val="0"/>
        <w:autoSpaceDN w:val="0"/>
        <w:adjustRightInd w:val="0"/>
        <w:rPr>
          <w:rFonts w:eastAsia="HelenPro-Regular"/>
        </w:rPr>
      </w:pPr>
      <w:r w:rsidRPr="009764C3">
        <w:rPr>
          <w:rFonts w:eastAsia="HelenPro-Regular"/>
        </w:rPr>
        <w:t>• Use saline (0.85% to 0.90% NaCl) to dilute the sample.</w:t>
      </w:r>
    </w:p>
    <w:p w:rsidR="003A1578" w:rsidRPr="009764C3" w:rsidRDefault="003A1578" w:rsidP="003A1578">
      <w:pPr>
        <w:autoSpaceDE w:val="0"/>
        <w:autoSpaceDN w:val="0"/>
        <w:adjustRightInd w:val="0"/>
        <w:rPr>
          <w:rFonts w:eastAsia="HelenPro-Regular"/>
        </w:rPr>
      </w:pPr>
      <w:r w:rsidRPr="009764C3">
        <w:rPr>
          <w:rFonts w:eastAsia="HelenPro-Regular"/>
        </w:rPr>
        <w:t>• The operator must enter the dilution factor in the patient or control order screen. The system uses this dilution factor to automatically correct the enzyme activity value by multiplying the result by the entered factor.</w:t>
      </w:r>
    </w:p>
    <w:p w:rsidR="003A1578" w:rsidRPr="009764C3" w:rsidRDefault="003A1578" w:rsidP="003A1578">
      <w:pPr>
        <w:autoSpaceDE w:val="0"/>
        <w:autoSpaceDN w:val="0"/>
        <w:adjustRightInd w:val="0"/>
        <w:rPr>
          <w:rFonts w:eastAsia="HelenPro-Regular"/>
        </w:rPr>
      </w:pPr>
      <w:r w:rsidRPr="009764C3">
        <w:rPr>
          <w:rFonts w:eastAsia="HelenPro-Regular"/>
        </w:rPr>
        <w:t>• If the operator does not enter the dilution factor, the result must be multiplied by the appropriate dilution factor before reporting the result.</w:t>
      </w:r>
    </w:p>
    <w:p w:rsidR="003A1578" w:rsidRPr="009764C3" w:rsidRDefault="003A1578" w:rsidP="003A1578">
      <w:pPr>
        <w:autoSpaceDE w:val="0"/>
        <w:autoSpaceDN w:val="0"/>
        <w:adjustRightInd w:val="0"/>
        <w:rPr>
          <w:rFonts w:eastAsia="HelenPro-Regular"/>
        </w:rPr>
      </w:pPr>
      <w:r w:rsidRPr="009764C3">
        <w:rPr>
          <w:rFonts w:eastAsia="HelenPro-Bold"/>
          <w:b/>
          <w:bCs/>
        </w:rPr>
        <w:t xml:space="preserve">NOTE: </w:t>
      </w:r>
      <w:r w:rsidRPr="009764C3">
        <w:rPr>
          <w:rFonts w:eastAsia="HelenPro-Regular"/>
        </w:rPr>
        <w:t>If a diluted sample result is flagged indicating it is less than the linear low limit, do not report the result. Rerun using an appropriate dilution.</w:t>
      </w:r>
    </w:p>
    <w:p w:rsidR="006C43A8" w:rsidRPr="009764C3" w:rsidRDefault="003A1578" w:rsidP="003A1578">
      <w:pPr>
        <w:autoSpaceDE w:val="0"/>
        <w:autoSpaceDN w:val="0"/>
        <w:adjustRightInd w:val="0"/>
        <w:rPr>
          <w:rFonts w:eastAsia="HelenPro-Regular"/>
        </w:rPr>
      </w:pPr>
      <w:r w:rsidRPr="009764C3">
        <w:rPr>
          <w:rFonts w:eastAsia="HelenPro-Regular"/>
        </w:rPr>
        <w:t xml:space="preserve">For detailed information on ordering dilutions, refer to </w:t>
      </w:r>
      <w:r w:rsidRPr="009764C3">
        <w:rPr>
          <w:rFonts w:eastAsia="HelenPro-Bold"/>
          <w:i/>
          <w:iCs/>
        </w:rPr>
        <w:t xml:space="preserve">Section 5 </w:t>
      </w:r>
      <w:r w:rsidRPr="009764C3">
        <w:rPr>
          <w:rFonts w:eastAsia="HelenPro-Regular"/>
        </w:rPr>
        <w:t xml:space="preserve">of the </w:t>
      </w:r>
      <w:r w:rsidRPr="009764C3">
        <w:rPr>
          <w:rFonts w:eastAsia="HelenPro-Bold"/>
          <w:b/>
          <w:bCs/>
        </w:rPr>
        <w:t>ARCHITECT System Operations Manual</w:t>
      </w:r>
      <w:r w:rsidRPr="009764C3">
        <w:rPr>
          <w:rFonts w:eastAsia="HelenPro-Regular"/>
        </w:rPr>
        <w:t>.</w:t>
      </w:r>
    </w:p>
    <w:p w:rsidR="000F0494" w:rsidRPr="009764C3" w:rsidRDefault="000F0494" w:rsidP="00DA6C6A">
      <w:pPr>
        <w:autoSpaceDE w:val="0"/>
        <w:autoSpaceDN w:val="0"/>
        <w:adjustRightInd w:val="0"/>
        <w:rPr>
          <w:b/>
        </w:rPr>
      </w:pPr>
    </w:p>
    <w:p w:rsidR="008D7886" w:rsidRPr="009764C3" w:rsidRDefault="00F95946" w:rsidP="00DA6C6A">
      <w:pPr>
        <w:autoSpaceDE w:val="0"/>
        <w:autoSpaceDN w:val="0"/>
        <w:adjustRightInd w:val="0"/>
        <w:rPr>
          <w:rFonts w:eastAsia="HelenPro-Regular"/>
        </w:rPr>
      </w:pPr>
      <w:r w:rsidRPr="009764C3">
        <w:rPr>
          <w:b/>
        </w:rPr>
        <w:t>Limit of Quantitation (LOQ</w:t>
      </w:r>
      <w:r w:rsidR="003A1578" w:rsidRPr="009764C3">
        <w:rPr>
          <w:b/>
        </w:rPr>
        <w:t xml:space="preserve">), </w:t>
      </w:r>
      <w:r w:rsidR="008D7886" w:rsidRPr="009764C3">
        <w:rPr>
          <w:rFonts w:eastAsia="HelenPro-Regular"/>
          <w:b/>
        </w:rPr>
        <w:t>Limit of Detection (LOD</w:t>
      </w:r>
      <w:r w:rsidR="003A1578" w:rsidRPr="009764C3">
        <w:rPr>
          <w:rFonts w:eastAsia="HelenPro-Regular"/>
          <w:b/>
        </w:rPr>
        <w:t xml:space="preserve">), </w:t>
      </w:r>
      <w:r w:rsidR="003A1578" w:rsidRPr="009764C3">
        <w:rPr>
          <w:rFonts w:eastAsia="HelenPro-Bold"/>
          <w:b/>
          <w:bCs/>
        </w:rPr>
        <w:t>Limit of Blank, (LOB)</w:t>
      </w:r>
    </w:p>
    <w:p w:rsidR="003A1578" w:rsidRPr="009764C3" w:rsidRDefault="003A1578" w:rsidP="00DA6C6A">
      <w:pPr>
        <w:autoSpaceDE w:val="0"/>
        <w:autoSpaceDN w:val="0"/>
        <w:adjustRightInd w:val="0"/>
        <w:rPr>
          <w:rFonts w:eastAsia="HelenPro-Regular"/>
        </w:rPr>
      </w:pPr>
      <w:r w:rsidRPr="009764C3">
        <w:rPr>
          <w:noProof/>
        </w:rPr>
        <w:drawing>
          <wp:inline distT="0" distB="0" distL="0" distR="0" wp14:anchorId="3246C253" wp14:editId="5F99C02B">
            <wp:extent cx="3638550" cy="1219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638550" cy="1219200"/>
                    </a:xfrm>
                    <a:prstGeom prst="rect">
                      <a:avLst/>
                    </a:prstGeom>
                  </pic:spPr>
                </pic:pic>
              </a:graphicData>
            </a:graphic>
          </wp:inline>
        </w:drawing>
      </w:r>
    </w:p>
    <w:p w:rsidR="008D7886" w:rsidRPr="009764C3" w:rsidRDefault="008D7886" w:rsidP="00DA6C6A">
      <w:pPr>
        <w:autoSpaceDE w:val="0"/>
        <w:autoSpaceDN w:val="0"/>
        <w:adjustRightInd w:val="0"/>
        <w:rPr>
          <w:rFonts w:eastAsia="HelenPro-Regular"/>
          <w:sz w:val="16"/>
          <w:szCs w:val="16"/>
        </w:rPr>
      </w:pPr>
    </w:p>
    <w:p w:rsidR="008D7886" w:rsidRPr="009764C3" w:rsidRDefault="008D7886" w:rsidP="00DA6C6A">
      <w:pPr>
        <w:autoSpaceDE w:val="0"/>
        <w:autoSpaceDN w:val="0"/>
        <w:adjustRightInd w:val="0"/>
        <w:rPr>
          <w:rFonts w:eastAsia="HelenPro-Regular"/>
          <w:b/>
        </w:rPr>
      </w:pPr>
      <w:r w:rsidRPr="009764C3">
        <w:rPr>
          <w:rFonts w:eastAsia="HelenPro-Regular"/>
          <w:b/>
        </w:rPr>
        <w:t>Limitation of Procedure:</w:t>
      </w:r>
    </w:p>
    <w:p w:rsidR="008D7886" w:rsidRPr="009764C3" w:rsidRDefault="00452710" w:rsidP="00757326">
      <w:pPr>
        <w:autoSpaceDE w:val="0"/>
        <w:autoSpaceDN w:val="0"/>
        <w:adjustRightInd w:val="0"/>
        <w:rPr>
          <w:rFonts w:eastAsia="HelenPro-Regular"/>
        </w:rPr>
      </w:pPr>
      <w:r w:rsidRPr="009764C3">
        <w:rPr>
          <w:rFonts w:eastAsia="HelenPro-Regular"/>
        </w:rPr>
        <w:t>N/A</w:t>
      </w:r>
    </w:p>
    <w:p w:rsidR="00DA6C6A" w:rsidRPr="009764C3" w:rsidRDefault="00DA6C6A" w:rsidP="00F95946">
      <w:pPr>
        <w:rPr>
          <w:b/>
          <w:color w:val="000000"/>
          <w:szCs w:val="15"/>
        </w:rPr>
      </w:pPr>
    </w:p>
    <w:p w:rsidR="00912FE4" w:rsidRPr="009764C3" w:rsidRDefault="008D7886" w:rsidP="00F95946">
      <w:pPr>
        <w:rPr>
          <w:rFonts w:eastAsia="HelenPro-Regular"/>
        </w:rPr>
      </w:pPr>
      <w:r w:rsidRPr="009764C3">
        <w:rPr>
          <w:b/>
          <w:color w:val="000000"/>
          <w:szCs w:val="15"/>
        </w:rPr>
        <w:t>P</w:t>
      </w:r>
      <w:r w:rsidR="00912FE4" w:rsidRPr="009764C3">
        <w:rPr>
          <w:b/>
          <w:color w:val="000000"/>
          <w:szCs w:val="15"/>
        </w:rPr>
        <w:t>recision:</w:t>
      </w:r>
      <w:r w:rsidR="0038442D" w:rsidRPr="009764C3">
        <w:rPr>
          <w:b/>
          <w:color w:val="000000"/>
          <w:szCs w:val="15"/>
        </w:rPr>
        <w:t xml:space="preserve"> </w:t>
      </w:r>
    </w:p>
    <w:p w:rsidR="003A1578" w:rsidRPr="009764C3" w:rsidRDefault="003A1578" w:rsidP="003349E7">
      <w:pPr>
        <w:autoSpaceDE w:val="0"/>
        <w:autoSpaceDN w:val="0"/>
        <w:adjustRightInd w:val="0"/>
        <w:rPr>
          <w:rFonts w:eastAsia="HelenPro-Regular"/>
          <w:sz w:val="16"/>
          <w:szCs w:val="16"/>
        </w:rPr>
      </w:pPr>
      <w:r w:rsidRPr="009764C3">
        <w:rPr>
          <w:rFonts w:eastAsia="HelenPro-Regular"/>
        </w:rPr>
        <w:t>The imprecision of the LDH assay is ≤ 4.7% Total CV</w:t>
      </w:r>
      <w:r w:rsidRPr="009764C3">
        <w:rPr>
          <w:rFonts w:eastAsia="HelenPro-Regular"/>
          <w:sz w:val="16"/>
          <w:szCs w:val="16"/>
        </w:rPr>
        <w:t>.</w:t>
      </w:r>
    </w:p>
    <w:p w:rsidR="003349E7" w:rsidRPr="009764C3" w:rsidRDefault="003349E7" w:rsidP="003349E7">
      <w:pPr>
        <w:autoSpaceDE w:val="0"/>
        <w:autoSpaceDN w:val="0"/>
        <w:adjustRightInd w:val="0"/>
        <w:rPr>
          <w:rFonts w:eastAsia="HelenPro-Regular"/>
        </w:rPr>
      </w:pPr>
      <w:r w:rsidRPr="009764C3">
        <w:rPr>
          <w:rFonts w:eastAsia="HelenPro-Regular"/>
        </w:rPr>
        <w:t>Serum/Plasma:</w:t>
      </w:r>
    </w:p>
    <w:p w:rsidR="003349E7" w:rsidRPr="009764C3" w:rsidRDefault="003A1578" w:rsidP="00F95946">
      <w:pPr>
        <w:autoSpaceDE w:val="0"/>
        <w:autoSpaceDN w:val="0"/>
        <w:adjustRightInd w:val="0"/>
        <w:rPr>
          <w:noProof/>
        </w:rPr>
      </w:pPr>
      <w:r w:rsidRPr="009764C3">
        <w:rPr>
          <w:noProof/>
        </w:rPr>
        <w:lastRenderedPageBreak/>
        <w:drawing>
          <wp:inline distT="0" distB="0" distL="0" distR="0" wp14:anchorId="286E1F8B" wp14:editId="23BCDCE2">
            <wp:extent cx="4333875" cy="21907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333875" cy="2190750"/>
                    </a:xfrm>
                    <a:prstGeom prst="rect">
                      <a:avLst/>
                    </a:prstGeom>
                  </pic:spPr>
                </pic:pic>
              </a:graphicData>
            </a:graphic>
          </wp:inline>
        </w:drawing>
      </w:r>
    </w:p>
    <w:p w:rsidR="003A1578" w:rsidRPr="009764C3" w:rsidRDefault="003A1578" w:rsidP="00F95946">
      <w:pPr>
        <w:autoSpaceDE w:val="0"/>
        <w:autoSpaceDN w:val="0"/>
        <w:adjustRightInd w:val="0"/>
        <w:rPr>
          <w:noProof/>
        </w:rPr>
      </w:pPr>
      <w:r w:rsidRPr="009764C3">
        <w:rPr>
          <w:noProof/>
        </w:rPr>
        <w:drawing>
          <wp:inline distT="0" distB="0" distL="0" distR="0" wp14:anchorId="1F728539" wp14:editId="076D9B40">
            <wp:extent cx="4162425" cy="2133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162425" cy="2133600"/>
                    </a:xfrm>
                    <a:prstGeom prst="rect">
                      <a:avLst/>
                    </a:prstGeom>
                  </pic:spPr>
                </pic:pic>
              </a:graphicData>
            </a:graphic>
          </wp:inline>
        </w:drawing>
      </w:r>
    </w:p>
    <w:p w:rsidR="00810F0F" w:rsidRPr="009764C3" w:rsidRDefault="00810F0F" w:rsidP="00F95946">
      <w:pPr>
        <w:autoSpaceDE w:val="0"/>
        <w:autoSpaceDN w:val="0"/>
        <w:adjustRightInd w:val="0"/>
        <w:rPr>
          <w:rFonts w:eastAsia="HelenPro-Regular"/>
        </w:rPr>
      </w:pPr>
    </w:p>
    <w:p w:rsidR="00BC1EC4" w:rsidRPr="009764C3" w:rsidRDefault="008D7886" w:rsidP="00BC1EC4">
      <w:pPr>
        <w:pStyle w:val="Heading4"/>
        <w:rPr>
          <w:sz w:val="32"/>
        </w:rPr>
      </w:pPr>
      <w:r w:rsidRPr="009764C3">
        <w:t>I</w:t>
      </w:r>
      <w:r w:rsidR="00F05CCD" w:rsidRPr="009764C3">
        <w:t xml:space="preserve">nterfering Substances: </w:t>
      </w:r>
    </w:p>
    <w:p w:rsidR="00F95946" w:rsidRPr="009764C3" w:rsidRDefault="00F95946" w:rsidP="00F95946">
      <w:pPr>
        <w:autoSpaceDE w:val="0"/>
        <w:autoSpaceDN w:val="0"/>
        <w:adjustRightInd w:val="0"/>
        <w:rPr>
          <w:rFonts w:eastAsia="HelenPro-Bold"/>
          <w:b/>
          <w:bCs/>
        </w:rPr>
      </w:pPr>
      <w:r w:rsidRPr="009764C3">
        <w:rPr>
          <w:rFonts w:eastAsia="HelenPro-Bold"/>
          <w:b/>
          <w:bCs/>
        </w:rPr>
        <w:t>Interfering Substances</w:t>
      </w:r>
    </w:p>
    <w:p w:rsidR="008D7886" w:rsidRPr="009764C3" w:rsidRDefault="003A1578" w:rsidP="003A1578">
      <w:pPr>
        <w:autoSpaceDE w:val="0"/>
        <w:autoSpaceDN w:val="0"/>
        <w:adjustRightInd w:val="0"/>
        <w:rPr>
          <w:rFonts w:eastAsia="HelenPro-Regular"/>
          <w:sz w:val="16"/>
          <w:szCs w:val="16"/>
        </w:rPr>
      </w:pPr>
      <w:r w:rsidRPr="009764C3">
        <w:rPr>
          <w:rFonts w:eastAsia="HelenPro-Regular"/>
        </w:rPr>
        <w:t>Interference studies were conducted using an acceptance criteria of ≤ 9.0% of the target value</w:t>
      </w:r>
      <w:r w:rsidRPr="009764C3">
        <w:rPr>
          <w:rFonts w:eastAsia="HelenPro-Regular"/>
          <w:sz w:val="16"/>
          <w:szCs w:val="16"/>
        </w:rPr>
        <w:t>.</w:t>
      </w:r>
      <w:r w:rsidR="00A55263" w:rsidRPr="009764C3">
        <w:rPr>
          <w:rFonts w:eastAsia="HelenPro-Regular"/>
          <w:sz w:val="16"/>
          <w:szCs w:val="16"/>
        </w:rPr>
        <w:t xml:space="preserve"> </w:t>
      </w:r>
      <w:r w:rsidR="008D7886" w:rsidRPr="009764C3">
        <w:rPr>
          <w:rFonts w:eastAsia="HelenPro-Regular"/>
        </w:rPr>
        <w:t>Interference studies were conducted using CLSI protocol NCCLS EP7-P. Interference effects were assessed by Dose Response and Paired Difference methods, at the medical decision level of the analyte.</w:t>
      </w:r>
    </w:p>
    <w:p w:rsidR="008D7886" w:rsidRPr="009764C3" w:rsidRDefault="008D7886" w:rsidP="008D7886">
      <w:pPr>
        <w:autoSpaceDE w:val="0"/>
        <w:autoSpaceDN w:val="0"/>
        <w:adjustRightInd w:val="0"/>
        <w:rPr>
          <w:rFonts w:eastAsia="HelenPro-Regular"/>
          <w:sz w:val="16"/>
          <w:szCs w:val="16"/>
        </w:rPr>
      </w:pPr>
    </w:p>
    <w:p w:rsidR="0074336C" w:rsidRPr="009764C3" w:rsidRDefault="003A1578" w:rsidP="0074336C">
      <w:pPr>
        <w:autoSpaceDE w:val="0"/>
        <w:autoSpaceDN w:val="0"/>
        <w:adjustRightInd w:val="0"/>
        <w:rPr>
          <w:rFonts w:eastAsia="HelenPro-Bold"/>
          <w:b/>
          <w:bCs/>
        </w:rPr>
      </w:pPr>
      <w:r w:rsidRPr="009764C3">
        <w:rPr>
          <w:noProof/>
        </w:rPr>
        <w:drawing>
          <wp:inline distT="0" distB="0" distL="0" distR="0" wp14:anchorId="12E99AED" wp14:editId="26E9442D">
            <wp:extent cx="4324350" cy="1381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324350" cy="1381125"/>
                    </a:xfrm>
                    <a:prstGeom prst="rect">
                      <a:avLst/>
                    </a:prstGeom>
                  </pic:spPr>
                </pic:pic>
              </a:graphicData>
            </a:graphic>
          </wp:inline>
        </w:drawing>
      </w:r>
    </w:p>
    <w:p w:rsidR="00BC1EC4" w:rsidRPr="009764C3" w:rsidRDefault="00BC1EC4" w:rsidP="00AB5354">
      <w:pPr>
        <w:rPr>
          <w:rFonts w:eastAsia="HelenPro-Regular"/>
        </w:rPr>
      </w:pPr>
    </w:p>
    <w:p w:rsidR="006C43A8" w:rsidRPr="009764C3" w:rsidRDefault="003A1578" w:rsidP="003A1578">
      <w:pPr>
        <w:autoSpaceDE w:val="0"/>
        <w:autoSpaceDN w:val="0"/>
        <w:adjustRightInd w:val="0"/>
        <w:rPr>
          <w:rFonts w:eastAsia="HelenPro-Regular"/>
        </w:rPr>
      </w:pPr>
      <w:r w:rsidRPr="009764C3">
        <w:rPr>
          <w:rFonts w:eastAsia="HelenPro-Bold"/>
          <w:b/>
          <w:bCs/>
        </w:rPr>
        <w:t xml:space="preserve">NOTE: </w:t>
      </w:r>
      <w:r w:rsidRPr="009764C3">
        <w:rPr>
          <w:rFonts w:eastAsia="HelenPro-Regular"/>
        </w:rPr>
        <w:t>Hemolyzed specimens must not be used because erythrocytes contain approximately 150 times more LDH activity.</w:t>
      </w:r>
    </w:p>
    <w:p w:rsidR="006C43A8" w:rsidRPr="009764C3" w:rsidRDefault="006C43A8" w:rsidP="00D16B69">
      <w:pPr>
        <w:jc w:val="both"/>
        <w:rPr>
          <w:b/>
        </w:rPr>
      </w:pPr>
    </w:p>
    <w:p w:rsidR="006C43A8" w:rsidRPr="009764C3" w:rsidRDefault="006C43A8" w:rsidP="00D16B69">
      <w:pPr>
        <w:jc w:val="both"/>
        <w:rPr>
          <w:b/>
        </w:rPr>
      </w:pPr>
    </w:p>
    <w:p w:rsidR="00D16B69" w:rsidRPr="009764C3" w:rsidRDefault="00D16B69" w:rsidP="00D16B69">
      <w:pPr>
        <w:jc w:val="both"/>
        <w:rPr>
          <w:b/>
        </w:rPr>
      </w:pPr>
      <w:r w:rsidRPr="009764C3">
        <w:rPr>
          <w:b/>
        </w:rPr>
        <w:lastRenderedPageBreak/>
        <w:t>References:</w:t>
      </w:r>
      <w:r w:rsidR="00973EAF" w:rsidRPr="009764C3">
        <w:rPr>
          <w:b/>
        </w:rPr>
        <w:t xml:space="preserve"> </w:t>
      </w:r>
    </w:p>
    <w:p w:rsidR="000A13F2" w:rsidRPr="009764C3" w:rsidRDefault="000A13F2" w:rsidP="00030CDD">
      <w:pPr>
        <w:pStyle w:val="ListParagraph"/>
        <w:numPr>
          <w:ilvl w:val="0"/>
          <w:numId w:val="4"/>
        </w:numPr>
        <w:rPr>
          <w:sz w:val="22"/>
          <w:szCs w:val="22"/>
        </w:rPr>
      </w:pPr>
      <w:r w:rsidRPr="009764C3">
        <w:rPr>
          <w:sz w:val="22"/>
          <w:szCs w:val="22"/>
        </w:rPr>
        <w:t xml:space="preserve">ABBOTT ARCHITECT </w:t>
      </w:r>
      <w:r w:rsidR="00BD041C" w:rsidRPr="009764C3">
        <w:rPr>
          <w:sz w:val="22"/>
          <w:szCs w:val="22"/>
        </w:rPr>
        <w:t>LD</w:t>
      </w:r>
      <w:r w:rsidR="002664CF" w:rsidRPr="009764C3">
        <w:rPr>
          <w:sz w:val="22"/>
          <w:szCs w:val="22"/>
        </w:rPr>
        <w:t>H</w:t>
      </w:r>
      <w:r w:rsidRPr="009764C3">
        <w:rPr>
          <w:sz w:val="22"/>
          <w:szCs w:val="22"/>
        </w:rPr>
        <w:t xml:space="preserve"> package insert</w:t>
      </w:r>
    </w:p>
    <w:p w:rsidR="000A13F2" w:rsidRPr="009764C3" w:rsidRDefault="000A13F2" w:rsidP="000A13F2">
      <w:pPr>
        <w:pStyle w:val="ListParagraph"/>
        <w:rPr>
          <w:sz w:val="22"/>
          <w:szCs w:val="22"/>
        </w:rPr>
      </w:pPr>
      <w:r w:rsidRPr="009764C3">
        <w:rPr>
          <w:sz w:val="22"/>
          <w:szCs w:val="22"/>
        </w:rPr>
        <w:t>Abbott Laboratories</w:t>
      </w:r>
    </w:p>
    <w:p w:rsidR="000A13F2" w:rsidRPr="009764C3" w:rsidRDefault="000A13F2" w:rsidP="000A13F2">
      <w:pPr>
        <w:pStyle w:val="ListParagraph"/>
        <w:rPr>
          <w:sz w:val="22"/>
          <w:szCs w:val="22"/>
        </w:rPr>
      </w:pPr>
      <w:r w:rsidRPr="009764C3">
        <w:rPr>
          <w:sz w:val="22"/>
          <w:szCs w:val="22"/>
        </w:rPr>
        <w:t>Diagnostics Division</w:t>
      </w:r>
    </w:p>
    <w:p w:rsidR="000A13F2" w:rsidRPr="009764C3" w:rsidRDefault="000A13F2" w:rsidP="000A13F2">
      <w:pPr>
        <w:pStyle w:val="ListParagraph"/>
        <w:rPr>
          <w:sz w:val="22"/>
          <w:szCs w:val="22"/>
        </w:rPr>
      </w:pPr>
      <w:r w:rsidRPr="009764C3">
        <w:rPr>
          <w:sz w:val="22"/>
          <w:szCs w:val="22"/>
        </w:rPr>
        <w:t>Abbott Park, IL  60064</w:t>
      </w:r>
    </w:p>
    <w:p w:rsidR="000A13F2" w:rsidRPr="009764C3" w:rsidRDefault="00391EB4" w:rsidP="000A13F2">
      <w:pPr>
        <w:pStyle w:val="ListParagraph"/>
      </w:pPr>
      <w:r w:rsidRPr="009764C3">
        <w:rPr>
          <w:bCs/>
          <w:sz w:val="22"/>
          <w:szCs w:val="22"/>
        </w:rPr>
        <w:t>Nov</w:t>
      </w:r>
      <w:r w:rsidR="00757326" w:rsidRPr="009764C3">
        <w:rPr>
          <w:bCs/>
          <w:sz w:val="22"/>
          <w:szCs w:val="22"/>
        </w:rPr>
        <w:t xml:space="preserve"> 20</w:t>
      </w:r>
      <w:r w:rsidR="001F0FA4" w:rsidRPr="009764C3">
        <w:rPr>
          <w:bCs/>
          <w:sz w:val="22"/>
          <w:szCs w:val="22"/>
        </w:rPr>
        <w:t>1</w:t>
      </w:r>
      <w:r w:rsidRPr="009764C3">
        <w:rPr>
          <w:bCs/>
          <w:sz w:val="22"/>
          <w:szCs w:val="22"/>
        </w:rPr>
        <w:t>5</w:t>
      </w:r>
      <w:r w:rsidR="000A13F2" w:rsidRPr="009764C3">
        <w:rPr>
          <w:bCs/>
          <w:sz w:val="22"/>
          <w:szCs w:val="22"/>
        </w:rPr>
        <w:t xml:space="preserve"> </w:t>
      </w:r>
      <w:r w:rsidRPr="009764C3">
        <w:rPr>
          <w:rFonts w:eastAsia="HelenPro-Bold"/>
          <w:bCs/>
          <w:szCs w:val="28"/>
        </w:rPr>
        <w:t xml:space="preserve">306788 </w:t>
      </w:r>
      <w:r w:rsidRPr="009764C3">
        <w:rPr>
          <w:rFonts w:eastAsia="HelenPro-Bold"/>
          <w:szCs w:val="28"/>
        </w:rPr>
        <w:t xml:space="preserve">/ </w:t>
      </w:r>
      <w:r w:rsidRPr="009764C3">
        <w:rPr>
          <w:rFonts w:eastAsia="HelenPro-Bold"/>
          <w:bCs/>
          <w:szCs w:val="28"/>
        </w:rPr>
        <w:t>R05</w:t>
      </w:r>
    </w:p>
    <w:p w:rsidR="00881923" w:rsidRPr="009764C3" w:rsidRDefault="000A13F2" w:rsidP="00030CDD">
      <w:pPr>
        <w:pStyle w:val="ListParagraph"/>
        <w:numPr>
          <w:ilvl w:val="0"/>
          <w:numId w:val="4"/>
        </w:numPr>
        <w:spacing w:after="72"/>
        <w:jc w:val="both"/>
      </w:pPr>
      <w:r w:rsidRPr="009764C3">
        <w:t>Abbott ARCHITECT</w:t>
      </w:r>
      <w:r w:rsidR="00D16B69" w:rsidRPr="009764C3">
        <w:rPr>
          <w:lang w:val="ru-RU"/>
        </w:rPr>
        <w:t xml:space="preserve"> Operator’s Guide</w:t>
      </w:r>
    </w:p>
    <w:p w:rsidR="00AB5354" w:rsidRPr="009764C3" w:rsidRDefault="00AB5354" w:rsidP="0009322F">
      <w:pPr>
        <w:rPr>
          <w:b/>
        </w:rPr>
      </w:pPr>
    </w:p>
    <w:p w:rsidR="00A55263" w:rsidRPr="009764C3" w:rsidRDefault="00A55263" w:rsidP="00246FA8">
      <w:pPr>
        <w:rPr>
          <w:b/>
        </w:rPr>
      </w:pPr>
    </w:p>
    <w:p w:rsidR="00881923" w:rsidRPr="009764C3" w:rsidRDefault="0009322F" w:rsidP="00246FA8">
      <w:pPr>
        <w:rPr>
          <w:i/>
          <w:sz w:val="20"/>
          <w:szCs w:val="20"/>
        </w:rPr>
      </w:pPr>
      <w:r w:rsidRPr="009764C3">
        <w:rPr>
          <w:b/>
        </w:rPr>
        <w:t xml:space="preserve">Related Documents: </w:t>
      </w:r>
    </w:p>
    <w:p w:rsidR="00D16B69" w:rsidRPr="009764C3" w:rsidRDefault="00157696" w:rsidP="009764C3">
      <w:pPr>
        <w:rPr>
          <w:i/>
          <w:color w:val="FF0000"/>
        </w:rPr>
      </w:pPr>
      <w:r w:rsidRPr="009764C3">
        <w:rPr>
          <w:b/>
        </w:rPr>
        <w:t>Attachments:</w:t>
      </w:r>
      <w:r w:rsidR="00973EAF" w:rsidRPr="009764C3">
        <w:rPr>
          <w:b/>
        </w:rPr>
        <w:t xml:space="preserve"> </w:t>
      </w:r>
    </w:p>
    <w:sectPr w:rsidR="00D16B69" w:rsidRPr="009764C3" w:rsidSect="00507B0C">
      <w:headerReference w:type="even" r:id="rId21"/>
      <w:headerReference w:type="default" r:id="rId22"/>
      <w:footerReference w:type="even" r:id="rId23"/>
      <w:footerReference w:type="default" r:id="rId24"/>
      <w:headerReference w:type="first" r:id="rId25"/>
      <w:footerReference w:type="first" r:id="rId2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40F" w:rsidRDefault="00A1140F">
      <w:r>
        <w:separator/>
      </w:r>
    </w:p>
  </w:endnote>
  <w:endnote w:type="continuationSeparator" w:id="0">
    <w:p w:rsidR="00A1140F" w:rsidRDefault="00A1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3"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ED" w:rsidRDefault="005C4B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C4" w:rsidRDefault="00BC1EC4" w:rsidP="00BC1EC4">
    <w:pPr>
      <w:pStyle w:val="Footer"/>
      <w:rPr>
        <w:b/>
        <w:sz w:val="20"/>
        <w:szCs w:val="20"/>
      </w:rPr>
    </w:pPr>
  </w:p>
  <w:p w:rsidR="00BC1EC4" w:rsidRDefault="00BC1EC4" w:rsidP="00BC1EC4">
    <w:pPr>
      <w:pStyle w:val="Footer"/>
      <w:rPr>
        <w:sz w:val="20"/>
        <w:szCs w:val="20"/>
      </w:rPr>
    </w:pPr>
    <w:r>
      <w:rPr>
        <w:sz w:val="20"/>
        <w:szCs w:val="20"/>
      </w:rPr>
      <w:tab/>
    </w: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BF06FA">
      <w:rPr>
        <w:noProof/>
        <w:sz w:val="20"/>
        <w:szCs w:val="20"/>
      </w:rPr>
      <w:t>10</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BF06FA">
      <w:rPr>
        <w:noProof/>
        <w:sz w:val="20"/>
        <w:szCs w:val="20"/>
      </w:rPr>
      <w:t>10</w:t>
    </w:r>
    <w:r w:rsidRPr="00427B21">
      <w:rPr>
        <w:sz w:val="20"/>
        <w:szCs w:val="20"/>
      </w:rPr>
      <w:fldChar w:fldCharType="end"/>
    </w:r>
  </w:p>
  <w:p w:rsidR="00BC1EC4" w:rsidRDefault="00BC1EC4">
    <w:pPr>
      <w:pStyle w:val="Footer"/>
    </w:pPr>
  </w:p>
  <w:p w:rsidR="00DA040A" w:rsidRDefault="00DA040A"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ED" w:rsidRDefault="005C4B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40F" w:rsidRDefault="00A1140F">
      <w:r>
        <w:separator/>
      </w:r>
    </w:p>
  </w:footnote>
  <w:footnote w:type="continuationSeparator" w:id="0">
    <w:p w:rsidR="00A1140F" w:rsidRDefault="00A11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ED" w:rsidRDefault="005C4B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A" w:rsidRDefault="00DA040A" w:rsidP="00100BF8">
    <w:pPr>
      <w:jc w:val="right"/>
      <w:rPr>
        <w:sz w:val="20"/>
        <w:szCs w:val="20"/>
      </w:rPr>
    </w:pPr>
    <w:r w:rsidRPr="001A639E">
      <w:rPr>
        <w:b/>
      </w:rPr>
      <w:tab/>
    </w:r>
    <w:r w:rsidRPr="001A639E">
      <w:rPr>
        <w:b/>
      </w:rPr>
      <w:tab/>
    </w:r>
    <w:r>
      <w:rPr>
        <w:b/>
        <w:sz w:val="20"/>
        <w:szCs w:val="20"/>
      </w:rPr>
      <w:t>Proc#</w:t>
    </w:r>
    <w:r w:rsidR="005C4BED">
      <w:rPr>
        <w:b/>
        <w:sz w:val="20"/>
        <w:szCs w:val="20"/>
      </w:rPr>
      <w:t>4840-CH-135</w:t>
    </w:r>
  </w:p>
  <w:p w:rsidR="00DA040A" w:rsidRDefault="00DA040A" w:rsidP="00100BF8">
    <w:pPr>
      <w:jc w:val="right"/>
      <w:rPr>
        <w:sz w:val="20"/>
        <w:szCs w:val="20"/>
      </w:rPr>
    </w:pPr>
    <w:r>
      <w:rPr>
        <w:sz w:val="20"/>
        <w:szCs w:val="20"/>
      </w:rPr>
      <w:t xml:space="preserve">ARCHITECT </w:t>
    </w:r>
    <w:r w:rsidR="00BD041C">
      <w:rPr>
        <w:sz w:val="20"/>
        <w:szCs w:val="20"/>
      </w:rPr>
      <w:t>LD</w:t>
    </w:r>
    <w:r w:rsidR="002664CF">
      <w:rPr>
        <w:sz w:val="20"/>
        <w:szCs w:val="20"/>
      </w:rPr>
      <w:t>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ED" w:rsidRDefault="005C4B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1"/>
  </w:num>
  <w:num w:numId="3">
    <w:abstractNumId w:val="12"/>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0"/>
  </w:num>
  <w:num w:numId="9">
    <w:abstractNumId w:val="9"/>
  </w:num>
  <w:num w:numId="10">
    <w:abstractNumId w:val="7"/>
  </w:num>
  <w:num w:numId="11">
    <w:abstractNumId w:val="8"/>
  </w:num>
  <w:num w:numId="12">
    <w:abstractNumId w:val="1"/>
  </w:num>
  <w:num w:numId="13">
    <w:abstractNumId w:val="3"/>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CDD"/>
    <w:rsid w:val="00032E92"/>
    <w:rsid w:val="0003338F"/>
    <w:rsid w:val="00043105"/>
    <w:rsid w:val="000454FD"/>
    <w:rsid w:val="0006011A"/>
    <w:rsid w:val="000602A5"/>
    <w:rsid w:val="0006502B"/>
    <w:rsid w:val="000743B7"/>
    <w:rsid w:val="00081C7F"/>
    <w:rsid w:val="00082648"/>
    <w:rsid w:val="0009322F"/>
    <w:rsid w:val="000A090B"/>
    <w:rsid w:val="000A13F2"/>
    <w:rsid w:val="000A341D"/>
    <w:rsid w:val="000A7D58"/>
    <w:rsid w:val="000B4575"/>
    <w:rsid w:val="000C1FD8"/>
    <w:rsid w:val="000E3328"/>
    <w:rsid w:val="000F0494"/>
    <w:rsid w:val="000F49B2"/>
    <w:rsid w:val="00100BF8"/>
    <w:rsid w:val="0010358F"/>
    <w:rsid w:val="00107444"/>
    <w:rsid w:val="00132081"/>
    <w:rsid w:val="00133F38"/>
    <w:rsid w:val="0014554C"/>
    <w:rsid w:val="00155687"/>
    <w:rsid w:val="00157696"/>
    <w:rsid w:val="0016247C"/>
    <w:rsid w:val="00167572"/>
    <w:rsid w:val="00172CF7"/>
    <w:rsid w:val="0018762B"/>
    <w:rsid w:val="0019760C"/>
    <w:rsid w:val="001A0637"/>
    <w:rsid w:val="001A639E"/>
    <w:rsid w:val="001B29A7"/>
    <w:rsid w:val="001B4267"/>
    <w:rsid w:val="001C48DA"/>
    <w:rsid w:val="001D3841"/>
    <w:rsid w:val="001D6AE0"/>
    <w:rsid w:val="001E079E"/>
    <w:rsid w:val="001F0FA4"/>
    <w:rsid w:val="001F32A9"/>
    <w:rsid w:val="001F6B7B"/>
    <w:rsid w:val="00246FA8"/>
    <w:rsid w:val="0025031C"/>
    <w:rsid w:val="00255C54"/>
    <w:rsid w:val="002649AA"/>
    <w:rsid w:val="002664CF"/>
    <w:rsid w:val="002746A8"/>
    <w:rsid w:val="002A44A9"/>
    <w:rsid w:val="002B0D2A"/>
    <w:rsid w:val="002B1993"/>
    <w:rsid w:val="002C0E55"/>
    <w:rsid w:val="002C7FD5"/>
    <w:rsid w:val="002D2075"/>
    <w:rsid w:val="002D370D"/>
    <w:rsid w:val="002D38DF"/>
    <w:rsid w:val="002E5C0B"/>
    <w:rsid w:val="002F52E0"/>
    <w:rsid w:val="003056A7"/>
    <w:rsid w:val="00317AA0"/>
    <w:rsid w:val="003349E7"/>
    <w:rsid w:val="00347BEC"/>
    <w:rsid w:val="00353FD5"/>
    <w:rsid w:val="0037463A"/>
    <w:rsid w:val="0038442D"/>
    <w:rsid w:val="00386807"/>
    <w:rsid w:val="00391EB4"/>
    <w:rsid w:val="00396C4A"/>
    <w:rsid w:val="003A1578"/>
    <w:rsid w:val="003B2E62"/>
    <w:rsid w:val="003B40E1"/>
    <w:rsid w:val="003C2522"/>
    <w:rsid w:val="003C596F"/>
    <w:rsid w:val="003D10DE"/>
    <w:rsid w:val="003D708C"/>
    <w:rsid w:val="003E62E7"/>
    <w:rsid w:val="003F2356"/>
    <w:rsid w:val="00400A1A"/>
    <w:rsid w:val="00400CBA"/>
    <w:rsid w:val="00405EC8"/>
    <w:rsid w:val="00410514"/>
    <w:rsid w:val="00413FEE"/>
    <w:rsid w:val="00436811"/>
    <w:rsid w:val="0044058F"/>
    <w:rsid w:val="00443DB3"/>
    <w:rsid w:val="004477CB"/>
    <w:rsid w:val="00452710"/>
    <w:rsid w:val="00452D5E"/>
    <w:rsid w:val="0045570E"/>
    <w:rsid w:val="00456575"/>
    <w:rsid w:val="00461686"/>
    <w:rsid w:val="0046271A"/>
    <w:rsid w:val="004708FA"/>
    <w:rsid w:val="00493DD1"/>
    <w:rsid w:val="004A03BD"/>
    <w:rsid w:val="004A2AA3"/>
    <w:rsid w:val="004C05F8"/>
    <w:rsid w:val="004C104D"/>
    <w:rsid w:val="004C2C23"/>
    <w:rsid w:val="004C37CB"/>
    <w:rsid w:val="004F5F8A"/>
    <w:rsid w:val="00507B0C"/>
    <w:rsid w:val="00533CE1"/>
    <w:rsid w:val="00551335"/>
    <w:rsid w:val="0055619E"/>
    <w:rsid w:val="0056023B"/>
    <w:rsid w:val="00574309"/>
    <w:rsid w:val="00574325"/>
    <w:rsid w:val="005806E5"/>
    <w:rsid w:val="0058304A"/>
    <w:rsid w:val="005902C0"/>
    <w:rsid w:val="005A1D53"/>
    <w:rsid w:val="005A4739"/>
    <w:rsid w:val="005A7348"/>
    <w:rsid w:val="005B0D1C"/>
    <w:rsid w:val="005C4BED"/>
    <w:rsid w:val="005E3AB5"/>
    <w:rsid w:val="005E3D52"/>
    <w:rsid w:val="005F3C0D"/>
    <w:rsid w:val="005F3E81"/>
    <w:rsid w:val="00607638"/>
    <w:rsid w:val="00610572"/>
    <w:rsid w:val="006107A2"/>
    <w:rsid w:val="00621ABB"/>
    <w:rsid w:val="00623EFB"/>
    <w:rsid w:val="00626F02"/>
    <w:rsid w:val="0063150E"/>
    <w:rsid w:val="00635864"/>
    <w:rsid w:val="00644800"/>
    <w:rsid w:val="006559EB"/>
    <w:rsid w:val="00674186"/>
    <w:rsid w:val="006A5AAE"/>
    <w:rsid w:val="006B3C65"/>
    <w:rsid w:val="006C43A8"/>
    <w:rsid w:val="006D28ED"/>
    <w:rsid w:val="006D40ED"/>
    <w:rsid w:val="006E5155"/>
    <w:rsid w:val="006F7F4F"/>
    <w:rsid w:val="00714B7D"/>
    <w:rsid w:val="00714F24"/>
    <w:rsid w:val="0074336C"/>
    <w:rsid w:val="00757326"/>
    <w:rsid w:val="007703C0"/>
    <w:rsid w:val="00772966"/>
    <w:rsid w:val="007840DD"/>
    <w:rsid w:val="00795231"/>
    <w:rsid w:val="007B09E3"/>
    <w:rsid w:val="007B0CCE"/>
    <w:rsid w:val="007B247B"/>
    <w:rsid w:val="007E4CE6"/>
    <w:rsid w:val="007E6C3C"/>
    <w:rsid w:val="0080146D"/>
    <w:rsid w:val="00804822"/>
    <w:rsid w:val="00810F0F"/>
    <w:rsid w:val="00812CCF"/>
    <w:rsid w:val="00827DE8"/>
    <w:rsid w:val="00833E15"/>
    <w:rsid w:val="00841397"/>
    <w:rsid w:val="00846F9F"/>
    <w:rsid w:val="00847607"/>
    <w:rsid w:val="00863AA4"/>
    <w:rsid w:val="00864220"/>
    <w:rsid w:val="00880FDF"/>
    <w:rsid w:val="0088112F"/>
    <w:rsid w:val="00881923"/>
    <w:rsid w:val="00883611"/>
    <w:rsid w:val="00887139"/>
    <w:rsid w:val="008A1AF7"/>
    <w:rsid w:val="008A1CED"/>
    <w:rsid w:val="008A7551"/>
    <w:rsid w:val="008A7F96"/>
    <w:rsid w:val="008B472C"/>
    <w:rsid w:val="008B590F"/>
    <w:rsid w:val="008C0AEF"/>
    <w:rsid w:val="008D4DF4"/>
    <w:rsid w:val="008D7886"/>
    <w:rsid w:val="008E00E3"/>
    <w:rsid w:val="008F7947"/>
    <w:rsid w:val="008F794A"/>
    <w:rsid w:val="0091292B"/>
    <w:rsid w:val="00912BAD"/>
    <w:rsid w:val="00912FE4"/>
    <w:rsid w:val="0092389D"/>
    <w:rsid w:val="00924B1D"/>
    <w:rsid w:val="00926E1B"/>
    <w:rsid w:val="009318E8"/>
    <w:rsid w:val="009467CE"/>
    <w:rsid w:val="00951C8E"/>
    <w:rsid w:val="00952933"/>
    <w:rsid w:val="00952CFC"/>
    <w:rsid w:val="00953BF2"/>
    <w:rsid w:val="00953EA1"/>
    <w:rsid w:val="00964971"/>
    <w:rsid w:val="00973C0B"/>
    <w:rsid w:val="00973EAF"/>
    <w:rsid w:val="009764C3"/>
    <w:rsid w:val="00980C01"/>
    <w:rsid w:val="009841EC"/>
    <w:rsid w:val="009A32AB"/>
    <w:rsid w:val="009A4991"/>
    <w:rsid w:val="009B4C90"/>
    <w:rsid w:val="009C7BD7"/>
    <w:rsid w:val="009D1D61"/>
    <w:rsid w:val="009D498B"/>
    <w:rsid w:val="009E0FF1"/>
    <w:rsid w:val="009E49EB"/>
    <w:rsid w:val="009F648F"/>
    <w:rsid w:val="00A016EE"/>
    <w:rsid w:val="00A06412"/>
    <w:rsid w:val="00A1140F"/>
    <w:rsid w:val="00A1152E"/>
    <w:rsid w:val="00A15B97"/>
    <w:rsid w:val="00A226F3"/>
    <w:rsid w:val="00A241F8"/>
    <w:rsid w:val="00A320E4"/>
    <w:rsid w:val="00A35DB6"/>
    <w:rsid w:val="00A408AE"/>
    <w:rsid w:val="00A5042D"/>
    <w:rsid w:val="00A50745"/>
    <w:rsid w:val="00A55263"/>
    <w:rsid w:val="00A554D4"/>
    <w:rsid w:val="00A67673"/>
    <w:rsid w:val="00A71728"/>
    <w:rsid w:val="00A71D1D"/>
    <w:rsid w:val="00A72EC0"/>
    <w:rsid w:val="00A81234"/>
    <w:rsid w:val="00A82E30"/>
    <w:rsid w:val="00A875A9"/>
    <w:rsid w:val="00A92E30"/>
    <w:rsid w:val="00AA271B"/>
    <w:rsid w:val="00AA7B6F"/>
    <w:rsid w:val="00AB5354"/>
    <w:rsid w:val="00AB793D"/>
    <w:rsid w:val="00AC0E64"/>
    <w:rsid w:val="00AD1C5F"/>
    <w:rsid w:val="00AE6F5B"/>
    <w:rsid w:val="00AF210A"/>
    <w:rsid w:val="00AF597C"/>
    <w:rsid w:val="00B11C38"/>
    <w:rsid w:val="00B13AB5"/>
    <w:rsid w:val="00B30875"/>
    <w:rsid w:val="00B36577"/>
    <w:rsid w:val="00B434E9"/>
    <w:rsid w:val="00B438DB"/>
    <w:rsid w:val="00B46687"/>
    <w:rsid w:val="00B50C75"/>
    <w:rsid w:val="00B63263"/>
    <w:rsid w:val="00B63E8F"/>
    <w:rsid w:val="00B70AAC"/>
    <w:rsid w:val="00B72271"/>
    <w:rsid w:val="00B864B3"/>
    <w:rsid w:val="00BA0054"/>
    <w:rsid w:val="00BA7778"/>
    <w:rsid w:val="00BC1EC4"/>
    <w:rsid w:val="00BC5937"/>
    <w:rsid w:val="00BC76E2"/>
    <w:rsid w:val="00BD041C"/>
    <w:rsid w:val="00BE40A6"/>
    <w:rsid w:val="00BF06FA"/>
    <w:rsid w:val="00C05469"/>
    <w:rsid w:val="00C32412"/>
    <w:rsid w:val="00C53E37"/>
    <w:rsid w:val="00C63D0C"/>
    <w:rsid w:val="00C90E57"/>
    <w:rsid w:val="00C912E2"/>
    <w:rsid w:val="00C967D5"/>
    <w:rsid w:val="00CA11D0"/>
    <w:rsid w:val="00CC2751"/>
    <w:rsid w:val="00CC37B4"/>
    <w:rsid w:val="00CC3D62"/>
    <w:rsid w:val="00CD4055"/>
    <w:rsid w:val="00CE2DC7"/>
    <w:rsid w:val="00CF7868"/>
    <w:rsid w:val="00D16262"/>
    <w:rsid w:val="00D16B69"/>
    <w:rsid w:val="00D27C5A"/>
    <w:rsid w:val="00D339B0"/>
    <w:rsid w:val="00D5070C"/>
    <w:rsid w:val="00D50F05"/>
    <w:rsid w:val="00D5211B"/>
    <w:rsid w:val="00D60AFA"/>
    <w:rsid w:val="00D64E39"/>
    <w:rsid w:val="00D71AF7"/>
    <w:rsid w:val="00D73BF8"/>
    <w:rsid w:val="00D77B64"/>
    <w:rsid w:val="00D80968"/>
    <w:rsid w:val="00D94BB8"/>
    <w:rsid w:val="00D97908"/>
    <w:rsid w:val="00DA040A"/>
    <w:rsid w:val="00DA4542"/>
    <w:rsid w:val="00DA6C6A"/>
    <w:rsid w:val="00DB49D0"/>
    <w:rsid w:val="00DC56D1"/>
    <w:rsid w:val="00DD0481"/>
    <w:rsid w:val="00DE6C4E"/>
    <w:rsid w:val="00DF01DC"/>
    <w:rsid w:val="00DF022C"/>
    <w:rsid w:val="00E03B3D"/>
    <w:rsid w:val="00E07C43"/>
    <w:rsid w:val="00E12522"/>
    <w:rsid w:val="00E12AF4"/>
    <w:rsid w:val="00E36B73"/>
    <w:rsid w:val="00E3772B"/>
    <w:rsid w:val="00E40388"/>
    <w:rsid w:val="00E44BED"/>
    <w:rsid w:val="00E4698E"/>
    <w:rsid w:val="00E4787B"/>
    <w:rsid w:val="00E50643"/>
    <w:rsid w:val="00E840BC"/>
    <w:rsid w:val="00E97A8C"/>
    <w:rsid w:val="00EA1269"/>
    <w:rsid w:val="00EA713D"/>
    <w:rsid w:val="00EB2F9F"/>
    <w:rsid w:val="00EB33FE"/>
    <w:rsid w:val="00EC002B"/>
    <w:rsid w:val="00EC528B"/>
    <w:rsid w:val="00EC73F8"/>
    <w:rsid w:val="00EC7B32"/>
    <w:rsid w:val="00ED2343"/>
    <w:rsid w:val="00ED4BBB"/>
    <w:rsid w:val="00ED5787"/>
    <w:rsid w:val="00EF4170"/>
    <w:rsid w:val="00F05CCD"/>
    <w:rsid w:val="00F13523"/>
    <w:rsid w:val="00F1787A"/>
    <w:rsid w:val="00F17F45"/>
    <w:rsid w:val="00F23218"/>
    <w:rsid w:val="00F25293"/>
    <w:rsid w:val="00F31CEB"/>
    <w:rsid w:val="00F32BBD"/>
    <w:rsid w:val="00F3700B"/>
    <w:rsid w:val="00F61480"/>
    <w:rsid w:val="00F66836"/>
    <w:rsid w:val="00F7103F"/>
    <w:rsid w:val="00F7630F"/>
    <w:rsid w:val="00F80AD3"/>
    <w:rsid w:val="00F82D85"/>
    <w:rsid w:val="00F84979"/>
    <w:rsid w:val="00F901A7"/>
    <w:rsid w:val="00F91000"/>
    <w:rsid w:val="00F92520"/>
    <w:rsid w:val="00F95946"/>
    <w:rsid w:val="00FB49F4"/>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879A5-57AC-457E-BF69-BCB14820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1385</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9450</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hupkem</cp:lastModifiedBy>
  <cp:revision>8</cp:revision>
  <cp:lastPrinted>2018-10-23T15:38:00Z</cp:lastPrinted>
  <dcterms:created xsi:type="dcterms:W3CDTF">2018-08-21T12:31:00Z</dcterms:created>
  <dcterms:modified xsi:type="dcterms:W3CDTF">2018-10-23T15:39:00Z</dcterms:modified>
</cp:coreProperties>
</file>