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2F3171">
      <w:pPr>
        <w:rPr>
          <w:b/>
        </w:rPr>
      </w:pPr>
      <w:r>
        <w:rPr>
          <w:noProof/>
        </w:rPr>
        <w:drawing>
          <wp:inline distT="0" distB="0" distL="0" distR="0" wp14:anchorId="2FEBCE44" wp14:editId="0454C20D">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FE75C3" w:rsidP="006107A2">
      <w:pPr>
        <w:jc w:val="center"/>
        <w:rPr>
          <w:rFonts w:eastAsia="HelenPro-Regular"/>
          <w:b/>
          <w:sz w:val="28"/>
          <w:szCs w:val="28"/>
        </w:rPr>
      </w:pPr>
      <w:r w:rsidRPr="00981E26">
        <w:rPr>
          <w:rFonts w:eastAsia="HelenPro-Regular"/>
          <w:b/>
          <w:i/>
          <w:sz w:val="28"/>
          <w:szCs w:val="28"/>
        </w:rPr>
        <w:t>STAT</w:t>
      </w:r>
      <w:r>
        <w:rPr>
          <w:rFonts w:eastAsia="HelenPro-Regular"/>
          <w:b/>
          <w:sz w:val="28"/>
          <w:szCs w:val="28"/>
        </w:rPr>
        <w:t xml:space="preserve"> TROPONIN-I</w:t>
      </w:r>
    </w:p>
    <w:p w:rsidR="0056023B" w:rsidRPr="001A639E" w:rsidRDefault="005765EB" w:rsidP="006107A2">
      <w:pPr>
        <w:jc w:val="center"/>
        <w:rPr>
          <w:b/>
          <w:sz w:val="28"/>
          <w:szCs w:val="28"/>
        </w:rPr>
      </w:pPr>
      <w:r>
        <w:rPr>
          <w:b/>
          <w:sz w:val="28"/>
          <w:szCs w:val="28"/>
        </w:rPr>
        <w:t>SERUM</w:t>
      </w:r>
      <w:r w:rsidR="00697A67">
        <w:rPr>
          <w:b/>
          <w:sz w:val="28"/>
          <w:szCs w:val="28"/>
        </w:rPr>
        <w:t xml:space="preserve"> </w:t>
      </w:r>
      <w:r w:rsidR="00EE5F21">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83F7A" w:rsidRPr="002465E6" w:rsidRDefault="00377F9C" w:rsidP="00377F9C">
      <w:pPr>
        <w:autoSpaceDE w:val="0"/>
        <w:autoSpaceDN w:val="0"/>
        <w:adjustRightInd w:val="0"/>
        <w:rPr>
          <w:rFonts w:eastAsia="HelenPro-Regular"/>
        </w:rPr>
      </w:pPr>
      <w:r w:rsidRPr="00FB2A26">
        <w:rPr>
          <w:rFonts w:eastAsia="HelenPro-Regular"/>
        </w:rPr>
        <w:t xml:space="preserve">ARCHITECT </w:t>
      </w:r>
      <w:r w:rsidRPr="00FB2A26">
        <w:rPr>
          <w:rFonts w:eastAsia="HelenPro-Regular"/>
          <w:i/>
          <w:iCs/>
        </w:rPr>
        <w:t xml:space="preserve">STAT </w:t>
      </w:r>
      <w:r w:rsidRPr="00FB2A26">
        <w:rPr>
          <w:rFonts w:eastAsia="HelenPro-Regular"/>
        </w:rPr>
        <w:t>Troponin-I is a</w:t>
      </w:r>
      <w:r w:rsidR="00FB2A26">
        <w:rPr>
          <w:rFonts w:eastAsia="HelenPro-Regular"/>
        </w:rPr>
        <w:t xml:space="preserve"> </w:t>
      </w:r>
      <w:proofErr w:type="spellStart"/>
      <w:r w:rsidR="00FB2A26">
        <w:rPr>
          <w:rFonts w:eastAsia="HelenPro-Regular"/>
        </w:rPr>
        <w:t>chemiluminescent</w:t>
      </w:r>
      <w:proofErr w:type="spellEnd"/>
      <w:r w:rsidR="00FB2A26">
        <w:rPr>
          <w:rFonts w:eastAsia="HelenPro-Regular"/>
        </w:rPr>
        <w:t xml:space="preserve"> </w:t>
      </w:r>
      <w:proofErr w:type="spellStart"/>
      <w:r w:rsidR="00FB2A26">
        <w:rPr>
          <w:rFonts w:eastAsia="HelenPro-Regular"/>
        </w:rPr>
        <w:t>microparticle</w:t>
      </w:r>
      <w:proofErr w:type="spellEnd"/>
      <w:r w:rsidR="00FB2A26">
        <w:rPr>
          <w:rFonts w:eastAsia="HelenPro-Regular"/>
        </w:rPr>
        <w:t xml:space="preserve"> </w:t>
      </w:r>
      <w:r w:rsidRPr="00FB2A26">
        <w:rPr>
          <w:rFonts w:eastAsia="HelenPro-Regular"/>
        </w:rPr>
        <w:t>immunoassay (CMIA) for the quantitative determination of cardiac troponin</w:t>
      </w:r>
      <w:r w:rsidRPr="00FB2A26">
        <w:rPr>
          <w:rFonts w:ascii="MS Mincho" w:eastAsia="MS Mincho" w:hAnsi="MS Mincho" w:cs="MS Mincho" w:hint="eastAsia"/>
        </w:rPr>
        <w:t>‑</w:t>
      </w:r>
      <w:r w:rsidRPr="00FB2A26">
        <w:rPr>
          <w:rFonts w:eastAsia="HelenPro-Regular"/>
        </w:rPr>
        <w:t>I</w:t>
      </w:r>
      <w:r w:rsidR="00FB2A26">
        <w:rPr>
          <w:rFonts w:eastAsia="HelenPro-Regular"/>
        </w:rPr>
        <w:t xml:space="preserve"> </w:t>
      </w:r>
      <w:r w:rsidRPr="00FB2A26">
        <w:rPr>
          <w:rFonts w:eastAsia="HelenPro-Regular"/>
        </w:rPr>
        <w:t xml:space="preserve">in human serum and plasma on the ARCHITECT </w:t>
      </w:r>
      <w:proofErr w:type="spellStart"/>
      <w:r w:rsidRPr="00FB2A26">
        <w:rPr>
          <w:rFonts w:eastAsia="HelenPro-Regular"/>
          <w:i/>
          <w:iCs/>
        </w:rPr>
        <w:t>i</w:t>
      </w:r>
      <w:proofErr w:type="spellEnd"/>
      <w:r w:rsidRPr="00FB2A26">
        <w:rPr>
          <w:rFonts w:eastAsia="HelenPro-Regular"/>
          <w:i/>
          <w:iCs/>
        </w:rPr>
        <w:t xml:space="preserve"> </w:t>
      </w:r>
      <w:r w:rsidRPr="00FB2A26">
        <w:rPr>
          <w:rFonts w:eastAsia="HelenPro-Regular"/>
        </w:rPr>
        <w:t xml:space="preserve">System with </w:t>
      </w:r>
      <w:r w:rsidRPr="00FB2A26">
        <w:rPr>
          <w:rFonts w:eastAsia="HelenPro-Regular"/>
          <w:i/>
          <w:iCs/>
        </w:rPr>
        <w:t>STAT</w:t>
      </w:r>
      <w:r w:rsidR="00FB2A26">
        <w:rPr>
          <w:rFonts w:eastAsia="HelenPro-Regular"/>
        </w:rPr>
        <w:t xml:space="preserve"> </w:t>
      </w:r>
      <w:r w:rsidRPr="00FB2A26">
        <w:rPr>
          <w:rFonts w:eastAsia="HelenPro-Regular"/>
        </w:rPr>
        <w:t>protocol capability. Troponin-I values are used to assist in the diagnosis of</w:t>
      </w:r>
      <w:r w:rsidR="00FB2A26">
        <w:rPr>
          <w:rFonts w:eastAsia="HelenPro-Regular"/>
        </w:rPr>
        <w:t xml:space="preserve"> </w:t>
      </w:r>
      <w:r w:rsidRPr="00FB2A26">
        <w:rPr>
          <w:rFonts w:eastAsia="HelenPro-Regular"/>
        </w:rPr>
        <w:t>myocardial infarction (MI).</w:t>
      </w:r>
    </w:p>
    <w:p w:rsidR="00A6457D" w:rsidRDefault="00A6457D"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377F9C" w:rsidRPr="00FB2A26" w:rsidRDefault="00377F9C" w:rsidP="00377F9C">
      <w:pPr>
        <w:autoSpaceDE w:val="0"/>
        <w:autoSpaceDN w:val="0"/>
        <w:adjustRightInd w:val="0"/>
        <w:rPr>
          <w:rFonts w:eastAsia="HelenPro-Regular"/>
        </w:rPr>
      </w:pPr>
      <w:r w:rsidRPr="00FB2A26">
        <w:rPr>
          <w:rFonts w:eastAsia="HelenPro-Regular"/>
        </w:rPr>
        <w:t>Troponin-I (</w:t>
      </w:r>
      <w:proofErr w:type="spellStart"/>
      <w:r w:rsidRPr="00FB2A26">
        <w:rPr>
          <w:rFonts w:eastAsia="HelenPro-Regular"/>
        </w:rPr>
        <w:t>TnI</w:t>
      </w:r>
      <w:proofErr w:type="spellEnd"/>
      <w:r w:rsidRPr="00FB2A26">
        <w:rPr>
          <w:rFonts w:eastAsia="HelenPro-Regular"/>
        </w:rPr>
        <w:t xml:space="preserve">) is a regulatory subunit of </w:t>
      </w:r>
      <w:r w:rsidR="00FB2A26">
        <w:rPr>
          <w:rFonts w:eastAsia="HelenPro-Regular"/>
        </w:rPr>
        <w:t xml:space="preserve">the troponin complex associated </w:t>
      </w:r>
      <w:r w:rsidRPr="00FB2A26">
        <w:rPr>
          <w:rFonts w:eastAsia="HelenPro-Regular"/>
        </w:rPr>
        <w:t xml:space="preserve">with the actin thin filament within muscle cells. </w:t>
      </w:r>
      <w:proofErr w:type="spellStart"/>
      <w:r w:rsidRPr="00FB2A26">
        <w:rPr>
          <w:rFonts w:eastAsia="HelenPro-Regular"/>
        </w:rPr>
        <w:t>TnI</w:t>
      </w:r>
      <w:proofErr w:type="spellEnd"/>
      <w:r w:rsidRPr="00FB2A26">
        <w:rPr>
          <w:rFonts w:eastAsia="HelenPro-Regular"/>
        </w:rPr>
        <w:t>, in conjunction with</w:t>
      </w:r>
      <w:r w:rsidR="00FB2A26">
        <w:rPr>
          <w:rFonts w:eastAsia="HelenPro-Regular"/>
        </w:rPr>
        <w:t xml:space="preserve"> </w:t>
      </w:r>
      <w:r w:rsidRPr="00FB2A26">
        <w:rPr>
          <w:rFonts w:eastAsia="HelenPro-Regular"/>
        </w:rPr>
        <w:t>troponin-C and troponin-T, plays an integral role in the regulation of muscle</w:t>
      </w:r>
      <w:r w:rsidR="00FB2A26">
        <w:rPr>
          <w:rFonts w:eastAsia="HelenPro-Regular"/>
        </w:rPr>
        <w:t xml:space="preserve"> </w:t>
      </w:r>
      <w:r w:rsidRPr="00FB2A26">
        <w:rPr>
          <w:rFonts w:eastAsia="HelenPro-Regular"/>
        </w:rPr>
        <w:t xml:space="preserve">contraction. Three distinct tissue specific isoforms of </w:t>
      </w:r>
      <w:proofErr w:type="spellStart"/>
      <w:r w:rsidRPr="00FB2A26">
        <w:rPr>
          <w:rFonts w:eastAsia="HelenPro-Regular"/>
        </w:rPr>
        <w:t>TnI</w:t>
      </w:r>
      <w:proofErr w:type="spellEnd"/>
      <w:r w:rsidRPr="00FB2A26">
        <w:rPr>
          <w:rFonts w:eastAsia="HelenPro-Regular"/>
        </w:rPr>
        <w:t xml:space="preserve"> have been</w:t>
      </w:r>
      <w:r w:rsidR="00FB2A26">
        <w:rPr>
          <w:rFonts w:eastAsia="HelenPro-Regular"/>
        </w:rPr>
        <w:t xml:space="preserve"> </w:t>
      </w:r>
      <w:r w:rsidRPr="00FB2A26">
        <w:rPr>
          <w:rFonts w:eastAsia="HelenPro-Regular"/>
        </w:rPr>
        <w:t>identified from skeletal and cardiac muscles. The cardiac isoform exhibits</w:t>
      </w:r>
      <w:r w:rsidR="00FB2A26">
        <w:rPr>
          <w:rFonts w:eastAsia="HelenPro-Regular"/>
        </w:rPr>
        <w:t xml:space="preserve"> </w:t>
      </w:r>
      <w:r w:rsidRPr="00FB2A26">
        <w:rPr>
          <w:rFonts w:eastAsia="HelenPro-Regular"/>
        </w:rPr>
        <w:t>only 60% similarity with the skeletal muscle isoform and contains additional</w:t>
      </w:r>
      <w:r w:rsidR="00FB2A26">
        <w:rPr>
          <w:rFonts w:eastAsia="HelenPro-Regular"/>
        </w:rPr>
        <w:t xml:space="preserve"> </w:t>
      </w:r>
      <w:r w:rsidRPr="00FB2A26">
        <w:rPr>
          <w:rFonts w:eastAsia="HelenPro-Regular"/>
        </w:rPr>
        <w:t>amino acids at the N-terminus; cardiac troponin-I (</w:t>
      </w:r>
      <w:proofErr w:type="spellStart"/>
      <w:r w:rsidRPr="00FB2A26">
        <w:rPr>
          <w:rFonts w:eastAsia="HelenPro-Regular"/>
        </w:rPr>
        <w:t>cTnI</w:t>
      </w:r>
      <w:proofErr w:type="spellEnd"/>
      <w:r w:rsidRPr="00FB2A26">
        <w:rPr>
          <w:rFonts w:eastAsia="HelenPro-Regular"/>
        </w:rPr>
        <w:t>) has a molecular</w:t>
      </w:r>
      <w:r w:rsidR="00FB2A26">
        <w:rPr>
          <w:rFonts w:eastAsia="HelenPro-Regular"/>
        </w:rPr>
        <w:t xml:space="preserve"> </w:t>
      </w:r>
      <w:r w:rsidRPr="00FB2A26">
        <w:rPr>
          <w:rFonts w:eastAsia="HelenPro-Regular"/>
        </w:rPr>
        <w:t xml:space="preserve">weight of approximately 24,000 </w:t>
      </w:r>
      <w:proofErr w:type="spellStart"/>
      <w:r w:rsidRPr="00FB2A26">
        <w:rPr>
          <w:rFonts w:eastAsia="HelenPro-Regular"/>
        </w:rPr>
        <w:t>daltons</w:t>
      </w:r>
      <w:proofErr w:type="spellEnd"/>
      <w:r w:rsidRPr="00FB2A26">
        <w:rPr>
          <w:rFonts w:eastAsia="HelenPro-Regular"/>
        </w:rPr>
        <w:t>.</w:t>
      </w:r>
      <w:r w:rsidR="00FB2A26">
        <w:rPr>
          <w:rFonts w:eastAsia="HelenPro-Regular"/>
        </w:rPr>
        <w:t xml:space="preserve"> </w:t>
      </w:r>
      <w:r w:rsidRPr="00FB2A26">
        <w:rPr>
          <w:rFonts w:eastAsia="HelenPro-Regular"/>
        </w:rPr>
        <w:t xml:space="preserve">Clinical studies have demonstrated the release of </w:t>
      </w:r>
      <w:proofErr w:type="spellStart"/>
      <w:r w:rsidRPr="00FB2A26">
        <w:rPr>
          <w:rFonts w:eastAsia="HelenPro-Regular"/>
        </w:rPr>
        <w:t>cTnI</w:t>
      </w:r>
      <w:proofErr w:type="spellEnd"/>
      <w:r w:rsidRPr="00FB2A26">
        <w:rPr>
          <w:rFonts w:eastAsia="HelenPro-Regular"/>
        </w:rPr>
        <w:t xml:space="preserve"> into the blood</w:t>
      </w:r>
      <w:r w:rsidR="00FB2A26">
        <w:rPr>
          <w:rFonts w:eastAsia="HelenPro-Regular"/>
        </w:rPr>
        <w:t xml:space="preserve"> </w:t>
      </w:r>
      <w:r w:rsidRPr="00FB2A26">
        <w:rPr>
          <w:rFonts w:eastAsia="HelenPro-Regular"/>
        </w:rPr>
        <w:t>stream within hours following myocardial infarction (MI) or ischemic</w:t>
      </w:r>
      <w:r w:rsidR="00FB2A26">
        <w:rPr>
          <w:rFonts w:eastAsia="HelenPro-Regular"/>
        </w:rPr>
        <w:t xml:space="preserve"> </w:t>
      </w:r>
      <w:r w:rsidRPr="00FB2A26">
        <w:rPr>
          <w:rFonts w:eastAsia="HelenPro-Regular"/>
        </w:rPr>
        <w:t xml:space="preserve">damage. Elevated levels of </w:t>
      </w:r>
      <w:proofErr w:type="spellStart"/>
      <w:r w:rsidRPr="00FB2A26">
        <w:rPr>
          <w:rFonts w:eastAsia="HelenPro-Regular"/>
        </w:rPr>
        <w:t>cTnI</w:t>
      </w:r>
      <w:proofErr w:type="spellEnd"/>
      <w:r w:rsidRPr="00FB2A26">
        <w:rPr>
          <w:rFonts w:eastAsia="HelenPro-Regular"/>
        </w:rPr>
        <w:t xml:space="preserve"> (above the values established for non-MI</w:t>
      </w:r>
      <w:r w:rsidR="00FB2A26">
        <w:rPr>
          <w:rFonts w:eastAsia="HelenPro-Regular"/>
        </w:rPr>
        <w:t xml:space="preserve"> </w:t>
      </w:r>
      <w:r w:rsidRPr="00FB2A26">
        <w:rPr>
          <w:rFonts w:eastAsia="HelenPro-Regular"/>
        </w:rPr>
        <w:t>specimens) are detectable in serum within 4 to 6 hours after the onset</w:t>
      </w:r>
      <w:r w:rsidR="00FB2A26">
        <w:rPr>
          <w:rFonts w:eastAsia="HelenPro-Regular"/>
        </w:rPr>
        <w:t xml:space="preserve"> </w:t>
      </w:r>
      <w:r w:rsidRPr="00FB2A26">
        <w:rPr>
          <w:rFonts w:eastAsia="HelenPro-Regular"/>
        </w:rPr>
        <w:t>of chest pain, reach peak concentrations in approximately 8 to 28 hours,</w:t>
      </w:r>
      <w:r w:rsidR="00FB2A26">
        <w:rPr>
          <w:rFonts w:eastAsia="HelenPro-Regular"/>
        </w:rPr>
        <w:t xml:space="preserve"> </w:t>
      </w:r>
      <w:r w:rsidRPr="00FB2A26">
        <w:rPr>
          <w:rFonts w:eastAsia="HelenPro-Regular"/>
        </w:rPr>
        <w:t>and remain elevated for 3 to 10 days following MI. Cardiac troponin</w:t>
      </w:r>
      <w:r w:rsidR="00FB2A26">
        <w:rPr>
          <w:rFonts w:eastAsia="HelenPro-Regular"/>
        </w:rPr>
        <w:t xml:space="preserve"> </w:t>
      </w:r>
      <w:r w:rsidRPr="00FB2A26">
        <w:rPr>
          <w:rFonts w:eastAsia="HelenPro-Regular"/>
        </w:rPr>
        <w:t>is the preferred biomarker for the detection of myocardial injury based</w:t>
      </w:r>
      <w:r w:rsidR="00FB2A26">
        <w:rPr>
          <w:rFonts w:eastAsia="HelenPro-Regular"/>
        </w:rPr>
        <w:t xml:space="preserve"> </w:t>
      </w:r>
      <w:r w:rsidRPr="00FB2A26">
        <w:rPr>
          <w:rFonts w:eastAsia="HelenPro-Regular"/>
        </w:rPr>
        <w:t>on improved sensitivity and superior tissue-specificity compared to other</w:t>
      </w:r>
      <w:r w:rsidR="00FB2A26">
        <w:rPr>
          <w:rFonts w:eastAsia="HelenPro-Regular"/>
        </w:rPr>
        <w:t xml:space="preserve"> </w:t>
      </w:r>
      <w:r w:rsidRPr="00FB2A26">
        <w:rPr>
          <w:rFonts w:eastAsia="HelenPro-Regular"/>
        </w:rPr>
        <w:t>available biomarkers of necrosis, including CK-MB, myoglobin, lactate</w:t>
      </w:r>
      <w:r w:rsidR="00FB2A26">
        <w:rPr>
          <w:rFonts w:eastAsia="HelenPro-Regular"/>
        </w:rPr>
        <w:t xml:space="preserve"> </w:t>
      </w:r>
      <w:r w:rsidRPr="00FB2A26">
        <w:rPr>
          <w:rFonts w:eastAsia="HelenPro-Regular"/>
        </w:rPr>
        <w:t xml:space="preserve">dehydrogenase, and others. The high specificity of </w:t>
      </w:r>
      <w:proofErr w:type="spellStart"/>
      <w:r w:rsidRPr="00FB2A26">
        <w:rPr>
          <w:rFonts w:eastAsia="HelenPro-Regular"/>
        </w:rPr>
        <w:t>cTnI</w:t>
      </w:r>
      <w:proofErr w:type="spellEnd"/>
      <w:r w:rsidRPr="00FB2A26">
        <w:rPr>
          <w:rFonts w:eastAsia="HelenPro-Regular"/>
        </w:rPr>
        <w:t xml:space="preserve"> measurements</w:t>
      </w:r>
      <w:r w:rsidR="00FB2A26">
        <w:rPr>
          <w:rFonts w:eastAsia="HelenPro-Regular"/>
        </w:rPr>
        <w:t xml:space="preserve"> </w:t>
      </w:r>
      <w:r w:rsidRPr="00FB2A26">
        <w:rPr>
          <w:rFonts w:eastAsia="HelenPro-Regular"/>
        </w:rPr>
        <w:t>is beneficial in identifying cardiac injury for clinical conditions involving</w:t>
      </w:r>
      <w:r w:rsidR="00FB2A26">
        <w:rPr>
          <w:rFonts w:eastAsia="HelenPro-Regular"/>
        </w:rPr>
        <w:t xml:space="preserve"> </w:t>
      </w:r>
      <w:r w:rsidRPr="00FB2A26">
        <w:rPr>
          <w:rFonts w:eastAsia="HelenPro-Regular"/>
        </w:rPr>
        <w:t>skeletal muscle injury resulting from surgery, trauma, extensive exercise,</w:t>
      </w:r>
      <w:r w:rsidR="00FB2A26">
        <w:rPr>
          <w:rFonts w:eastAsia="HelenPro-Regular"/>
        </w:rPr>
        <w:t xml:space="preserve"> </w:t>
      </w:r>
      <w:r w:rsidRPr="00FB2A26">
        <w:rPr>
          <w:rFonts w:eastAsia="HelenPro-Regular"/>
        </w:rPr>
        <w:t>or muscular disease. High tissue specificity of cardiac troponin, however,</w:t>
      </w:r>
      <w:r w:rsidR="00FB2A26">
        <w:rPr>
          <w:rFonts w:eastAsia="HelenPro-Regular"/>
        </w:rPr>
        <w:t xml:space="preserve"> </w:t>
      </w:r>
      <w:r w:rsidRPr="00FB2A26">
        <w:rPr>
          <w:rFonts w:eastAsia="HelenPro-Regular"/>
        </w:rPr>
        <w:t>should not be confused with the specificity for the mechanism of injury</w:t>
      </w:r>
      <w:r w:rsidR="00FB2A26">
        <w:rPr>
          <w:rFonts w:eastAsia="HelenPro-Regular"/>
        </w:rPr>
        <w:t xml:space="preserve"> </w:t>
      </w:r>
      <w:r w:rsidRPr="00FB2A26">
        <w:rPr>
          <w:rFonts w:eastAsia="HelenPro-Regular"/>
        </w:rPr>
        <w:t>(e.g., MI vs. myocarditis). When an increased value for cardiac troponin</w:t>
      </w:r>
      <w:r w:rsidR="00FB2A26">
        <w:rPr>
          <w:rFonts w:eastAsia="HelenPro-Regular"/>
        </w:rPr>
        <w:t xml:space="preserve"> </w:t>
      </w:r>
      <w:r w:rsidRPr="00FB2A26">
        <w:rPr>
          <w:rFonts w:eastAsia="HelenPro-Regular"/>
        </w:rPr>
        <w:t>is encountered (e.g., exceeding the 99th percentile of a reference control</w:t>
      </w:r>
      <w:r w:rsidR="00FB2A26">
        <w:rPr>
          <w:rFonts w:eastAsia="HelenPro-Regular"/>
        </w:rPr>
        <w:t xml:space="preserve"> </w:t>
      </w:r>
      <w:r w:rsidRPr="00FB2A26">
        <w:rPr>
          <w:rFonts w:eastAsia="HelenPro-Regular"/>
        </w:rPr>
        <w:t>population) in the absence of evidence of myocardial ischemia, a careful</w:t>
      </w:r>
      <w:r w:rsidR="00FB2A26">
        <w:rPr>
          <w:rFonts w:eastAsia="HelenPro-Regular"/>
        </w:rPr>
        <w:t xml:space="preserve"> </w:t>
      </w:r>
      <w:r w:rsidRPr="00FB2A26">
        <w:rPr>
          <w:rFonts w:eastAsia="HelenPro-Regular"/>
        </w:rPr>
        <w:t>search of other possible etiologies for cardiac damage should be taken.</w:t>
      </w:r>
      <w:r w:rsidR="00FB2A26">
        <w:rPr>
          <w:rFonts w:eastAsia="HelenPro-Regular"/>
        </w:rPr>
        <w:t xml:space="preserve"> </w:t>
      </w:r>
      <w:r w:rsidRPr="00FB2A26">
        <w:rPr>
          <w:rFonts w:eastAsia="HelenPro-Regular"/>
        </w:rPr>
        <w:t>The World Health Organization (WHO) criteria for defining MI are the</w:t>
      </w:r>
      <w:r w:rsidR="00FB2A26">
        <w:rPr>
          <w:rFonts w:eastAsia="HelenPro-Regular"/>
        </w:rPr>
        <w:t xml:space="preserve"> </w:t>
      </w:r>
      <w:r w:rsidRPr="00FB2A26">
        <w:rPr>
          <w:rFonts w:eastAsia="HelenPro-Regular"/>
        </w:rPr>
        <w:t>presence of two of the following three elements: ECG changes, serum</w:t>
      </w:r>
      <w:r w:rsidR="00FB2A26">
        <w:rPr>
          <w:rFonts w:eastAsia="HelenPro-Regular"/>
        </w:rPr>
        <w:t xml:space="preserve"> </w:t>
      </w:r>
      <w:r w:rsidRPr="00FB2A26">
        <w:rPr>
          <w:rFonts w:eastAsia="HelenPro-Regular"/>
        </w:rPr>
        <w:t>cardiac enzyme changes, and prolonged chest pain. More recently, a</w:t>
      </w:r>
      <w:r w:rsidR="00FB2A26">
        <w:rPr>
          <w:rFonts w:eastAsia="HelenPro-Regular"/>
        </w:rPr>
        <w:t xml:space="preserve"> </w:t>
      </w:r>
      <w:r w:rsidRPr="00FB2A26">
        <w:rPr>
          <w:rFonts w:eastAsia="HelenPro-Regular"/>
        </w:rPr>
        <w:t>Global Task Force with joint leadership among the European Society of</w:t>
      </w:r>
      <w:r w:rsidR="00FB2A26">
        <w:rPr>
          <w:rFonts w:eastAsia="HelenPro-Regular"/>
        </w:rPr>
        <w:t xml:space="preserve"> </w:t>
      </w:r>
      <w:r w:rsidRPr="00FB2A26">
        <w:rPr>
          <w:rFonts w:eastAsia="HelenPro-Regular"/>
        </w:rPr>
        <w:t>Cardiology (ESC), the American College of Cardiology Foundation (ACCF),</w:t>
      </w:r>
      <w:r w:rsidR="00FB2A26">
        <w:rPr>
          <w:rFonts w:eastAsia="HelenPro-Regular"/>
        </w:rPr>
        <w:t xml:space="preserve"> </w:t>
      </w:r>
      <w:r w:rsidRPr="00FB2A26">
        <w:rPr>
          <w:rFonts w:eastAsia="HelenPro-Regular"/>
        </w:rPr>
        <w:t>the American Heart Association (AHA), and the World Heart Federation</w:t>
      </w:r>
      <w:r w:rsidR="00FB2A26">
        <w:rPr>
          <w:rFonts w:eastAsia="HelenPro-Regular"/>
        </w:rPr>
        <w:t xml:space="preserve"> </w:t>
      </w:r>
      <w:r w:rsidRPr="00FB2A26">
        <w:rPr>
          <w:rFonts w:eastAsia="HelenPro-Regular"/>
        </w:rPr>
        <w:t>(WHF) refined past criteria with a universal definition of myocardial</w:t>
      </w:r>
      <w:r w:rsidR="00FB2A26">
        <w:rPr>
          <w:rFonts w:eastAsia="HelenPro-Regular"/>
        </w:rPr>
        <w:t xml:space="preserve"> </w:t>
      </w:r>
      <w:r w:rsidRPr="00FB2A26">
        <w:rPr>
          <w:rFonts w:eastAsia="HelenPro-Regular"/>
        </w:rPr>
        <w:t xml:space="preserve">infarction that also supports use of </w:t>
      </w:r>
      <w:proofErr w:type="spellStart"/>
      <w:r w:rsidRPr="00FB2A26">
        <w:rPr>
          <w:rFonts w:eastAsia="HelenPro-Regular"/>
        </w:rPr>
        <w:t>cTnI</w:t>
      </w:r>
      <w:proofErr w:type="spellEnd"/>
      <w:r w:rsidRPr="00FB2A26">
        <w:rPr>
          <w:rFonts w:eastAsia="HelenPro-Regular"/>
        </w:rPr>
        <w:t xml:space="preserve"> as a preferred biomarker for</w:t>
      </w:r>
      <w:r w:rsidR="00FB2A26">
        <w:rPr>
          <w:rFonts w:eastAsia="HelenPro-Regular"/>
        </w:rPr>
        <w:t xml:space="preserve"> </w:t>
      </w:r>
      <w:r w:rsidRPr="00FB2A26">
        <w:rPr>
          <w:rFonts w:eastAsia="HelenPro-Regular"/>
        </w:rPr>
        <w:t>myocardial injury. Their universal definition of MI is a typical rise and gradual</w:t>
      </w:r>
      <w:r w:rsidR="00FB2A26">
        <w:rPr>
          <w:rFonts w:eastAsia="HelenPro-Regular"/>
        </w:rPr>
        <w:t xml:space="preserve"> </w:t>
      </w:r>
      <w:r w:rsidRPr="00FB2A26">
        <w:rPr>
          <w:rFonts w:eastAsia="HelenPro-Regular"/>
        </w:rPr>
        <w:t>fall of cardiac biomarkers (preferably troponin) with at least one value</w:t>
      </w:r>
      <w:r w:rsidR="00FB2A26">
        <w:rPr>
          <w:rFonts w:eastAsia="HelenPro-Regular"/>
        </w:rPr>
        <w:t xml:space="preserve"> </w:t>
      </w:r>
      <w:r w:rsidRPr="00FB2A26">
        <w:rPr>
          <w:rFonts w:eastAsia="HelenPro-Regular"/>
        </w:rPr>
        <w:t>above the 99th percentile of the upper reference limit (URL) together with</w:t>
      </w:r>
      <w:r w:rsidR="00FB2A26">
        <w:rPr>
          <w:rFonts w:eastAsia="HelenPro-Regular"/>
        </w:rPr>
        <w:t xml:space="preserve"> </w:t>
      </w:r>
      <w:r w:rsidRPr="00FB2A26">
        <w:rPr>
          <w:rFonts w:eastAsia="HelenPro-Regular"/>
        </w:rPr>
        <w:t>evidence of myocardial ischemia with at least one of the following: ischemic</w:t>
      </w:r>
      <w:r w:rsidR="00FB2A26">
        <w:rPr>
          <w:rFonts w:eastAsia="HelenPro-Regular"/>
        </w:rPr>
        <w:t xml:space="preserve"> </w:t>
      </w:r>
      <w:r w:rsidRPr="00FB2A26">
        <w:rPr>
          <w:rFonts w:eastAsia="HelenPro-Regular"/>
        </w:rPr>
        <w:t>symptoms, pathological Q waves on electrocardiogram (ECG), ischemic</w:t>
      </w:r>
      <w:r w:rsidR="00FB2A26">
        <w:rPr>
          <w:rFonts w:eastAsia="HelenPro-Regular"/>
        </w:rPr>
        <w:t xml:space="preserve"> </w:t>
      </w:r>
      <w:r w:rsidRPr="00FB2A26">
        <w:rPr>
          <w:rFonts w:eastAsia="HelenPro-Regular"/>
        </w:rPr>
        <w:t>ECG changes, or imaging evidence of new loss of viable myocardium or</w:t>
      </w:r>
      <w:r w:rsidR="00FB2A26">
        <w:rPr>
          <w:rFonts w:eastAsia="HelenPro-Regular"/>
        </w:rPr>
        <w:t xml:space="preserve"> </w:t>
      </w:r>
      <w:r w:rsidRPr="00FB2A26">
        <w:rPr>
          <w:rFonts w:eastAsia="HelenPro-Regular"/>
        </w:rPr>
        <w:t>new regional wall motion abnormality. The recommended criteria are</w:t>
      </w:r>
      <w:r w:rsidR="00FB2A26">
        <w:rPr>
          <w:rFonts w:eastAsia="HelenPro-Regular"/>
        </w:rPr>
        <w:t xml:space="preserve"> </w:t>
      </w:r>
      <w:r w:rsidRPr="00FB2A26">
        <w:rPr>
          <w:rFonts w:eastAsia="HelenPro-Regular"/>
        </w:rPr>
        <w:t>based on the principle that any reliable detectable amount of myocardial</w:t>
      </w:r>
      <w:r w:rsidR="00FB2A26">
        <w:rPr>
          <w:rFonts w:eastAsia="HelenPro-Regular"/>
        </w:rPr>
        <w:t xml:space="preserve"> </w:t>
      </w:r>
      <w:r w:rsidRPr="00FB2A26">
        <w:rPr>
          <w:rFonts w:eastAsia="HelenPro-Regular"/>
        </w:rPr>
        <w:t xml:space="preserve">necrosis, if caused by </w:t>
      </w:r>
      <w:r w:rsidRPr="00FB2A26">
        <w:rPr>
          <w:rFonts w:eastAsia="HelenPro-Regular"/>
        </w:rPr>
        <w:lastRenderedPageBreak/>
        <w:t>myocardial ischemia, constitutes an MI. An elevated</w:t>
      </w:r>
      <w:r w:rsidR="00FB2A26">
        <w:rPr>
          <w:rFonts w:eastAsia="HelenPro-Regular"/>
        </w:rPr>
        <w:t xml:space="preserve"> </w:t>
      </w:r>
      <w:r w:rsidRPr="00FB2A26">
        <w:rPr>
          <w:rFonts w:eastAsia="HelenPro-Regular"/>
        </w:rPr>
        <w:t>troponin value alone is not sufficient to make the diagnosis of myocardial</w:t>
      </w:r>
      <w:r w:rsidR="00FB2A26">
        <w:rPr>
          <w:rFonts w:eastAsia="HelenPro-Regular"/>
        </w:rPr>
        <w:t xml:space="preserve"> </w:t>
      </w:r>
      <w:r w:rsidRPr="00FB2A26">
        <w:rPr>
          <w:rFonts w:eastAsia="HelenPro-Regular"/>
        </w:rPr>
        <w:t>infarction. Serial sampling is recommended to detect the temporal rise and</w:t>
      </w:r>
      <w:r w:rsidR="00FB2A26">
        <w:rPr>
          <w:rFonts w:eastAsia="HelenPro-Regular"/>
        </w:rPr>
        <w:t xml:space="preserve"> </w:t>
      </w:r>
      <w:r w:rsidRPr="00FB2A26">
        <w:rPr>
          <w:rFonts w:eastAsia="HelenPro-Regular"/>
        </w:rPr>
        <w:t>fall of troponin levels characteristic of MI. In addition, other markers</w:t>
      </w:r>
      <w:r w:rsidR="00FB2A26">
        <w:rPr>
          <w:rFonts w:eastAsia="HelenPro-Regular"/>
        </w:rPr>
        <w:t xml:space="preserve"> </w:t>
      </w:r>
      <w:r w:rsidRPr="00FB2A26">
        <w:rPr>
          <w:rFonts w:eastAsia="HelenPro-Regular"/>
        </w:rPr>
        <w:t>such as CK-MB can be used in conjunction with troponin-I results in aiding</w:t>
      </w:r>
      <w:r w:rsidR="00FB2A26">
        <w:rPr>
          <w:rFonts w:eastAsia="HelenPro-Regular"/>
        </w:rPr>
        <w:t xml:space="preserve"> </w:t>
      </w:r>
      <w:r w:rsidRPr="00FB2A26">
        <w:rPr>
          <w:rFonts w:eastAsia="HelenPro-Regular"/>
        </w:rPr>
        <w:t>the diagnosis of MI.</w:t>
      </w:r>
    </w:p>
    <w:p w:rsidR="00C818CA" w:rsidRPr="00DC467D" w:rsidRDefault="00377F9C" w:rsidP="00377F9C">
      <w:pPr>
        <w:autoSpaceDE w:val="0"/>
        <w:autoSpaceDN w:val="0"/>
        <w:adjustRightInd w:val="0"/>
        <w:rPr>
          <w:rFonts w:eastAsia="HelenPro-Regular"/>
        </w:rPr>
      </w:pPr>
      <w:r w:rsidRPr="00FB2A26">
        <w:rPr>
          <w:rFonts w:eastAsia="HelenPro-Regular"/>
        </w:rPr>
        <w:t xml:space="preserve">Several major studies have shown that </w:t>
      </w:r>
      <w:proofErr w:type="spellStart"/>
      <w:r w:rsidRPr="00FB2A26">
        <w:rPr>
          <w:rFonts w:eastAsia="HelenPro-Regular"/>
        </w:rPr>
        <w:t>cTn</w:t>
      </w:r>
      <w:r w:rsidR="00FB2A26">
        <w:rPr>
          <w:rFonts w:eastAsia="HelenPro-Regular"/>
        </w:rPr>
        <w:t>I</w:t>
      </w:r>
      <w:proofErr w:type="spellEnd"/>
      <w:r w:rsidR="00FB2A26">
        <w:rPr>
          <w:rFonts w:eastAsia="HelenPro-Regular"/>
        </w:rPr>
        <w:t xml:space="preserve"> is also useful as a predictor </w:t>
      </w:r>
      <w:r w:rsidRPr="00FB2A26">
        <w:rPr>
          <w:rFonts w:eastAsia="HelenPro-Regular"/>
        </w:rPr>
        <w:t>of cardiac risk in patients with unstable angina. Previous studies showed</w:t>
      </w:r>
      <w:r w:rsidR="00FB2A26">
        <w:rPr>
          <w:rFonts w:eastAsia="HelenPro-Regular"/>
        </w:rPr>
        <w:t xml:space="preserve"> </w:t>
      </w:r>
      <w:r w:rsidRPr="00FB2A26">
        <w:rPr>
          <w:rFonts w:eastAsia="HelenPro-Regular"/>
        </w:rPr>
        <w:t>that during a 30-day follow-up, patients with acute coronary syndromes</w:t>
      </w:r>
      <w:r w:rsidR="00FB2A26">
        <w:rPr>
          <w:rFonts w:eastAsia="HelenPro-Regular"/>
        </w:rPr>
        <w:t xml:space="preserve"> </w:t>
      </w:r>
      <w:r w:rsidRPr="00FB2A26">
        <w:rPr>
          <w:rFonts w:eastAsia="HelenPro-Regular"/>
        </w:rPr>
        <w:t xml:space="preserve">(including unstable angina) were at greater risk of progressing to MI if </w:t>
      </w:r>
      <w:proofErr w:type="spellStart"/>
      <w:r w:rsidRPr="00FB2A26">
        <w:rPr>
          <w:rFonts w:eastAsia="HelenPro-Regular"/>
        </w:rPr>
        <w:t>cTnI</w:t>
      </w:r>
      <w:proofErr w:type="spellEnd"/>
      <w:r w:rsidR="00FB2A26">
        <w:rPr>
          <w:rFonts w:eastAsia="HelenPro-Regular"/>
        </w:rPr>
        <w:t xml:space="preserve"> </w:t>
      </w:r>
      <w:r w:rsidRPr="00FB2A26">
        <w:rPr>
          <w:rFonts w:eastAsia="HelenPro-Regular"/>
        </w:rPr>
        <w:t xml:space="preserve">is elevated. Results from the PRISM trial showed that elevated </w:t>
      </w:r>
      <w:proofErr w:type="spellStart"/>
      <w:r w:rsidRPr="00FB2A26">
        <w:rPr>
          <w:rFonts w:eastAsia="HelenPro-Regular"/>
        </w:rPr>
        <w:t>cTnI</w:t>
      </w:r>
      <w:proofErr w:type="spellEnd"/>
      <w:r w:rsidR="00FB2A26">
        <w:rPr>
          <w:rFonts w:eastAsia="HelenPro-Regular"/>
        </w:rPr>
        <w:t xml:space="preserve"> </w:t>
      </w:r>
      <w:r w:rsidRPr="00FB2A26">
        <w:rPr>
          <w:rFonts w:eastAsia="HelenPro-Regular"/>
        </w:rPr>
        <w:t>levels could help to identify patients with unstable angina who had additional</w:t>
      </w:r>
      <w:r w:rsidR="00FB2A26">
        <w:rPr>
          <w:rFonts w:eastAsia="HelenPro-Regular"/>
        </w:rPr>
        <w:t xml:space="preserve"> </w:t>
      </w:r>
      <w:r w:rsidRPr="00FB2A26">
        <w:rPr>
          <w:rFonts w:eastAsia="HelenPro-Regular"/>
        </w:rPr>
        <w:t>cardiac risk (especially within the first 72 hours after onset of symptoms)</w:t>
      </w:r>
      <w:r w:rsidR="00FB2A26">
        <w:rPr>
          <w:rFonts w:eastAsia="HelenPro-Regular"/>
        </w:rPr>
        <w:t xml:space="preserve"> </w:t>
      </w:r>
      <w:r w:rsidRPr="00FB2A26">
        <w:rPr>
          <w:rFonts w:eastAsia="HelenPro-Regular"/>
        </w:rPr>
        <w:t xml:space="preserve">and who could benefit from treatment with a glycoprotein </w:t>
      </w:r>
      <w:proofErr w:type="spellStart"/>
      <w:r w:rsidRPr="00FB2A26">
        <w:rPr>
          <w:rFonts w:eastAsia="HelenPro-Regular"/>
        </w:rPr>
        <w:t>IIb</w:t>
      </w:r>
      <w:proofErr w:type="spellEnd"/>
      <w:r w:rsidRPr="00FB2A26">
        <w:rPr>
          <w:rFonts w:eastAsia="HelenPro-Regular"/>
        </w:rPr>
        <w:t>/</w:t>
      </w:r>
      <w:proofErr w:type="spellStart"/>
      <w:r w:rsidRPr="00FB2A26">
        <w:rPr>
          <w:rFonts w:eastAsia="HelenPro-Regular"/>
        </w:rPr>
        <w:t>IIIa</w:t>
      </w:r>
      <w:proofErr w:type="spellEnd"/>
      <w:r w:rsidRPr="00FB2A26">
        <w:rPr>
          <w:rFonts w:eastAsia="HelenPro-Regular"/>
        </w:rPr>
        <w:t>-receptor</w:t>
      </w:r>
      <w:r w:rsidR="00FB2A26">
        <w:rPr>
          <w:rFonts w:eastAsia="HelenPro-Regular"/>
        </w:rPr>
        <w:t xml:space="preserve"> </w:t>
      </w:r>
      <w:r w:rsidRPr="00FB2A26">
        <w:rPr>
          <w:rFonts w:eastAsia="HelenPro-Regular"/>
        </w:rPr>
        <w:t xml:space="preserve">antagonist. Thus, </w:t>
      </w:r>
      <w:proofErr w:type="spellStart"/>
      <w:r w:rsidRPr="00FB2A26">
        <w:rPr>
          <w:rFonts w:eastAsia="HelenPro-Regular"/>
        </w:rPr>
        <w:t>cTnI</w:t>
      </w:r>
      <w:proofErr w:type="spellEnd"/>
      <w:r w:rsidRPr="00FB2A26">
        <w:rPr>
          <w:rFonts w:eastAsia="HelenPro-Regular"/>
        </w:rPr>
        <w:t xml:space="preserve"> can play an important role in identifying patients</w:t>
      </w:r>
      <w:r w:rsidR="00FB2A26">
        <w:rPr>
          <w:rFonts w:eastAsia="HelenPro-Regular"/>
        </w:rPr>
        <w:t xml:space="preserve"> </w:t>
      </w:r>
      <w:r w:rsidRPr="00FB2A26">
        <w:rPr>
          <w:rFonts w:eastAsia="HelenPro-Regular"/>
        </w:rPr>
        <w:t>with acute coronary syndromes who are at greater risk for cardiac events.</w:t>
      </w:r>
      <w:r w:rsidR="00FB2A26">
        <w:rPr>
          <w:rFonts w:eastAsia="HelenPro-Regular"/>
        </w:rPr>
        <w:t xml:space="preserve"> </w:t>
      </w:r>
      <w:r w:rsidRPr="00FB2A26">
        <w:rPr>
          <w:rFonts w:eastAsia="HelenPro-Regular"/>
        </w:rPr>
        <w:t>The ACCF, AHA, and the National Academy of Clinical Biochemistry (NACB)</w:t>
      </w:r>
      <w:r w:rsidR="00FB2A26">
        <w:rPr>
          <w:rFonts w:eastAsia="HelenPro-Regular"/>
        </w:rPr>
        <w:t xml:space="preserve"> </w:t>
      </w:r>
      <w:r w:rsidRPr="00FB2A26">
        <w:rPr>
          <w:rFonts w:eastAsia="HelenPro-Regular"/>
        </w:rPr>
        <w:t>also recommend using troponin results when making treatment decisions</w:t>
      </w:r>
      <w:r w:rsidR="00FB2A26">
        <w:rPr>
          <w:rFonts w:eastAsia="HelenPro-Regular"/>
        </w:rPr>
        <w:t xml:space="preserve"> </w:t>
      </w:r>
      <w:r w:rsidRPr="00FB2A26">
        <w:rPr>
          <w:rFonts w:eastAsia="HelenPro-Regular"/>
        </w:rPr>
        <w:t>regarding unstable angina and non-ST segment elevation MI (NSTEMI).</w:t>
      </w:r>
    </w:p>
    <w:p w:rsidR="00DC467D" w:rsidRDefault="00DC467D" w:rsidP="00C818CA">
      <w:pPr>
        <w:autoSpaceDE w:val="0"/>
        <w:autoSpaceDN w:val="0"/>
        <w:adjustRightInd w:val="0"/>
        <w:rPr>
          <w:rFonts w:eastAsia="HelenPro-Regular"/>
        </w:rPr>
      </w:pPr>
    </w:p>
    <w:p w:rsidR="00DC467D" w:rsidRPr="00DC467D" w:rsidRDefault="00DC467D" w:rsidP="00C818CA">
      <w:pPr>
        <w:autoSpaceDE w:val="0"/>
        <w:autoSpaceDN w:val="0"/>
        <w:adjustRightInd w:val="0"/>
        <w:rPr>
          <w:rFonts w:eastAsia="HelenPro-Regular"/>
          <w:b/>
          <w:sz w:val="28"/>
          <w:szCs w:val="28"/>
        </w:rPr>
      </w:pPr>
      <w:r w:rsidRPr="00DC467D">
        <w:rPr>
          <w:rFonts w:eastAsia="HelenPro-Regular"/>
          <w:b/>
          <w:sz w:val="28"/>
          <w:szCs w:val="28"/>
        </w:rPr>
        <w:t>PRINCIPLE</w:t>
      </w:r>
    </w:p>
    <w:p w:rsidR="00377F9C" w:rsidRPr="00FB2A26" w:rsidRDefault="00377F9C" w:rsidP="00377F9C">
      <w:pPr>
        <w:autoSpaceDE w:val="0"/>
        <w:autoSpaceDN w:val="0"/>
        <w:adjustRightInd w:val="0"/>
        <w:rPr>
          <w:rFonts w:eastAsia="HelenPro-Regular"/>
        </w:rPr>
      </w:pPr>
      <w:r w:rsidRPr="00FB2A26">
        <w:rPr>
          <w:rFonts w:eastAsia="HelenPro-Regular"/>
        </w:rPr>
        <w:t xml:space="preserve">The ARCHITECT </w:t>
      </w:r>
      <w:r w:rsidRPr="00FB2A26">
        <w:rPr>
          <w:rFonts w:eastAsia="HelenPro-Regular"/>
          <w:i/>
          <w:iCs/>
        </w:rPr>
        <w:t xml:space="preserve">STAT </w:t>
      </w:r>
      <w:r w:rsidRPr="00FB2A26">
        <w:rPr>
          <w:rFonts w:eastAsia="HelenPro-Regular"/>
        </w:rPr>
        <w:t>Troponin-I ass</w:t>
      </w:r>
      <w:r w:rsidR="00FB2A26">
        <w:rPr>
          <w:rFonts w:eastAsia="HelenPro-Regular"/>
        </w:rPr>
        <w:t xml:space="preserve">ay is a two-step immunoassay to </w:t>
      </w:r>
      <w:r w:rsidRPr="00FB2A26">
        <w:rPr>
          <w:rFonts w:eastAsia="HelenPro-Regular"/>
        </w:rPr>
        <w:t xml:space="preserve">determine the presence of </w:t>
      </w:r>
      <w:proofErr w:type="spellStart"/>
      <w:r w:rsidRPr="00FB2A26">
        <w:rPr>
          <w:rFonts w:eastAsia="HelenPro-Regular"/>
        </w:rPr>
        <w:t>cTnI</w:t>
      </w:r>
      <w:proofErr w:type="spellEnd"/>
      <w:r w:rsidRPr="00FB2A26">
        <w:rPr>
          <w:rFonts w:eastAsia="HelenPro-Regular"/>
        </w:rPr>
        <w:t xml:space="preserve"> in human serum and plasma using CMIA</w:t>
      </w:r>
      <w:r w:rsidR="00FB2A26">
        <w:rPr>
          <w:rFonts w:eastAsia="HelenPro-Regular"/>
        </w:rPr>
        <w:t xml:space="preserve"> </w:t>
      </w:r>
      <w:r w:rsidRPr="00FB2A26">
        <w:rPr>
          <w:rFonts w:eastAsia="HelenPro-Regular"/>
        </w:rPr>
        <w:t xml:space="preserve">technology with flexible assay protocols, referred to as </w:t>
      </w:r>
      <w:proofErr w:type="spellStart"/>
      <w:r w:rsidRPr="00FB2A26">
        <w:rPr>
          <w:rFonts w:eastAsia="HelenPro-Regular"/>
        </w:rPr>
        <w:t>Chemiflex</w:t>
      </w:r>
      <w:proofErr w:type="spellEnd"/>
      <w:r w:rsidRPr="00FB2A26">
        <w:rPr>
          <w:rFonts w:eastAsia="HelenPro-Regular"/>
        </w:rPr>
        <w:t>.</w:t>
      </w:r>
    </w:p>
    <w:p w:rsidR="00377F9C" w:rsidRPr="00FB2A26" w:rsidRDefault="00377F9C" w:rsidP="00377F9C">
      <w:pPr>
        <w:autoSpaceDE w:val="0"/>
        <w:autoSpaceDN w:val="0"/>
        <w:adjustRightInd w:val="0"/>
        <w:rPr>
          <w:rFonts w:eastAsia="HelenPro-Regular"/>
        </w:rPr>
      </w:pPr>
      <w:r w:rsidRPr="00FB2A26">
        <w:rPr>
          <w:rFonts w:eastAsia="HelenPro-Regular"/>
        </w:rPr>
        <w:t xml:space="preserve">In the first step, sample, assay diluent and </w:t>
      </w:r>
      <w:r w:rsidR="00FB2A26">
        <w:rPr>
          <w:rFonts w:eastAsia="HelenPro-Regular"/>
        </w:rPr>
        <w:t xml:space="preserve">anti-troponin-I antibody-coated </w:t>
      </w:r>
      <w:r w:rsidRPr="00FB2A26">
        <w:rPr>
          <w:rFonts w:eastAsia="HelenPro-Regular"/>
        </w:rPr>
        <w:t xml:space="preserve">paramagnetic </w:t>
      </w:r>
      <w:proofErr w:type="spellStart"/>
      <w:r w:rsidRPr="00FB2A26">
        <w:rPr>
          <w:rFonts w:eastAsia="HelenPro-Regular"/>
        </w:rPr>
        <w:t>microparticles</w:t>
      </w:r>
      <w:proofErr w:type="spellEnd"/>
      <w:r w:rsidRPr="00FB2A26">
        <w:rPr>
          <w:rFonts w:eastAsia="HelenPro-Regular"/>
        </w:rPr>
        <w:t xml:space="preserve"> are combined. Troponin-I present in the sample</w:t>
      </w:r>
      <w:r w:rsidR="00FB2A26">
        <w:rPr>
          <w:rFonts w:eastAsia="HelenPro-Regular"/>
        </w:rPr>
        <w:t xml:space="preserve"> </w:t>
      </w:r>
      <w:r w:rsidRPr="00FB2A26">
        <w:rPr>
          <w:rFonts w:eastAsia="HelenPro-Regular"/>
        </w:rPr>
        <w:t xml:space="preserve">binds to the anti-troponin-I coated </w:t>
      </w:r>
      <w:proofErr w:type="spellStart"/>
      <w:r w:rsidRPr="00FB2A26">
        <w:rPr>
          <w:rFonts w:eastAsia="HelenPro-Regular"/>
        </w:rPr>
        <w:t>microparticles</w:t>
      </w:r>
      <w:proofErr w:type="spellEnd"/>
      <w:r w:rsidRPr="00FB2A26">
        <w:rPr>
          <w:rFonts w:eastAsia="HelenPro-Regular"/>
        </w:rPr>
        <w:t>. After incubation and wash,</w:t>
      </w:r>
      <w:r w:rsidR="00FB2A26">
        <w:rPr>
          <w:rFonts w:eastAsia="HelenPro-Regular"/>
        </w:rPr>
        <w:t xml:space="preserve"> </w:t>
      </w:r>
      <w:r w:rsidRPr="00FB2A26">
        <w:rPr>
          <w:rFonts w:eastAsia="HelenPro-Regular"/>
        </w:rPr>
        <w:t xml:space="preserve">anti-troponin-I </w:t>
      </w:r>
      <w:proofErr w:type="spellStart"/>
      <w:r w:rsidRPr="00FB2A26">
        <w:rPr>
          <w:rFonts w:eastAsia="HelenPro-Regular"/>
        </w:rPr>
        <w:t>acridinium</w:t>
      </w:r>
      <w:proofErr w:type="spellEnd"/>
      <w:r w:rsidRPr="00FB2A26">
        <w:rPr>
          <w:rFonts w:eastAsia="HelenPro-Regular"/>
        </w:rPr>
        <w:t>-labeled conjugate is added in the second step.</w:t>
      </w:r>
    </w:p>
    <w:p w:rsidR="00377F9C" w:rsidRPr="00FB2A26" w:rsidRDefault="00377F9C" w:rsidP="00377F9C">
      <w:pPr>
        <w:autoSpaceDE w:val="0"/>
        <w:autoSpaceDN w:val="0"/>
        <w:adjustRightInd w:val="0"/>
        <w:rPr>
          <w:rFonts w:eastAsia="HelenPro-Regular"/>
        </w:rPr>
      </w:pPr>
      <w:r w:rsidRPr="00FB2A26">
        <w:rPr>
          <w:rFonts w:eastAsia="HelenPro-Regular"/>
        </w:rPr>
        <w:t>Following another incubation and wash, pr</w:t>
      </w:r>
      <w:r w:rsidR="00FB2A26">
        <w:rPr>
          <w:rFonts w:eastAsia="HelenPro-Regular"/>
        </w:rPr>
        <w:t xml:space="preserve">e-trigger and trigger solutions </w:t>
      </w:r>
      <w:r w:rsidRPr="00FB2A26">
        <w:rPr>
          <w:rFonts w:eastAsia="HelenPro-Regular"/>
        </w:rPr>
        <w:t xml:space="preserve">are then added to the reaction mixture. The resulting </w:t>
      </w:r>
      <w:proofErr w:type="spellStart"/>
      <w:r w:rsidRPr="00FB2A26">
        <w:rPr>
          <w:rFonts w:eastAsia="HelenPro-Regular"/>
        </w:rPr>
        <w:t>chemiluminescent</w:t>
      </w:r>
      <w:proofErr w:type="spellEnd"/>
      <w:r w:rsidR="00FB2A26">
        <w:rPr>
          <w:rFonts w:eastAsia="HelenPro-Regular"/>
        </w:rPr>
        <w:t xml:space="preserve"> </w:t>
      </w:r>
      <w:r w:rsidRPr="00FB2A26">
        <w:rPr>
          <w:rFonts w:eastAsia="HelenPro-Regular"/>
        </w:rPr>
        <w:t>reaction is measured as relative light units (RLUs). A direct relationship exists</w:t>
      </w:r>
      <w:r w:rsidR="00FB2A26">
        <w:rPr>
          <w:rFonts w:eastAsia="HelenPro-Regular"/>
        </w:rPr>
        <w:t xml:space="preserve"> </w:t>
      </w:r>
      <w:r w:rsidRPr="00FB2A26">
        <w:rPr>
          <w:rFonts w:eastAsia="HelenPro-Regular"/>
        </w:rPr>
        <w:t>between the amount of troponin-I in the sample and the RLUs detected</w:t>
      </w:r>
      <w:r w:rsidR="00FB2A26">
        <w:rPr>
          <w:rFonts w:eastAsia="HelenPro-Regular"/>
        </w:rPr>
        <w:t xml:space="preserve"> </w:t>
      </w:r>
      <w:r w:rsidRPr="00FB2A26">
        <w:rPr>
          <w:rFonts w:eastAsia="HelenPro-Regular"/>
        </w:rPr>
        <w:t xml:space="preserve">by the ARCHITECT </w:t>
      </w:r>
      <w:proofErr w:type="spellStart"/>
      <w:r w:rsidRPr="00FB2A26">
        <w:rPr>
          <w:rFonts w:eastAsia="HelenPro-Regular"/>
          <w:i/>
          <w:iCs/>
        </w:rPr>
        <w:t>i</w:t>
      </w:r>
      <w:proofErr w:type="spellEnd"/>
      <w:r w:rsidRPr="00FB2A26">
        <w:rPr>
          <w:rFonts w:eastAsia="HelenPro-Regular"/>
        </w:rPr>
        <w:t>* System optics. The concentration of troponin-I is</w:t>
      </w:r>
      <w:r w:rsidR="00FB2A26">
        <w:rPr>
          <w:rFonts w:eastAsia="HelenPro-Regular"/>
        </w:rPr>
        <w:t xml:space="preserve"> </w:t>
      </w:r>
      <w:r w:rsidRPr="00FB2A26">
        <w:rPr>
          <w:rFonts w:eastAsia="HelenPro-Regular"/>
        </w:rPr>
        <w:t>read relative to a standard curve established with calibrators of known</w:t>
      </w:r>
      <w:r w:rsidR="00FB2A26">
        <w:rPr>
          <w:rFonts w:eastAsia="HelenPro-Regular"/>
        </w:rPr>
        <w:t xml:space="preserve"> </w:t>
      </w:r>
      <w:r w:rsidRPr="00FB2A26">
        <w:rPr>
          <w:rFonts w:eastAsia="HelenPro-Regular"/>
        </w:rPr>
        <w:t>troponin-I concentrations.</w:t>
      </w:r>
    </w:p>
    <w:p w:rsidR="00377F9C" w:rsidRPr="00FB2A26" w:rsidRDefault="00377F9C" w:rsidP="00377F9C">
      <w:pPr>
        <w:autoSpaceDE w:val="0"/>
        <w:autoSpaceDN w:val="0"/>
        <w:adjustRightInd w:val="0"/>
        <w:rPr>
          <w:rFonts w:eastAsia="HelenPro-Regular"/>
        </w:rPr>
      </w:pPr>
      <w:r w:rsidRPr="00FB2A26">
        <w:rPr>
          <w:rFonts w:eastAsia="HelenPro-Regular"/>
        </w:rPr>
        <w:t>For additional information on system and</w:t>
      </w:r>
      <w:r w:rsidR="00FB2A26">
        <w:rPr>
          <w:rFonts w:eastAsia="HelenPro-Regular"/>
        </w:rPr>
        <w:t xml:space="preserve"> assay technology, refer to the </w:t>
      </w:r>
      <w:r w:rsidRPr="00FB2A26">
        <w:rPr>
          <w:rFonts w:eastAsia="HelenPro-Regular"/>
        </w:rPr>
        <w:t>ARCHITECT System Operations Manual, Section 3.</w:t>
      </w:r>
    </w:p>
    <w:p w:rsidR="00EE5F21" w:rsidRPr="00FB2A26" w:rsidRDefault="00377F9C" w:rsidP="00377F9C">
      <w:pPr>
        <w:autoSpaceDE w:val="0"/>
        <w:autoSpaceDN w:val="0"/>
        <w:adjustRightInd w:val="0"/>
        <w:rPr>
          <w:rFonts w:eastAsia="HelenPro-Regular"/>
        </w:rPr>
      </w:pPr>
      <w:r w:rsidRPr="00FB2A26">
        <w:rPr>
          <w:rFonts w:eastAsia="HelenPro-Regular"/>
        </w:rPr>
        <w:t xml:space="preserve">* </w:t>
      </w:r>
      <w:proofErr w:type="spellStart"/>
      <w:r w:rsidRPr="00FB2A26">
        <w:rPr>
          <w:rFonts w:eastAsia="HelenPro-Regular"/>
          <w:i/>
          <w:iCs/>
        </w:rPr>
        <w:t>i</w:t>
      </w:r>
      <w:proofErr w:type="spellEnd"/>
      <w:r w:rsidRPr="00FB2A26">
        <w:rPr>
          <w:rFonts w:eastAsia="HelenPro-Regular"/>
          <w:i/>
          <w:iCs/>
        </w:rPr>
        <w:t xml:space="preserve"> </w:t>
      </w:r>
      <w:r w:rsidRPr="00FB2A26">
        <w:rPr>
          <w:rFonts w:eastAsia="HelenPro-Regular"/>
        </w:rPr>
        <w:t>= immunoassay</w:t>
      </w:r>
    </w:p>
    <w:p w:rsidR="0026243F" w:rsidRPr="00DB0E90" w:rsidRDefault="0026243F" w:rsidP="008A7F96">
      <w:pPr>
        <w:jc w:val="both"/>
        <w:rPr>
          <w:b/>
        </w:rPr>
      </w:pPr>
    </w:p>
    <w:p w:rsidR="006559EB" w:rsidRDefault="006559EB" w:rsidP="006559EB">
      <w:pPr>
        <w:rPr>
          <w:b/>
        </w:rPr>
      </w:pPr>
      <w:r w:rsidRPr="00DC467D">
        <w:rPr>
          <w:b/>
        </w:rPr>
        <w:t>Specimen Collection and Handling</w:t>
      </w:r>
      <w:r w:rsidR="00D60AFA" w:rsidRPr="00DC467D">
        <w:rPr>
          <w:b/>
        </w:rPr>
        <w:t xml:space="preserve"> </w:t>
      </w:r>
    </w:p>
    <w:p w:rsidR="000755A2" w:rsidRPr="00DC467D" w:rsidRDefault="000755A2" w:rsidP="006559EB">
      <w:pPr>
        <w:rPr>
          <w:b/>
        </w:rPr>
      </w:pPr>
      <w:r>
        <w:rPr>
          <w:noProof/>
        </w:rPr>
        <w:drawing>
          <wp:inline distT="0" distB="0" distL="0" distR="0" wp14:anchorId="43D92072" wp14:editId="01E8DED1">
            <wp:extent cx="3514725" cy="714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4725" cy="714375"/>
                    </a:xfrm>
                    <a:prstGeom prst="rect">
                      <a:avLst/>
                    </a:prstGeom>
                  </pic:spPr>
                </pic:pic>
              </a:graphicData>
            </a:graphic>
          </wp:inline>
        </w:drawing>
      </w:r>
    </w:p>
    <w:p w:rsidR="00377F9C" w:rsidRP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For serum specimens, ensure that co</w:t>
      </w:r>
      <w:r w:rsidR="00FB2A26">
        <w:rPr>
          <w:rFonts w:eastAsia="HelenPro-Regular"/>
        </w:rPr>
        <w:t xml:space="preserve">mplete clot formation has taken </w:t>
      </w:r>
      <w:r w:rsidRPr="00FB2A26">
        <w:rPr>
          <w:rFonts w:eastAsia="HelenPro-Regular"/>
        </w:rPr>
        <w:t>place prior to centrifugation. Some specimens, especially those from</w:t>
      </w:r>
      <w:r w:rsidR="00FB2A26">
        <w:rPr>
          <w:rFonts w:eastAsia="HelenPro-Regular"/>
        </w:rPr>
        <w:t xml:space="preserve"> </w:t>
      </w:r>
      <w:r w:rsidRPr="00FB2A26">
        <w:rPr>
          <w:rFonts w:eastAsia="HelenPro-Regular"/>
        </w:rPr>
        <w:t>patients receiving anticoagulant or thrombolytic therapy, may exhibit</w:t>
      </w:r>
      <w:r w:rsidR="00FB2A26">
        <w:rPr>
          <w:rFonts w:eastAsia="HelenPro-Regular"/>
        </w:rPr>
        <w:t xml:space="preserve"> </w:t>
      </w:r>
      <w:r w:rsidRPr="00FB2A26">
        <w:rPr>
          <w:rFonts w:eastAsia="HelenPro-Regular"/>
        </w:rPr>
        <w:t>increased clotting times. If the specimen is centrifuged before complete</w:t>
      </w:r>
      <w:r w:rsidR="00FB2A26">
        <w:rPr>
          <w:rFonts w:eastAsia="HelenPro-Regular"/>
        </w:rPr>
        <w:t xml:space="preserve"> </w:t>
      </w:r>
      <w:r w:rsidRPr="00FB2A26">
        <w:rPr>
          <w:rFonts w:eastAsia="HelenPro-Regular"/>
        </w:rPr>
        <w:t>clot formation, the presence of fibrin may cause erroneous results.</w:t>
      </w:r>
    </w:p>
    <w:p w:rsidR="000755A2" w:rsidRDefault="000755A2" w:rsidP="00377F9C">
      <w:pPr>
        <w:autoSpaceDE w:val="0"/>
        <w:autoSpaceDN w:val="0"/>
        <w:adjustRightInd w:val="0"/>
        <w:rPr>
          <w:rFonts w:eastAsia="HelenPro-Bold"/>
          <w:b/>
          <w:bCs/>
        </w:rPr>
      </w:pPr>
      <w:r>
        <w:rPr>
          <w:noProof/>
        </w:rPr>
        <w:drawing>
          <wp:inline distT="0" distB="0" distL="0" distR="0" wp14:anchorId="7331040A" wp14:editId="12FEB63C">
            <wp:extent cx="356235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2350" cy="428625"/>
                    </a:xfrm>
                    <a:prstGeom prst="rect">
                      <a:avLst/>
                    </a:prstGeom>
                  </pic:spPr>
                </pic:pic>
              </a:graphicData>
            </a:graphic>
          </wp:inline>
        </w:drawing>
      </w:r>
    </w:p>
    <w:p w:rsidR="00483F7A" w:rsidRP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When serial specimens are being evaluated, use the same specimen</w:t>
      </w:r>
      <w:r w:rsidR="00FB2A26">
        <w:rPr>
          <w:rFonts w:eastAsia="HelenPro-Regular"/>
        </w:rPr>
        <w:t xml:space="preserve"> </w:t>
      </w:r>
      <w:r w:rsidRPr="00FB2A26">
        <w:rPr>
          <w:rFonts w:eastAsia="HelenPro-Regular"/>
        </w:rPr>
        <w:t>type throughout the evaluation.</w:t>
      </w:r>
    </w:p>
    <w:p w:rsidR="00377F9C" w:rsidRPr="00FB2A26" w:rsidRDefault="00377F9C" w:rsidP="00377F9C">
      <w:pPr>
        <w:autoSpaceDE w:val="0"/>
        <w:autoSpaceDN w:val="0"/>
        <w:adjustRightInd w:val="0"/>
        <w:rPr>
          <w:rFonts w:eastAsia="HelenPro-Regular"/>
        </w:rPr>
      </w:pPr>
    </w:p>
    <w:p w:rsidR="00377F9C" w:rsidRPr="00FB2A26" w:rsidRDefault="00377F9C" w:rsidP="00377F9C">
      <w:pPr>
        <w:autoSpaceDE w:val="0"/>
        <w:autoSpaceDN w:val="0"/>
        <w:adjustRightInd w:val="0"/>
        <w:rPr>
          <w:rFonts w:eastAsia="HelenPro-Regular"/>
        </w:rPr>
      </w:pPr>
      <w:r w:rsidRPr="00FB2A26">
        <w:rPr>
          <w:rFonts w:eastAsia="HelenPro-Regular"/>
        </w:rPr>
        <w:t xml:space="preserve">Do not use: </w:t>
      </w:r>
    </w:p>
    <w:p w:rsidR="00377F9C" w:rsidRPr="00FB2A26" w:rsidRDefault="00377F9C" w:rsidP="00377F9C">
      <w:pPr>
        <w:autoSpaceDE w:val="0"/>
        <w:autoSpaceDN w:val="0"/>
        <w:adjustRightInd w:val="0"/>
        <w:rPr>
          <w:rFonts w:eastAsia="HelenPro-Regular"/>
        </w:rPr>
      </w:pPr>
      <w:r w:rsidRPr="00FB2A26">
        <w:rPr>
          <w:rFonts w:eastAsia="HelenPro-Bold"/>
          <w:b/>
          <w:bCs/>
        </w:rPr>
        <w:lastRenderedPageBreak/>
        <w:t xml:space="preserve">• </w:t>
      </w:r>
      <w:r w:rsidRPr="00FB2A26">
        <w:rPr>
          <w:rFonts w:eastAsia="HelenPro-Regular"/>
        </w:rPr>
        <w:t>heat-inactivated specimens.</w:t>
      </w:r>
    </w:p>
    <w:p w:rsidR="00377F9C" w:rsidRP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samples with obvious microbial contamination.</w:t>
      </w:r>
    </w:p>
    <w:p w:rsidR="00377F9C" w:rsidRP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cadaver specimens or body fluids other than human heparinized plasma or serum.</w:t>
      </w:r>
    </w:p>
    <w:p w:rsidR="000B1BE6" w:rsidRPr="00FB2A26" w:rsidRDefault="000B1BE6" w:rsidP="000B1BE6">
      <w:pPr>
        <w:autoSpaceDE w:val="0"/>
        <w:autoSpaceDN w:val="0"/>
        <w:adjustRightInd w:val="0"/>
        <w:rPr>
          <w:rFonts w:eastAsia="HelenPro-Regular"/>
        </w:rPr>
      </w:pPr>
    </w:p>
    <w:p w:rsidR="00C661EB" w:rsidRPr="00FB2A26" w:rsidRDefault="00B574F0" w:rsidP="000B1BE6">
      <w:pPr>
        <w:autoSpaceDE w:val="0"/>
        <w:autoSpaceDN w:val="0"/>
        <w:adjustRightInd w:val="0"/>
        <w:rPr>
          <w:rFonts w:eastAsia="HelenPro-Regular"/>
        </w:rPr>
      </w:pPr>
      <w:r w:rsidRPr="00FB2A26">
        <w:rPr>
          <w:rFonts w:eastAsia="HelenPro-Regular"/>
        </w:rPr>
        <w:t>For optimal results, serum and plasma specimens should be free of fibrin, red blood cells or other particulate matter.</w:t>
      </w:r>
    </w:p>
    <w:p w:rsidR="00B574F0" w:rsidRPr="00FB2A26" w:rsidRDefault="00B574F0" w:rsidP="00C661EB">
      <w:pPr>
        <w:autoSpaceDE w:val="0"/>
        <w:autoSpaceDN w:val="0"/>
        <w:adjustRightInd w:val="0"/>
        <w:rPr>
          <w:rFonts w:eastAsia="HelenPro-Bold"/>
          <w:b/>
          <w:bCs/>
        </w:rPr>
      </w:pPr>
    </w:p>
    <w:p w:rsidR="00C661EB" w:rsidRDefault="00C661EB" w:rsidP="00C661EB">
      <w:pPr>
        <w:autoSpaceDE w:val="0"/>
        <w:autoSpaceDN w:val="0"/>
        <w:adjustRightInd w:val="0"/>
        <w:rPr>
          <w:rFonts w:eastAsia="HelenPro-Bold"/>
          <w:b/>
          <w:bCs/>
        </w:rPr>
      </w:pPr>
      <w:r w:rsidRPr="00FB2A26">
        <w:rPr>
          <w:rFonts w:eastAsia="HelenPro-Bold"/>
          <w:b/>
          <w:bCs/>
        </w:rPr>
        <w:t>Storage</w:t>
      </w:r>
    </w:p>
    <w:p w:rsidR="000755A2" w:rsidRPr="00FB2A26" w:rsidRDefault="000755A2" w:rsidP="00C661EB">
      <w:pPr>
        <w:autoSpaceDE w:val="0"/>
        <w:autoSpaceDN w:val="0"/>
        <w:adjustRightInd w:val="0"/>
        <w:rPr>
          <w:rFonts w:eastAsia="HelenPro-Bold"/>
          <w:b/>
          <w:bCs/>
        </w:rPr>
      </w:pPr>
      <w:r>
        <w:rPr>
          <w:noProof/>
        </w:rPr>
        <w:drawing>
          <wp:inline distT="0" distB="0" distL="0" distR="0" wp14:anchorId="16B36985" wp14:editId="4E7A9C0C">
            <wp:extent cx="354330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3300" cy="885825"/>
                    </a:xfrm>
                    <a:prstGeom prst="rect">
                      <a:avLst/>
                    </a:prstGeom>
                  </pic:spPr>
                </pic:pic>
              </a:graphicData>
            </a:graphic>
          </wp:inline>
        </w:drawing>
      </w:r>
    </w:p>
    <w:p w:rsidR="00377F9C" w:rsidRPr="00FB2A26" w:rsidRDefault="00377F9C" w:rsidP="00377F9C">
      <w:pPr>
        <w:autoSpaceDE w:val="0"/>
        <w:autoSpaceDN w:val="0"/>
        <w:adjustRightInd w:val="0"/>
        <w:rPr>
          <w:rFonts w:eastAsia="HelenPro-Regular"/>
        </w:rPr>
      </w:pPr>
      <w:r w:rsidRPr="00FB2A26">
        <w:rPr>
          <w:rFonts w:eastAsia="HelenPro-Regular"/>
        </w:rPr>
        <w:t>Test all samples (patient specimens, cont</w:t>
      </w:r>
      <w:r w:rsidR="00FB2A26">
        <w:rPr>
          <w:rFonts w:eastAsia="HelenPro-Regular"/>
        </w:rPr>
        <w:t xml:space="preserve">rols, and calibrators) within 3 </w:t>
      </w:r>
      <w:r w:rsidRPr="00FB2A26">
        <w:rPr>
          <w:rFonts w:eastAsia="HelenPro-Regular"/>
        </w:rPr>
        <w:t xml:space="preserve">hours of being placed on board the ARCHITECT </w:t>
      </w:r>
      <w:proofErr w:type="spellStart"/>
      <w:r w:rsidRPr="00FB2A26">
        <w:rPr>
          <w:rFonts w:eastAsia="HelenPro-Regular"/>
          <w:i/>
          <w:iCs/>
        </w:rPr>
        <w:t>i</w:t>
      </w:r>
      <w:proofErr w:type="spellEnd"/>
      <w:r w:rsidRPr="00FB2A26">
        <w:rPr>
          <w:rFonts w:eastAsia="HelenPro-Regular"/>
          <w:i/>
          <w:iCs/>
        </w:rPr>
        <w:t xml:space="preserve"> </w:t>
      </w:r>
      <w:r w:rsidRPr="00FB2A26">
        <w:rPr>
          <w:rFonts w:eastAsia="HelenPro-Regular"/>
        </w:rPr>
        <w:t>System. Refer to the</w:t>
      </w:r>
      <w:r w:rsidR="00FB2A26">
        <w:rPr>
          <w:rFonts w:eastAsia="HelenPro-Regular"/>
        </w:rPr>
        <w:t xml:space="preserve"> </w:t>
      </w:r>
      <w:r w:rsidRPr="00FB2A26">
        <w:rPr>
          <w:rFonts w:eastAsia="HelenPro-Regular"/>
        </w:rPr>
        <w:t>ARCHITECT System Operations Manual, Section 5, for a more detailed</w:t>
      </w:r>
      <w:r w:rsidR="00FB2A26">
        <w:rPr>
          <w:rFonts w:eastAsia="HelenPro-Regular"/>
        </w:rPr>
        <w:t xml:space="preserve"> </w:t>
      </w:r>
      <w:r w:rsidRPr="00FB2A26">
        <w:rPr>
          <w:rFonts w:eastAsia="HelenPro-Regular"/>
        </w:rPr>
        <w:t>discussion of on-board sample storage constraints.</w:t>
      </w:r>
    </w:p>
    <w:p w:rsid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If testing will be delayed more tha</w:t>
      </w:r>
      <w:r w:rsidR="00FB2A26">
        <w:rPr>
          <w:rFonts w:eastAsia="HelenPro-Regular"/>
        </w:rPr>
        <w:t xml:space="preserve">n 8 hours, remove the plasma or </w:t>
      </w:r>
      <w:r w:rsidRPr="00FB2A26">
        <w:rPr>
          <w:rFonts w:eastAsia="HelenPro-Regular"/>
        </w:rPr>
        <w:t>serum from the cells, clot, or gel. Specimens removed from the cells,</w:t>
      </w:r>
      <w:r w:rsidR="00FB2A26">
        <w:rPr>
          <w:rFonts w:eastAsia="HelenPro-Regular"/>
        </w:rPr>
        <w:t xml:space="preserve"> </w:t>
      </w:r>
      <w:r w:rsidRPr="00FB2A26">
        <w:rPr>
          <w:rFonts w:eastAsia="HelenPro-Regular"/>
        </w:rPr>
        <w:t>clot, or gel may be stored up to 72 hours at 2-8°C or stored frozen</w:t>
      </w:r>
      <w:r w:rsidR="00FB2A26">
        <w:rPr>
          <w:rFonts w:eastAsia="HelenPro-Regular"/>
        </w:rPr>
        <w:t xml:space="preserve"> </w:t>
      </w:r>
    </w:p>
    <w:p w:rsidR="00377F9C" w:rsidRPr="00FB2A26" w:rsidRDefault="00377F9C" w:rsidP="00377F9C">
      <w:pPr>
        <w:autoSpaceDE w:val="0"/>
        <w:autoSpaceDN w:val="0"/>
        <w:adjustRightInd w:val="0"/>
        <w:rPr>
          <w:rFonts w:eastAsia="HelenPro-Regular"/>
        </w:rPr>
      </w:pPr>
      <w:r w:rsidRPr="00FB2A26">
        <w:rPr>
          <w:rFonts w:eastAsia="HelenPro-Regular"/>
        </w:rPr>
        <w:t>(-10°C or colder) prior to being tested.</w:t>
      </w:r>
    </w:p>
    <w:p w:rsidR="00C818CA" w:rsidRPr="00FB2A26" w:rsidRDefault="00377F9C" w:rsidP="00377F9C">
      <w:pPr>
        <w:autoSpaceDE w:val="0"/>
        <w:autoSpaceDN w:val="0"/>
        <w:adjustRightInd w:val="0"/>
        <w:rPr>
          <w:rFonts w:eastAsia="HelenPro-Regular"/>
        </w:rPr>
      </w:pPr>
      <w:r w:rsidRPr="00FB2A26">
        <w:rPr>
          <w:rFonts w:eastAsia="HelenPro-Bold"/>
          <w:b/>
          <w:bCs/>
        </w:rPr>
        <w:t xml:space="preserve">• </w:t>
      </w:r>
      <w:r w:rsidRPr="00FB2A26">
        <w:rPr>
          <w:rFonts w:eastAsia="HelenPro-Regular"/>
        </w:rPr>
        <w:t>Specimens can be stored up to 30 days frozen at -10°C or colder.</w:t>
      </w:r>
    </w:p>
    <w:p w:rsidR="00DC467D" w:rsidRDefault="00DC467D" w:rsidP="00AE6F5B">
      <w:pPr>
        <w:rPr>
          <w:b/>
          <w:sz w:val="28"/>
          <w:szCs w:val="28"/>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t>MATERIALS PROVIDED</w:t>
      </w:r>
    </w:p>
    <w:p w:rsidR="00F7103F" w:rsidRPr="00B32651" w:rsidRDefault="00F7103F" w:rsidP="00F7103F"/>
    <w:p w:rsidR="00DC467D" w:rsidRPr="00377F9C" w:rsidRDefault="00377F9C" w:rsidP="00973EAF">
      <w:pPr>
        <w:ind w:firstLine="720"/>
        <w:rPr>
          <w:b/>
        </w:rPr>
      </w:pPr>
      <w:r w:rsidRPr="00377F9C">
        <w:rPr>
          <w:rFonts w:eastAsia="HelenPro-Regular"/>
        </w:rPr>
        <w:t xml:space="preserve">2K41 ARCHITECT </w:t>
      </w:r>
      <w:r w:rsidRPr="00377F9C">
        <w:rPr>
          <w:rFonts w:eastAsia="HelenPro-Regular"/>
          <w:i/>
          <w:iCs/>
        </w:rPr>
        <w:t xml:space="preserve">STAT </w:t>
      </w:r>
      <w:r w:rsidRPr="00377F9C">
        <w:rPr>
          <w:rFonts w:eastAsia="HelenPro-Regular"/>
        </w:rPr>
        <w:t>Troponin-I Reagent Kit</w:t>
      </w:r>
    </w:p>
    <w:p w:rsidR="00377F9C" w:rsidRDefault="00377F9C" w:rsidP="00973EAF">
      <w:pPr>
        <w:ind w:firstLine="720"/>
        <w:rPr>
          <w:b/>
        </w:rPr>
      </w:pPr>
    </w:p>
    <w:p w:rsidR="00F7103F" w:rsidRPr="00F7103F" w:rsidRDefault="00F7103F" w:rsidP="00973EAF">
      <w:pPr>
        <w:ind w:firstLine="720"/>
        <w:rPr>
          <w:b/>
        </w:rPr>
      </w:pPr>
      <w:r w:rsidRPr="00F7103F">
        <w:rPr>
          <w:b/>
        </w:rPr>
        <w:t>MATERIALS REQUIRED BUT NOT PROVIDED</w:t>
      </w:r>
    </w:p>
    <w:p w:rsidR="000755A2" w:rsidRPr="000755A2" w:rsidRDefault="000755A2" w:rsidP="000755A2">
      <w:pPr>
        <w:autoSpaceDE w:val="0"/>
        <w:autoSpaceDN w:val="0"/>
        <w:adjustRightInd w:val="0"/>
        <w:rPr>
          <w:rFonts w:eastAsia="HelenPro-Regular"/>
        </w:rPr>
      </w:pPr>
      <w:r w:rsidRPr="000755A2">
        <w:rPr>
          <w:rFonts w:eastAsia="HelenPro-Bold"/>
          <w:b/>
          <w:bCs/>
        </w:rPr>
        <w:t xml:space="preserve">• </w:t>
      </w:r>
      <w:r w:rsidRPr="000755A2">
        <w:rPr>
          <w:rFonts w:eastAsia="HelenPro-Regular"/>
        </w:rPr>
        <w:t>ARCHITECT STAT Trop</w:t>
      </w:r>
      <w:r>
        <w:rPr>
          <w:rFonts w:eastAsia="HelenPro-Regular"/>
        </w:rPr>
        <w:t xml:space="preserve">onin-I Assay file obtained from </w:t>
      </w:r>
      <w:r w:rsidRPr="000755A2">
        <w:rPr>
          <w:rFonts w:eastAsia="HelenPro-Regular"/>
        </w:rPr>
        <w:t xml:space="preserve">the ARCHITECT </w:t>
      </w:r>
      <w:proofErr w:type="spellStart"/>
      <w:r w:rsidRPr="000755A2">
        <w:rPr>
          <w:rFonts w:eastAsia="HelenPro-Regular"/>
        </w:rPr>
        <w:t>iSystem</w:t>
      </w:r>
      <w:proofErr w:type="spellEnd"/>
      <w:r w:rsidRPr="000755A2">
        <w:rPr>
          <w:rFonts w:eastAsia="HelenPro-Regular"/>
        </w:rPr>
        <w:t xml:space="preserve"> e-Assay CD-ROM found on</w:t>
      </w:r>
      <w:r>
        <w:rPr>
          <w:rFonts w:eastAsia="HelenPro-Regular"/>
        </w:rPr>
        <w:t xml:space="preserve"> </w:t>
      </w:r>
      <w:hyperlink r:id="rId13" w:history="1">
        <w:r w:rsidRPr="000755A2">
          <w:rPr>
            <w:rStyle w:val="Hyperlink"/>
            <w:rFonts w:eastAsia="HelenPro-Regular"/>
          </w:rPr>
          <w:t>www.abbottdiagnostics.com</w:t>
        </w:r>
      </w:hyperlink>
      <w:r>
        <w:rPr>
          <w:rFonts w:ascii="HelenPro-Regular" w:eastAsia="HelenPro-Regular" w:cs="HelenPro-Regular"/>
          <w:sz w:val="17"/>
          <w:szCs w:val="17"/>
        </w:rPr>
        <w:t>.</w:t>
      </w:r>
    </w:p>
    <w:p w:rsidR="00377F9C" w:rsidRPr="00377F9C" w:rsidRDefault="00B574F0" w:rsidP="000755A2">
      <w:pPr>
        <w:autoSpaceDE w:val="0"/>
        <w:autoSpaceDN w:val="0"/>
        <w:adjustRightInd w:val="0"/>
        <w:rPr>
          <w:rFonts w:eastAsia="HelenPro-Regular"/>
        </w:rPr>
      </w:pPr>
      <w:r w:rsidRPr="002465E6">
        <w:rPr>
          <w:rFonts w:eastAsia="HelenPro-Bold"/>
          <w:b/>
          <w:bCs/>
        </w:rPr>
        <w:t>•</w:t>
      </w:r>
      <w:r w:rsidRPr="002465E6">
        <w:rPr>
          <w:rFonts w:eastAsia="HelenPro-Regular"/>
        </w:rPr>
        <w:t xml:space="preserve"> </w:t>
      </w:r>
      <w:r w:rsidR="00377F9C" w:rsidRPr="00377F9C">
        <w:rPr>
          <w:rFonts w:eastAsia="HelenPro-Regular"/>
        </w:rPr>
        <w:t xml:space="preserve">2K41-01 ARCHITECT </w:t>
      </w:r>
      <w:r w:rsidR="00377F9C" w:rsidRPr="00377F9C">
        <w:rPr>
          <w:rFonts w:eastAsia="HelenPro-Regular"/>
          <w:i/>
          <w:iCs/>
        </w:rPr>
        <w:t xml:space="preserve">STAT </w:t>
      </w:r>
      <w:r w:rsidR="00377F9C" w:rsidRPr="00377F9C">
        <w:rPr>
          <w:rFonts w:eastAsia="HelenPro-Regular"/>
        </w:rPr>
        <w:t>Troponin-I Calibrators</w:t>
      </w:r>
    </w:p>
    <w:p w:rsidR="00A54DD8" w:rsidRPr="00377F9C" w:rsidRDefault="00377F9C" w:rsidP="00377F9C">
      <w:pPr>
        <w:autoSpaceDE w:val="0"/>
        <w:autoSpaceDN w:val="0"/>
        <w:adjustRightInd w:val="0"/>
        <w:rPr>
          <w:rFonts w:eastAsia="HelenPro-Regular"/>
        </w:rPr>
      </w:pPr>
      <w:r w:rsidRPr="00377F9C">
        <w:rPr>
          <w:rFonts w:eastAsia="HelenPro-Bold"/>
          <w:b/>
          <w:bCs/>
        </w:rPr>
        <w:t xml:space="preserve">• </w:t>
      </w:r>
      <w:r w:rsidRPr="00377F9C">
        <w:rPr>
          <w:rFonts w:eastAsia="HelenPro-Regular"/>
        </w:rPr>
        <w:t xml:space="preserve">2K41-10 ARCHITECT </w:t>
      </w:r>
      <w:r w:rsidRPr="00377F9C">
        <w:rPr>
          <w:rFonts w:eastAsia="HelenPro-Regular"/>
          <w:i/>
          <w:iCs/>
        </w:rPr>
        <w:t xml:space="preserve">STAT </w:t>
      </w:r>
      <w:r w:rsidRPr="00377F9C">
        <w:rPr>
          <w:rFonts w:eastAsia="HelenPro-Regular"/>
        </w:rPr>
        <w:t>Troponin-I Controls</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0755A2">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Default="00F7103F" w:rsidP="00F71F72">
      <w:pPr>
        <w:pStyle w:val="ListParagraph"/>
        <w:numPr>
          <w:ilvl w:val="0"/>
          <w:numId w:val="3"/>
        </w:numPr>
        <w:rPr>
          <w:rFonts w:eastAsia="HelenPro-Regular"/>
        </w:rPr>
      </w:pPr>
      <w:r w:rsidRPr="00B54C79">
        <w:rPr>
          <w:rFonts w:eastAsia="HelenPro-Regular"/>
        </w:rPr>
        <w:lastRenderedPageBreak/>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4A03BD" w:rsidRDefault="00F7103F" w:rsidP="00DC16C5">
      <w:pPr>
        <w:rPr>
          <w:rFonts w:eastAsia="HelenPro-Regular"/>
        </w:rPr>
      </w:pPr>
      <w:r w:rsidRPr="00F7103F">
        <w:rPr>
          <w:rFonts w:eastAsia="HelenPro-Regular"/>
        </w:rPr>
        <w:t>It is recommended that all human sourced materials be considered</w:t>
      </w:r>
      <w:r w:rsidR="00EB528B">
        <w:rPr>
          <w:rFonts w:eastAsia="HelenPro-Regular"/>
        </w:rPr>
        <w:t xml:space="preserve"> </w:t>
      </w:r>
      <w:r w:rsidRPr="00F7103F">
        <w:rPr>
          <w:rFonts w:eastAsia="HelenPro-Regular"/>
        </w:rPr>
        <w:t>potentially infectious and be handled in accordance with the OSHA</w:t>
      </w:r>
      <w:r w:rsidR="00EB528B">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EE5F21" w:rsidRDefault="000755A2" w:rsidP="0038442D">
      <w:pPr>
        <w:autoSpaceDE w:val="0"/>
        <w:autoSpaceDN w:val="0"/>
        <w:adjustRightInd w:val="0"/>
        <w:rPr>
          <w:rFonts w:eastAsia="HelenPro-Bold"/>
          <w:b/>
          <w:bCs/>
        </w:rPr>
      </w:pPr>
      <w:r>
        <w:rPr>
          <w:noProof/>
        </w:rPr>
        <w:drawing>
          <wp:inline distT="0" distB="0" distL="0" distR="0" wp14:anchorId="0F4405E4" wp14:editId="49209645">
            <wp:extent cx="3476625" cy="3581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6625" cy="3581400"/>
                    </a:xfrm>
                    <a:prstGeom prst="rect">
                      <a:avLst/>
                    </a:prstGeom>
                  </pic:spPr>
                </pic:pic>
              </a:graphicData>
            </a:graphic>
          </wp:inline>
        </w:drawing>
      </w:r>
    </w:p>
    <w:p w:rsidR="000B1BE6" w:rsidRDefault="000B1BE6"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F71F72">
      <w:pPr>
        <w:pStyle w:val="ListParagraph"/>
        <w:numPr>
          <w:ilvl w:val="0"/>
          <w:numId w:val="3"/>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F71F72">
      <w:pPr>
        <w:pStyle w:val="ListParagraph"/>
        <w:numPr>
          <w:ilvl w:val="0"/>
          <w:numId w:val="3"/>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F71F72">
      <w:pPr>
        <w:pStyle w:val="ListParagraph"/>
        <w:numPr>
          <w:ilvl w:val="0"/>
          <w:numId w:val="3"/>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F71F72">
      <w:pPr>
        <w:pStyle w:val="ListParagraph"/>
        <w:numPr>
          <w:ilvl w:val="0"/>
          <w:numId w:val="3"/>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F71F72">
      <w:pPr>
        <w:pStyle w:val="ListParagraph"/>
        <w:numPr>
          <w:ilvl w:val="0"/>
          <w:numId w:val="3"/>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F71F72">
      <w:pPr>
        <w:pStyle w:val="ListParagraph"/>
        <w:numPr>
          <w:ilvl w:val="0"/>
          <w:numId w:val="3"/>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F71F72">
      <w:pPr>
        <w:pStyle w:val="ListParagraph"/>
        <w:numPr>
          <w:ilvl w:val="0"/>
          <w:numId w:val="3"/>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F71F72">
      <w:pPr>
        <w:pStyle w:val="ListParagraph"/>
        <w:numPr>
          <w:ilvl w:val="0"/>
          <w:numId w:val="3"/>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FB2A26" w:rsidRDefault="00FB2A26" w:rsidP="0044368A">
      <w:pPr>
        <w:autoSpaceDE w:val="0"/>
        <w:autoSpaceDN w:val="0"/>
        <w:adjustRightInd w:val="0"/>
        <w:ind w:firstLine="36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0755A2" w:rsidRDefault="000755A2" w:rsidP="0044368A">
      <w:pPr>
        <w:autoSpaceDE w:val="0"/>
        <w:autoSpaceDN w:val="0"/>
        <w:adjustRightInd w:val="0"/>
        <w:ind w:firstLine="360"/>
        <w:rPr>
          <w:rFonts w:eastAsia="HelenPro-Bold"/>
          <w:b/>
          <w:bCs/>
        </w:rPr>
      </w:pPr>
      <w:r>
        <w:rPr>
          <w:noProof/>
        </w:rPr>
        <w:drawing>
          <wp:inline distT="0" distB="0" distL="0" distR="0" wp14:anchorId="42670E1C" wp14:editId="646EF384">
            <wp:extent cx="3476625" cy="2009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76625" cy="2009775"/>
                    </a:xfrm>
                    <a:prstGeom prst="rect">
                      <a:avLst/>
                    </a:prstGeom>
                  </pic:spPr>
                </pic:pic>
              </a:graphicData>
            </a:graphic>
          </wp:inline>
        </w:drawing>
      </w:r>
    </w:p>
    <w:p w:rsidR="005765EB" w:rsidRPr="00DC467D" w:rsidRDefault="00C818CA" w:rsidP="00F71F72">
      <w:pPr>
        <w:pStyle w:val="ListParagraph"/>
        <w:numPr>
          <w:ilvl w:val="0"/>
          <w:numId w:val="8"/>
        </w:numPr>
        <w:autoSpaceDE w:val="0"/>
        <w:autoSpaceDN w:val="0"/>
        <w:adjustRightInd w:val="0"/>
        <w:rPr>
          <w:rFonts w:eastAsia="HelenPro-Regular"/>
        </w:rPr>
      </w:pPr>
      <w:r w:rsidRPr="00DC467D">
        <w:rPr>
          <w:rFonts w:eastAsia="HelenPro-Regular"/>
        </w:rPr>
        <w:t xml:space="preserve">The ARCHITECT </w:t>
      </w:r>
      <w:r w:rsidR="00981E26" w:rsidRPr="00FB2A26">
        <w:rPr>
          <w:rFonts w:eastAsia="HelenPro-Regular"/>
          <w:i/>
          <w:iCs/>
        </w:rPr>
        <w:t xml:space="preserve">STAT </w:t>
      </w:r>
      <w:r w:rsidR="00981E26" w:rsidRPr="00FB2A26">
        <w:rPr>
          <w:rFonts w:eastAsia="HelenPro-Regular"/>
        </w:rPr>
        <w:t xml:space="preserve">Troponin-I </w:t>
      </w:r>
      <w:r w:rsidRPr="00DC467D">
        <w:rPr>
          <w:rFonts w:eastAsia="HelenPro-Regular"/>
        </w:rPr>
        <w:t>Reagent Kit may be stored on-board the</w:t>
      </w:r>
      <w:r w:rsidR="00DC467D" w:rsidRPr="00DC467D">
        <w:rPr>
          <w:rFonts w:eastAsia="HelenPro-Regular"/>
        </w:rPr>
        <w:t xml:space="preserve"> </w:t>
      </w:r>
      <w:r w:rsidRPr="00DC467D">
        <w:rPr>
          <w:rFonts w:eastAsia="HelenPro-Regular"/>
        </w:rPr>
        <w:t xml:space="preserve">ARCHITECT </w:t>
      </w:r>
      <w:proofErr w:type="spellStart"/>
      <w:r w:rsidRPr="00DC467D">
        <w:rPr>
          <w:rFonts w:eastAsia="HelenPro-Regular"/>
          <w:i/>
          <w:iCs/>
        </w:rPr>
        <w:t>i</w:t>
      </w:r>
      <w:proofErr w:type="spellEnd"/>
      <w:r w:rsidRPr="00DC467D">
        <w:rPr>
          <w:rFonts w:eastAsia="HelenPro-Regular"/>
          <w:i/>
          <w:iCs/>
        </w:rPr>
        <w:t xml:space="preserve"> </w:t>
      </w:r>
      <w:r w:rsidRPr="00DC467D">
        <w:rPr>
          <w:rFonts w:eastAsia="HelenPro-Regular"/>
        </w:rPr>
        <w:t>System for a maximum of 30 days. After 30 days, the</w:t>
      </w:r>
      <w:r w:rsidR="00DC467D" w:rsidRPr="00DC467D">
        <w:rPr>
          <w:rFonts w:eastAsia="HelenPro-Regular"/>
        </w:rPr>
        <w:t xml:space="preserve"> </w:t>
      </w:r>
      <w:r w:rsidRPr="00DC467D">
        <w:rPr>
          <w:rFonts w:eastAsia="HelenPro-Regular"/>
        </w:rPr>
        <w:t>reagent kit must be discarded. For information on tracking on-board</w:t>
      </w:r>
      <w:r w:rsidR="00DC467D" w:rsidRPr="00DC467D">
        <w:rPr>
          <w:rFonts w:eastAsia="HelenPro-Regular"/>
        </w:rPr>
        <w:t xml:space="preserve"> </w:t>
      </w:r>
      <w:r w:rsidRPr="00DC467D">
        <w:rPr>
          <w:rFonts w:eastAsia="HelenPro-Regular"/>
        </w:rPr>
        <w:t>time, refer to the ARCHITECT System Operations Manual, Section 5.</w:t>
      </w:r>
    </w:p>
    <w:p w:rsidR="002E528E" w:rsidRDefault="00B54C79" w:rsidP="00F71F72">
      <w:pPr>
        <w:pStyle w:val="ListParagraph"/>
        <w:numPr>
          <w:ilvl w:val="0"/>
          <w:numId w:val="4"/>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F71F72">
      <w:pPr>
        <w:pStyle w:val="ListParagraph"/>
        <w:numPr>
          <w:ilvl w:val="0"/>
          <w:numId w:val="4"/>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EB528B" w:rsidRDefault="00EB528B" w:rsidP="00B36577">
      <w:pPr>
        <w:spacing w:after="72"/>
        <w:rPr>
          <w:rStyle w:val="BodyBold"/>
          <w:rFonts w:ascii="Times New Roman" w:hAnsi="Times New Roman"/>
          <w:sz w:val="24"/>
          <w:szCs w:val="24"/>
        </w:rPr>
      </w:pPr>
    </w:p>
    <w:p w:rsidR="000755A2" w:rsidRDefault="000755A2" w:rsidP="00B36577">
      <w:pPr>
        <w:spacing w:after="72"/>
        <w:rPr>
          <w:rStyle w:val="BodyBold"/>
          <w:rFonts w:ascii="Times New Roman" w:hAnsi="Times New Roman"/>
          <w:sz w:val="24"/>
          <w:szCs w:val="24"/>
        </w:rPr>
      </w:pPr>
    </w:p>
    <w:p w:rsidR="000755A2" w:rsidRDefault="000755A2" w:rsidP="00B36577">
      <w:pPr>
        <w:spacing w:after="72"/>
        <w:rPr>
          <w:rStyle w:val="BodyBold"/>
          <w:rFonts w:ascii="Times New Roman" w:hAnsi="Times New Roman"/>
          <w:sz w:val="24"/>
          <w:szCs w:val="24"/>
        </w:rPr>
      </w:pPr>
    </w:p>
    <w:p w:rsidR="000755A2" w:rsidRDefault="000755A2"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D42CAC" w:rsidRDefault="000755A2" w:rsidP="00B36577">
      <w:pPr>
        <w:spacing w:after="72"/>
        <w:rPr>
          <w:rStyle w:val="BodyBold"/>
          <w:rFonts w:ascii="Times New Roman" w:hAnsi="Times New Roman"/>
          <w:sz w:val="24"/>
          <w:szCs w:val="24"/>
        </w:rPr>
      </w:pPr>
      <w:r>
        <w:rPr>
          <w:noProof/>
        </w:rPr>
        <w:drawing>
          <wp:inline distT="0" distB="0" distL="0" distR="0" wp14:anchorId="0816AC84" wp14:editId="3691CCE9">
            <wp:extent cx="349567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95675" cy="2752725"/>
                    </a:xfrm>
                    <a:prstGeom prst="rect">
                      <a:avLst/>
                    </a:prstGeom>
                  </pic:spPr>
                </pic:pic>
              </a:graphicData>
            </a:graphic>
          </wp:inline>
        </w:drawing>
      </w:r>
    </w:p>
    <w:p w:rsidR="00B54C79" w:rsidRPr="009F648F" w:rsidRDefault="00184D0E" w:rsidP="009F648F">
      <w:pPr>
        <w:pStyle w:val="txt"/>
        <w:ind w:left="0"/>
        <w:rPr>
          <w:sz w:val="24"/>
          <w:szCs w:val="24"/>
        </w:rPr>
      </w:pPr>
      <w:r w:rsidRPr="00184D0E">
        <w:rPr>
          <w:noProof/>
        </w:rPr>
        <w:lastRenderedPageBreak/>
        <w:t xml:space="preserve"> </w:t>
      </w:r>
      <w:r w:rsidR="000755A2">
        <w:rPr>
          <w:noProof/>
        </w:rPr>
        <w:drawing>
          <wp:inline distT="0" distB="0" distL="0" distR="0" wp14:anchorId="536CC891" wp14:editId="7FAEBC62">
            <wp:extent cx="35337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3775" cy="1343025"/>
                    </a:xfrm>
                    <a:prstGeom prst="rect">
                      <a:avLst/>
                    </a:prstGeom>
                  </pic:spPr>
                </pic:pic>
              </a:graphicData>
            </a:graphic>
          </wp:inline>
        </w:drawing>
      </w:r>
    </w:p>
    <w:p w:rsidR="00377F9C" w:rsidRPr="00377F9C" w:rsidRDefault="00B36577" w:rsidP="00377F9C">
      <w:pPr>
        <w:autoSpaceDE w:val="0"/>
        <w:autoSpaceDN w:val="0"/>
        <w:adjustRightInd w:val="0"/>
        <w:rPr>
          <w:rFonts w:eastAsia="HelenPro-Regular"/>
        </w:rPr>
      </w:pPr>
      <w:r w:rsidRPr="00100BF8">
        <w:rPr>
          <w:b/>
        </w:rPr>
        <w:t>Calibrator:</w:t>
      </w:r>
      <w:r w:rsidRPr="00100BF8">
        <w:t xml:space="preserve">  </w:t>
      </w:r>
      <w:r w:rsidR="00377F9C" w:rsidRPr="00377F9C">
        <w:rPr>
          <w:rFonts w:eastAsia="HelenPro-Regular"/>
        </w:rPr>
        <w:t xml:space="preserve">2K41-01 ARCHITECT </w:t>
      </w:r>
      <w:r w:rsidR="00377F9C" w:rsidRPr="00377F9C">
        <w:rPr>
          <w:rFonts w:eastAsia="HelenPro-Regular"/>
          <w:i/>
          <w:iCs/>
        </w:rPr>
        <w:t xml:space="preserve">STAT </w:t>
      </w:r>
      <w:r w:rsidR="00377F9C" w:rsidRPr="00377F9C">
        <w:rPr>
          <w:rFonts w:eastAsia="HelenPro-Regular"/>
        </w:rPr>
        <w:t>Troponin-I Calibrators</w:t>
      </w:r>
    </w:p>
    <w:p w:rsidR="00E33A1B" w:rsidRPr="00E33A1B" w:rsidRDefault="00E33A1B" w:rsidP="00E33A1B">
      <w:pPr>
        <w:autoSpaceDE w:val="0"/>
        <w:autoSpaceDN w:val="0"/>
        <w:adjustRightInd w:val="0"/>
        <w:rPr>
          <w:rFonts w:eastAsia="HelenPro-Regular"/>
        </w:rPr>
      </w:pPr>
    </w:p>
    <w:p w:rsidR="004E3937" w:rsidRDefault="004E3937" w:rsidP="001C751A">
      <w:pPr>
        <w:spacing w:after="43"/>
        <w:rPr>
          <w:b/>
        </w:rPr>
      </w:pPr>
    </w:p>
    <w:p w:rsidR="00E33A1B" w:rsidRPr="00E33A1B" w:rsidRDefault="00B36577" w:rsidP="00E33A1B">
      <w:pPr>
        <w:autoSpaceDE w:val="0"/>
        <w:autoSpaceDN w:val="0"/>
        <w:adjustRightInd w:val="0"/>
        <w:rPr>
          <w:rFonts w:eastAsia="HelenPro-Regular"/>
        </w:rPr>
      </w:pPr>
      <w:r w:rsidRPr="00AA7423">
        <w:rPr>
          <w:b/>
        </w:rPr>
        <w:t>Quality Control:</w:t>
      </w:r>
      <w:r w:rsidR="00CA11D0" w:rsidRPr="00AA7423">
        <w:t xml:space="preserve">  </w:t>
      </w:r>
      <w:r w:rsidR="00377F9C">
        <w:rPr>
          <w:rFonts w:eastAsia="HelenPro-Regular"/>
        </w:rPr>
        <w:t>2K41-</w:t>
      </w:r>
      <w:r w:rsidR="00377F9C" w:rsidRPr="00377F9C">
        <w:rPr>
          <w:rFonts w:eastAsia="HelenPro-Regular"/>
        </w:rPr>
        <w:t>1</w:t>
      </w:r>
      <w:r w:rsidR="00377F9C">
        <w:rPr>
          <w:rFonts w:eastAsia="HelenPro-Regular"/>
        </w:rPr>
        <w:t>0</w:t>
      </w:r>
      <w:r w:rsidR="00377F9C" w:rsidRPr="00377F9C">
        <w:rPr>
          <w:rFonts w:eastAsia="HelenPro-Regular"/>
        </w:rPr>
        <w:t xml:space="preserve"> ARCHITECT </w:t>
      </w:r>
      <w:r w:rsidR="00377F9C" w:rsidRPr="00377F9C">
        <w:rPr>
          <w:rFonts w:eastAsia="HelenPro-Regular"/>
          <w:i/>
          <w:iCs/>
        </w:rPr>
        <w:t xml:space="preserve">STAT </w:t>
      </w:r>
      <w:r w:rsidR="00377F9C" w:rsidRPr="00377F9C">
        <w:rPr>
          <w:rFonts w:eastAsia="HelenPro-Regular"/>
        </w:rPr>
        <w:t xml:space="preserve">Troponin-I </w:t>
      </w:r>
      <w:r w:rsidR="002465E6">
        <w:rPr>
          <w:rFonts w:eastAsia="HelenPro-Regular"/>
        </w:rPr>
        <w:t>Controls</w:t>
      </w:r>
    </w:p>
    <w:p w:rsidR="00E33A1B" w:rsidRDefault="00E33A1B"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F71F72">
      <w:pPr>
        <w:numPr>
          <w:ilvl w:val="0"/>
          <w:numId w:val="2"/>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F71F72">
      <w:pPr>
        <w:numPr>
          <w:ilvl w:val="0"/>
          <w:numId w:val="2"/>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377F9C" w:rsidRPr="00377F9C" w:rsidRDefault="005E3AB5" w:rsidP="00377F9C">
      <w:pPr>
        <w:autoSpaceDE w:val="0"/>
        <w:autoSpaceDN w:val="0"/>
        <w:adjustRightInd w:val="0"/>
        <w:ind w:firstLine="720"/>
        <w:rPr>
          <w:rFonts w:eastAsia="HelenPro-Regular"/>
        </w:rPr>
      </w:pPr>
      <w:r w:rsidRPr="007E4CE6">
        <w:rPr>
          <w:b/>
        </w:rPr>
        <w:t>Calibrator Required:</w:t>
      </w:r>
      <w:r w:rsidRPr="007E4CE6">
        <w:t xml:space="preserve">  </w:t>
      </w:r>
      <w:r w:rsidR="00377F9C" w:rsidRPr="00377F9C">
        <w:rPr>
          <w:rFonts w:eastAsia="HelenPro-Regular"/>
        </w:rPr>
        <w:t xml:space="preserve">2K41-01 ARCHITECT </w:t>
      </w:r>
      <w:r w:rsidR="00377F9C" w:rsidRPr="00377F9C">
        <w:rPr>
          <w:rFonts w:eastAsia="HelenPro-Regular"/>
          <w:i/>
          <w:iCs/>
        </w:rPr>
        <w:t xml:space="preserve">STAT </w:t>
      </w:r>
      <w:r w:rsidR="00377F9C" w:rsidRPr="00377F9C">
        <w:rPr>
          <w:rFonts w:eastAsia="HelenPro-Regular"/>
        </w:rPr>
        <w:t>Troponin-I Calibrators</w:t>
      </w:r>
    </w:p>
    <w:p w:rsidR="004102E7" w:rsidRDefault="004102E7" w:rsidP="004F5F8A">
      <w:pPr>
        <w:ind w:firstLine="720"/>
        <w:rPr>
          <w:b/>
        </w:rPr>
      </w:pPr>
    </w:p>
    <w:p w:rsidR="0025031C" w:rsidRPr="0025031C" w:rsidRDefault="0025031C" w:rsidP="004F5F8A">
      <w:pPr>
        <w:ind w:firstLine="720"/>
        <w:rPr>
          <w:b/>
        </w:rPr>
      </w:pPr>
      <w:r w:rsidRPr="0025031C">
        <w:rPr>
          <w:b/>
        </w:rPr>
        <w:t>Reagents:</w:t>
      </w:r>
    </w:p>
    <w:p w:rsidR="004C3F78" w:rsidRPr="00AA1B1D" w:rsidRDefault="00AA1B1D" w:rsidP="00AA1B1D">
      <w:pPr>
        <w:autoSpaceDE w:val="0"/>
        <w:autoSpaceDN w:val="0"/>
        <w:adjustRightInd w:val="0"/>
        <w:ind w:left="720"/>
        <w:rPr>
          <w:rFonts w:eastAsia="HelenPro-Regular"/>
        </w:rPr>
      </w:pPr>
      <w:r w:rsidRPr="00AA1B1D">
        <w:rPr>
          <w:rFonts w:eastAsia="HelenPro-Regular"/>
        </w:rPr>
        <w:t xml:space="preserve">6 Bottles (4.0 mL each) of ARCHITECT </w:t>
      </w:r>
      <w:r w:rsidRPr="00AA1B1D">
        <w:rPr>
          <w:rFonts w:eastAsia="HelenPro-Regular"/>
          <w:i/>
          <w:iCs/>
        </w:rPr>
        <w:t xml:space="preserve">STAT </w:t>
      </w:r>
      <w:r>
        <w:rPr>
          <w:rFonts w:eastAsia="HelenPro-Regular"/>
        </w:rPr>
        <w:t xml:space="preserve">Troponin-I Calibrators. </w:t>
      </w:r>
      <w:r w:rsidRPr="00AA1B1D">
        <w:rPr>
          <w:rFonts w:eastAsia="HelenPro-Regular"/>
        </w:rPr>
        <w:t xml:space="preserve">Calibrator A contains human serum. Preservative: sodium </w:t>
      </w:r>
      <w:proofErr w:type="spellStart"/>
      <w:r w:rsidRPr="00AA1B1D">
        <w:rPr>
          <w:rFonts w:eastAsia="HelenPro-Regular"/>
        </w:rPr>
        <w:t>azide</w:t>
      </w:r>
      <w:proofErr w:type="spellEnd"/>
      <w:r w:rsidRPr="00AA1B1D">
        <w:rPr>
          <w:rFonts w:eastAsia="HelenPro-Regular"/>
        </w:rPr>
        <w:t>.</w:t>
      </w:r>
      <w:r>
        <w:rPr>
          <w:rFonts w:eastAsia="HelenPro-Regular"/>
        </w:rPr>
        <w:t xml:space="preserve"> </w:t>
      </w:r>
      <w:r w:rsidRPr="00AA1B1D">
        <w:rPr>
          <w:rFonts w:eastAsia="HelenPro-Regular"/>
        </w:rPr>
        <w:t>Calibrators B through F contain a recombinant human</w:t>
      </w:r>
      <w:r>
        <w:rPr>
          <w:rFonts w:eastAsia="HelenPro-Regular"/>
        </w:rPr>
        <w:t xml:space="preserve"> </w:t>
      </w:r>
      <w:r w:rsidRPr="00AA1B1D">
        <w:rPr>
          <w:rFonts w:eastAsia="HelenPro-Regular"/>
        </w:rPr>
        <w:t>cardiac troponin IC complex in phosphate buffer with protein (bovine)</w:t>
      </w:r>
      <w:r>
        <w:rPr>
          <w:rFonts w:eastAsia="HelenPro-Regular"/>
        </w:rPr>
        <w:t xml:space="preserve"> </w:t>
      </w:r>
      <w:r w:rsidRPr="00AA1B1D">
        <w:rPr>
          <w:rFonts w:eastAsia="HelenPro-Regular"/>
        </w:rPr>
        <w:t xml:space="preserve">stabilizer. Preservative: </w:t>
      </w:r>
      <w:proofErr w:type="spellStart"/>
      <w:r w:rsidRPr="00AA1B1D">
        <w:rPr>
          <w:rFonts w:eastAsia="HelenPro-Regular"/>
        </w:rPr>
        <w:t>ProClin</w:t>
      </w:r>
      <w:proofErr w:type="spellEnd"/>
      <w:r w:rsidRPr="00AA1B1D">
        <w:rPr>
          <w:rFonts w:eastAsia="HelenPro-Regular"/>
        </w:rPr>
        <w:t xml:space="preserve"> 300.</w:t>
      </w:r>
    </w:p>
    <w:p w:rsidR="00DC467D" w:rsidRPr="00AA1B1D" w:rsidRDefault="00DC467D" w:rsidP="00C818CA">
      <w:pPr>
        <w:ind w:firstLine="720"/>
        <w:rPr>
          <w:b/>
        </w:rPr>
      </w:pPr>
    </w:p>
    <w:p w:rsidR="00F3700B" w:rsidRPr="00AA1B1D" w:rsidRDefault="0037463A" w:rsidP="00C818CA">
      <w:pPr>
        <w:ind w:firstLine="720"/>
        <w:rPr>
          <w:b/>
        </w:rPr>
      </w:pPr>
      <w:r w:rsidRPr="00AA1B1D">
        <w:rPr>
          <w:b/>
        </w:rPr>
        <w:t xml:space="preserve">Calibrator Preparation: </w:t>
      </w:r>
    </w:p>
    <w:p w:rsidR="00AA1B1D" w:rsidRPr="00AA1B1D" w:rsidRDefault="00AA1B1D" w:rsidP="00AA1B1D">
      <w:pPr>
        <w:autoSpaceDE w:val="0"/>
        <w:autoSpaceDN w:val="0"/>
        <w:adjustRightInd w:val="0"/>
        <w:ind w:left="720"/>
        <w:rPr>
          <w:rFonts w:eastAsia="HelenPro-Regular"/>
        </w:rPr>
      </w:pPr>
      <w:r w:rsidRPr="00AA1B1D">
        <w:rPr>
          <w:rFonts w:eastAsia="HelenPro-Regular"/>
        </w:rPr>
        <w:t>Calibrators may be used immediately after removal from 2-8°C storage.</w:t>
      </w:r>
    </w:p>
    <w:p w:rsidR="00DC467D" w:rsidRPr="00AA1B1D" w:rsidRDefault="00AA1B1D" w:rsidP="00AA1B1D">
      <w:pPr>
        <w:autoSpaceDE w:val="0"/>
        <w:autoSpaceDN w:val="0"/>
        <w:adjustRightInd w:val="0"/>
        <w:ind w:left="720"/>
        <w:rPr>
          <w:rFonts w:eastAsia="HelenPro-Regular"/>
        </w:rPr>
      </w:pPr>
      <w:r w:rsidRPr="00AA1B1D">
        <w:rPr>
          <w:rFonts w:eastAsia="HelenPro-Bold"/>
          <w:b/>
          <w:bCs/>
        </w:rPr>
        <w:t xml:space="preserve">• </w:t>
      </w:r>
      <w:r w:rsidRPr="00AA1B1D">
        <w:rPr>
          <w:rFonts w:eastAsia="HelenPro-Regular"/>
        </w:rPr>
        <w:t>Prior to each use, mix by gentle inversi</w:t>
      </w:r>
      <w:r>
        <w:rPr>
          <w:rFonts w:eastAsia="HelenPro-Regular"/>
        </w:rPr>
        <w:t xml:space="preserve">on, 5-10 times. After each use, </w:t>
      </w:r>
      <w:r w:rsidRPr="00AA1B1D">
        <w:rPr>
          <w:rFonts w:eastAsia="HelenPro-Regular"/>
        </w:rPr>
        <w:t>tightly close the caps and return the calibrators to 2-8°C storage.</w:t>
      </w:r>
    </w:p>
    <w:p w:rsidR="00DC467D" w:rsidRPr="00AA1B1D" w:rsidRDefault="00DC467D" w:rsidP="00AD402C">
      <w:pPr>
        <w:ind w:firstLine="720"/>
        <w:rPr>
          <w:b/>
        </w:rPr>
      </w:pPr>
    </w:p>
    <w:p w:rsidR="004F5F8A" w:rsidRPr="00AA1B1D" w:rsidRDefault="0025031C" w:rsidP="00AD402C">
      <w:pPr>
        <w:ind w:firstLine="720"/>
        <w:rPr>
          <w:b/>
        </w:rPr>
      </w:pPr>
      <w:r w:rsidRPr="00AA1B1D">
        <w:rPr>
          <w:b/>
        </w:rPr>
        <w:t>Calibration Procedure:</w:t>
      </w:r>
      <w:r w:rsidR="0006502B" w:rsidRPr="00AA1B1D">
        <w:rPr>
          <w:b/>
        </w:rPr>
        <w:t xml:space="preserve"> </w:t>
      </w:r>
    </w:p>
    <w:p w:rsidR="00377F9C" w:rsidRPr="00AA1B1D" w:rsidRDefault="00377F9C" w:rsidP="00AA1B1D">
      <w:pPr>
        <w:autoSpaceDE w:val="0"/>
        <w:autoSpaceDN w:val="0"/>
        <w:adjustRightInd w:val="0"/>
        <w:ind w:left="720"/>
        <w:rPr>
          <w:rFonts w:eastAsia="HelenPro-Regular"/>
        </w:rPr>
      </w:pPr>
      <w:r w:rsidRPr="00AA1B1D">
        <w:rPr>
          <w:rFonts w:eastAsia="HelenPro-Regular"/>
        </w:rPr>
        <w:t xml:space="preserve">To perform an ARCHITECT </w:t>
      </w:r>
      <w:r w:rsidRPr="00AA1B1D">
        <w:rPr>
          <w:rFonts w:eastAsia="HelenPro-Regular"/>
          <w:i/>
          <w:iCs/>
        </w:rPr>
        <w:t xml:space="preserve">STAT </w:t>
      </w:r>
      <w:r w:rsidRPr="00AA1B1D">
        <w:rPr>
          <w:rFonts w:eastAsia="HelenPro-Regular"/>
        </w:rPr>
        <w:t>Troponin-I calibration, test the</w:t>
      </w:r>
    </w:p>
    <w:p w:rsidR="00377F9C" w:rsidRPr="00AA1B1D" w:rsidRDefault="00377F9C" w:rsidP="00AA1B1D">
      <w:pPr>
        <w:autoSpaceDE w:val="0"/>
        <w:autoSpaceDN w:val="0"/>
        <w:adjustRightInd w:val="0"/>
        <w:ind w:left="720"/>
        <w:rPr>
          <w:rFonts w:eastAsia="HelenPro-Regular"/>
        </w:rPr>
      </w:pPr>
      <w:r w:rsidRPr="00AA1B1D">
        <w:rPr>
          <w:rFonts w:eastAsia="HelenPro-Regular"/>
        </w:rPr>
        <w:t>Calibrators A, B, C, D, E, and F in duplicate. A single sample of each</w:t>
      </w:r>
    </w:p>
    <w:p w:rsidR="00377F9C" w:rsidRPr="00AA1B1D" w:rsidRDefault="00377F9C" w:rsidP="00AA1B1D">
      <w:pPr>
        <w:autoSpaceDE w:val="0"/>
        <w:autoSpaceDN w:val="0"/>
        <w:adjustRightInd w:val="0"/>
        <w:ind w:left="720"/>
        <w:rPr>
          <w:rFonts w:eastAsia="HelenPro-Regular"/>
        </w:rPr>
      </w:pPr>
      <w:r w:rsidRPr="00AA1B1D">
        <w:rPr>
          <w:rFonts w:eastAsia="HelenPro-Regular"/>
        </w:rPr>
        <w:t xml:space="preserve">ARCHITECT </w:t>
      </w:r>
      <w:r w:rsidRPr="00AA1B1D">
        <w:rPr>
          <w:rFonts w:eastAsia="HelenPro-Regular"/>
          <w:i/>
          <w:iCs/>
        </w:rPr>
        <w:t xml:space="preserve">STAT </w:t>
      </w:r>
      <w:r w:rsidRPr="00AA1B1D">
        <w:rPr>
          <w:rFonts w:eastAsia="HelenPro-Regular"/>
        </w:rPr>
        <w:t>Troponin-I Control level must be tested to evaluate</w:t>
      </w:r>
    </w:p>
    <w:p w:rsidR="00377F9C" w:rsidRPr="00AA1B1D" w:rsidRDefault="00377F9C" w:rsidP="00AA1B1D">
      <w:pPr>
        <w:autoSpaceDE w:val="0"/>
        <w:autoSpaceDN w:val="0"/>
        <w:adjustRightInd w:val="0"/>
        <w:ind w:left="720"/>
        <w:rPr>
          <w:rFonts w:eastAsia="HelenPro-Regular"/>
        </w:rPr>
      </w:pPr>
      <w:r w:rsidRPr="00AA1B1D">
        <w:rPr>
          <w:rFonts w:eastAsia="HelenPro-Regular"/>
        </w:rPr>
        <w:t>the assay calibration. Ensure that assay control values are within the</w:t>
      </w:r>
    </w:p>
    <w:p w:rsidR="00377F9C" w:rsidRPr="00AA1B1D" w:rsidRDefault="00377F9C" w:rsidP="00AA1B1D">
      <w:pPr>
        <w:autoSpaceDE w:val="0"/>
        <w:autoSpaceDN w:val="0"/>
        <w:adjustRightInd w:val="0"/>
        <w:ind w:left="720"/>
        <w:rPr>
          <w:rFonts w:eastAsia="HelenPro-Regular"/>
        </w:rPr>
      </w:pPr>
      <w:r w:rsidRPr="00AA1B1D">
        <w:rPr>
          <w:rFonts w:eastAsia="HelenPro-Regular"/>
        </w:rPr>
        <w:t>concentration ranges specified in the control package insert. Calibrators</w:t>
      </w:r>
    </w:p>
    <w:p w:rsidR="00377F9C" w:rsidRPr="00AA1B1D" w:rsidRDefault="00377F9C" w:rsidP="00AA1B1D">
      <w:pPr>
        <w:autoSpaceDE w:val="0"/>
        <w:autoSpaceDN w:val="0"/>
        <w:adjustRightInd w:val="0"/>
        <w:ind w:left="720"/>
        <w:rPr>
          <w:rFonts w:eastAsia="HelenPro-Regular"/>
        </w:rPr>
      </w:pPr>
      <w:r w:rsidRPr="00AA1B1D">
        <w:rPr>
          <w:rFonts w:eastAsia="HelenPro-Regular"/>
        </w:rPr>
        <w:lastRenderedPageBreak/>
        <w:t>should be priority loaded.</w:t>
      </w:r>
    </w:p>
    <w:p w:rsidR="002465E6" w:rsidRPr="00DC467D" w:rsidRDefault="00377F9C" w:rsidP="00AA1B1D">
      <w:pPr>
        <w:ind w:left="720" w:firstLine="720"/>
        <w:rPr>
          <w:b/>
          <w:bCs/>
        </w:rPr>
      </w:pPr>
      <w:r w:rsidRPr="00AA1B1D">
        <w:rPr>
          <w:rFonts w:eastAsia="HelenPro-Bold"/>
          <w:b/>
          <w:bCs/>
        </w:rPr>
        <w:t xml:space="preserve">• </w:t>
      </w:r>
      <w:r w:rsidRPr="00AA1B1D">
        <w:rPr>
          <w:rFonts w:eastAsia="HelenPro-Regular"/>
        </w:rPr>
        <w:t xml:space="preserve">Calibration Range: 0.00 - 50.00 </w:t>
      </w:r>
      <w:proofErr w:type="spellStart"/>
      <w:r w:rsidRPr="00AA1B1D">
        <w:rPr>
          <w:rFonts w:eastAsia="HelenPro-Regular"/>
        </w:rPr>
        <w:t>ng</w:t>
      </w:r>
      <w:proofErr w:type="spellEnd"/>
      <w:r w:rsidRPr="00AA1B1D">
        <w:rPr>
          <w:rFonts w:eastAsia="HelenPro-Regular"/>
        </w:rPr>
        <w:t xml:space="preserve">/mL (0.00 - 50.00 </w:t>
      </w:r>
      <w:proofErr w:type="spellStart"/>
      <w:r w:rsidRPr="00AA1B1D">
        <w:rPr>
          <w:rFonts w:eastAsia="HelenPro-Regular"/>
        </w:rPr>
        <w:t>μg</w:t>
      </w:r>
      <w:proofErr w:type="spellEnd"/>
      <w:r w:rsidRPr="00AA1B1D">
        <w:rPr>
          <w:rFonts w:eastAsia="HelenPro-Regular"/>
        </w:rPr>
        <w:t>/L).</w:t>
      </w:r>
    </w:p>
    <w:p w:rsidR="004102E7" w:rsidRDefault="004102E7"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AA1B1D" w:rsidRDefault="00AA1B1D" w:rsidP="00D60AFA">
      <w:pPr>
        <w:spacing w:after="43"/>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B90BFF">
        <w:rPr>
          <w:rFonts w:eastAsia="HelenPro-Regular"/>
        </w:rPr>
        <w:t xml:space="preserve">each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9B0B5F" w:rsidRPr="00AA1B1D" w:rsidRDefault="00377F9C" w:rsidP="00F71F72">
      <w:pPr>
        <w:pStyle w:val="ListParagraph"/>
        <w:numPr>
          <w:ilvl w:val="0"/>
          <w:numId w:val="9"/>
        </w:numPr>
        <w:autoSpaceDE w:val="0"/>
        <w:autoSpaceDN w:val="0"/>
        <w:adjustRightInd w:val="0"/>
        <w:rPr>
          <w:rFonts w:eastAsia="HelenPro-Regular"/>
        </w:rPr>
      </w:pPr>
      <w:r w:rsidRPr="00AA1B1D">
        <w:rPr>
          <w:rFonts w:eastAsia="HelenPro-Regular"/>
        </w:rPr>
        <w:t xml:space="preserve">The ARCHITECT </w:t>
      </w:r>
      <w:r w:rsidRPr="00AA1B1D">
        <w:rPr>
          <w:rFonts w:eastAsia="HelenPro-Regular"/>
          <w:i/>
          <w:iCs/>
        </w:rPr>
        <w:t xml:space="preserve">STAT </w:t>
      </w:r>
      <w:r w:rsidRPr="00AA1B1D">
        <w:rPr>
          <w:rFonts w:eastAsia="HelenPro-Regular"/>
        </w:rPr>
        <w:t>Troponin-I assay file must be installed on the</w:t>
      </w:r>
      <w:r w:rsidR="00AA1B1D" w:rsidRPr="00AA1B1D">
        <w:rPr>
          <w:rFonts w:eastAsia="HelenPro-Regular"/>
        </w:rPr>
        <w:t xml:space="preserve"> </w:t>
      </w:r>
      <w:r w:rsidRPr="00AA1B1D">
        <w:rPr>
          <w:rFonts w:eastAsia="HelenPro-Regular"/>
        </w:rPr>
        <w:t xml:space="preserve">ARCHITECT </w:t>
      </w:r>
      <w:proofErr w:type="spellStart"/>
      <w:r w:rsidRPr="00AA1B1D">
        <w:rPr>
          <w:rFonts w:eastAsia="HelenPro-Regular"/>
          <w:i/>
          <w:iCs/>
        </w:rPr>
        <w:t>i</w:t>
      </w:r>
      <w:proofErr w:type="spellEnd"/>
      <w:r w:rsidRPr="00AA1B1D">
        <w:rPr>
          <w:rFonts w:eastAsia="HelenPro-Regular"/>
          <w:i/>
          <w:iCs/>
        </w:rPr>
        <w:t xml:space="preserve"> </w:t>
      </w:r>
      <w:r w:rsidRPr="00AA1B1D">
        <w:rPr>
          <w:rFonts w:eastAsia="HelenPro-Regular"/>
        </w:rPr>
        <w:t xml:space="preserve">System with </w:t>
      </w:r>
      <w:r w:rsidRPr="00AA1B1D">
        <w:rPr>
          <w:rFonts w:eastAsia="HelenPro-Regular"/>
          <w:i/>
          <w:iCs/>
        </w:rPr>
        <w:t xml:space="preserve">STAT </w:t>
      </w:r>
      <w:r w:rsidRPr="00AA1B1D">
        <w:rPr>
          <w:rFonts w:eastAsia="HelenPro-Regular"/>
        </w:rPr>
        <w:t>protocol capability from an ARCHITECT</w:t>
      </w:r>
      <w:r w:rsidR="00AA1B1D" w:rsidRPr="00AA1B1D">
        <w:rPr>
          <w:rFonts w:eastAsia="HelenPro-Regular"/>
        </w:rPr>
        <w:t xml:space="preserve"> </w:t>
      </w:r>
      <w:proofErr w:type="spellStart"/>
      <w:r w:rsidRPr="00AA1B1D">
        <w:rPr>
          <w:rFonts w:eastAsia="HelenPro-Regular"/>
          <w:i/>
          <w:iCs/>
        </w:rPr>
        <w:t>i</w:t>
      </w:r>
      <w:proofErr w:type="spellEnd"/>
      <w:r w:rsidRPr="00AA1B1D">
        <w:rPr>
          <w:rFonts w:eastAsia="HelenPro-Regular"/>
          <w:i/>
          <w:iCs/>
        </w:rPr>
        <w:t xml:space="preserve"> </w:t>
      </w:r>
      <w:r w:rsidRPr="00AA1B1D">
        <w:rPr>
          <w:rFonts w:eastAsia="HelenPro-Regular"/>
        </w:rPr>
        <w:t>System Assay CD-ROM prior to performing the assay. For detailed</w:t>
      </w:r>
      <w:r w:rsidR="00AA1B1D" w:rsidRPr="00AA1B1D">
        <w:rPr>
          <w:rFonts w:eastAsia="HelenPro-Regular"/>
        </w:rPr>
        <w:t xml:space="preserve"> </w:t>
      </w:r>
      <w:r w:rsidRPr="00AA1B1D">
        <w:rPr>
          <w:rFonts w:eastAsia="HelenPro-Regular"/>
        </w:rPr>
        <w:t>information on assay file installation and on viewing and editing assay</w:t>
      </w:r>
      <w:r w:rsidR="00AA1B1D" w:rsidRPr="00AA1B1D">
        <w:rPr>
          <w:rFonts w:eastAsia="HelenPro-Regular"/>
        </w:rPr>
        <w:t xml:space="preserve"> </w:t>
      </w:r>
      <w:r w:rsidRPr="00AA1B1D">
        <w:rPr>
          <w:rFonts w:eastAsia="HelenPro-Regular"/>
        </w:rPr>
        <w:t>parameters, refer to the ARCHITECT System Operations Manual,</w:t>
      </w:r>
      <w:r w:rsidR="00AA1B1D" w:rsidRPr="00AA1B1D">
        <w:rPr>
          <w:rFonts w:eastAsia="HelenPro-Regular"/>
        </w:rPr>
        <w:t xml:space="preserve"> </w:t>
      </w:r>
      <w:r w:rsidRPr="00AA1B1D">
        <w:rPr>
          <w:rFonts w:eastAsia="HelenPro-Regular"/>
        </w:rPr>
        <w:t>Section 2</w:t>
      </w:r>
      <w:r w:rsidRPr="00AA1B1D">
        <w:rPr>
          <w:rFonts w:ascii="HelenPro-Regular" w:eastAsia="HelenPro-Regular" w:cs="HelenPro-Regular"/>
          <w:sz w:val="16"/>
          <w:szCs w:val="16"/>
        </w:rPr>
        <w:t>.</w:t>
      </w:r>
    </w:p>
    <w:p w:rsidR="003356DF" w:rsidRPr="009B0B5F" w:rsidRDefault="003356DF" w:rsidP="00F71F72">
      <w:pPr>
        <w:pStyle w:val="ListParagraph"/>
        <w:numPr>
          <w:ilvl w:val="0"/>
          <w:numId w:val="7"/>
        </w:numPr>
        <w:autoSpaceDE w:val="0"/>
        <w:autoSpaceDN w:val="0"/>
        <w:adjustRightInd w:val="0"/>
        <w:rPr>
          <w:rFonts w:eastAsia="HelenPro-Regular"/>
        </w:rPr>
      </w:pPr>
      <w:r w:rsidRPr="009B0B5F">
        <w:rPr>
          <w:rFonts w:eastAsia="HelenPro-Regular"/>
        </w:rPr>
        <w:t>For detailed information on assay file installation and viewing and editing assay parameters, refer to the ARCHITECT System Operations Manual, Section 2.</w:t>
      </w:r>
    </w:p>
    <w:p w:rsidR="003356DF" w:rsidRPr="003356DF" w:rsidRDefault="003356DF" w:rsidP="00F71F72">
      <w:pPr>
        <w:pStyle w:val="ListParagraph"/>
        <w:numPr>
          <w:ilvl w:val="0"/>
          <w:numId w:val="5"/>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F71F72">
      <w:pPr>
        <w:pStyle w:val="ListParagraph"/>
        <w:numPr>
          <w:ilvl w:val="0"/>
          <w:numId w:val="5"/>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lastRenderedPageBreak/>
        <w:drawing>
          <wp:inline distT="0" distB="0" distL="0" distR="0" wp14:anchorId="62E7EBC6" wp14:editId="764CFC4B">
            <wp:extent cx="3902149" cy="2392326"/>
            <wp:effectExtent l="0" t="0" r="3175" b="825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17228"/>
                    <a:stretch/>
                  </pic:blipFill>
                  <pic:spPr bwMode="auto">
                    <a:xfrm>
                      <a:off x="0" y="0"/>
                      <a:ext cx="3901739" cy="2392075"/>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2E528E" w:rsidP="002C7FD5">
      <w:pPr>
        <w:rPr>
          <w:b/>
        </w:rPr>
      </w:pPr>
    </w:p>
    <w:p w:rsidR="00D730A1" w:rsidRDefault="00D730A1" w:rsidP="002C7FD5">
      <w:pPr>
        <w:rPr>
          <w:b/>
        </w:rPr>
      </w:pPr>
    </w:p>
    <w:p w:rsidR="002E528E" w:rsidRDefault="00377F9C" w:rsidP="002C7FD5">
      <w:pPr>
        <w:rPr>
          <w:b/>
        </w:rPr>
      </w:pPr>
      <w:r>
        <w:rPr>
          <w:noProof/>
        </w:rPr>
        <w:drawing>
          <wp:inline distT="0" distB="0" distL="0" distR="0" wp14:anchorId="47B990F4" wp14:editId="34FABBD4">
            <wp:extent cx="4229100" cy="508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29100" cy="5086350"/>
                    </a:xfrm>
                    <a:prstGeom prst="rect">
                      <a:avLst/>
                    </a:prstGeom>
                  </pic:spPr>
                </pic:pic>
              </a:graphicData>
            </a:graphic>
          </wp:inline>
        </w:drawing>
      </w:r>
    </w:p>
    <w:p w:rsidR="00377F9C" w:rsidRDefault="00377F9C" w:rsidP="002C7FD5">
      <w:pPr>
        <w:rPr>
          <w:b/>
        </w:rPr>
      </w:pPr>
      <w:r>
        <w:rPr>
          <w:noProof/>
        </w:rPr>
        <w:lastRenderedPageBreak/>
        <w:drawing>
          <wp:inline distT="0" distB="0" distL="0" distR="0" wp14:anchorId="1C37A145" wp14:editId="1D3290E9">
            <wp:extent cx="41910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91000" cy="685800"/>
                    </a:xfrm>
                    <a:prstGeom prst="rect">
                      <a:avLst/>
                    </a:prstGeom>
                  </pic:spPr>
                </pic:pic>
              </a:graphicData>
            </a:graphic>
          </wp:inline>
        </w:drawing>
      </w:r>
    </w:p>
    <w:p w:rsidR="003356DF" w:rsidRDefault="002E528E" w:rsidP="002C7FD5">
      <w:pPr>
        <w:rPr>
          <w:b/>
        </w:rPr>
      </w:pPr>
      <w:r>
        <w:rPr>
          <w:noProof/>
        </w:rPr>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377F9C" w:rsidRDefault="00377F9C" w:rsidP="000A090B">
      <w:pPr>
        <w:jc w:val="both"/>
        <w:rPr>
          <w:b/>
          <w:sz w:val="28"/>
          <w:szCs w:val="28"/>
        </w:rPr>
      </w:pPr>
    </w:p>
    <w:p w:rsidR="00377F9C" w:rsidRDefault="00377F9C" w:rsidP="000A090B">
      <w:pPr>
        <w:jc w:val="both"/>
        <w:rPr>
          <w:b/>
          <w:sz w:val="28"/>
          <w:szCs w:val="28"/>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0755A2" w:rsidRPr="000755A2" w:rsidRDefault="000755A2" w:rsidP="000755A2">
      <w:pPr>
        <w:autoSpaceDE w:val="0"/>
        <w:autoSpaceDN w:val="0"/>
        <w:adjustRightInd w:val="0"/>
        <w:rPr>
          <w:rFonts w:eastAsia="HelenPro-Regular"/>
        </w:rPr>
      </w:pPr>
      <w:r w:rsidRPr="000755A2">
        <w:rPr>
          <w:rFonts w:eastAsia="HelenPro-Regular"/>
        </w:rPr>
        <w:t>The default result unit for the ARC</w:t>
      </w:r>
      <w:r>
        <w:rPr>
          <w:rFonts w:eastAsia="HelenPro-Regular"/>
        </w:rPr>
        <w:t xml:space="preserve">HITECT STAT Troponin-I assay is </w:t>
      </w:r>
      <w:proofErr w:type="spellStart"/>
      <w:r w:rsidRPr="000755A2">
        <w:rPr>
          <w:rFonts w:eastAsia="HelenPro-Regular"/>
        </w:rPr>
        <w:t>ng</w:t>
      </w:r>
      <w:proofErr w:type="spellEnd"/>
      <w:r w:rsidRPr="000755A2">
        <w:rPr>
          <w:rFonts w:eastAsia="HelenPro-Regular"/>
        </w:rPr>
        <w:t>/</w:t>
      </w:r>
      <w:proofErr w:type="spellStart"/>
      <w:r w:rsidRPr="000755A2">
        <w:rPr>
          <w:rFonts w:eastAsia="HelenPro-Regular"/>
        </w:rPr>
        <w:t>mL.</w:t>
      </w:r>
      <w:proofErr w:type="spellEnd"/>
    </w:p>
    <w:p w:rsidR="00F91971" w:rsidRPr="000755A2" w:rsidRDefault="000755A2" w:rsidP="000755A2">
      <w:pPr>
        <w:autoSpaceDE w:val="0"/>
        <w:autoSpaceDN w:val="0"/>
        <w:adjustRightInd w:val="0"/>
        <w:rPr>
          <w:rFonts w:eastAsia="HelenPro-Regular"/>
        </w:rPr>
      </w:pPr>
      <w:r w:rsidRPr="000755A2">
        <w:rPr>
          <w:rFonts w:eastAsia="HelenPro-Regular"/>
        </w:rPr>
        <w:t>Edit assay parameter "Result concentration units" to select an</w:t>
      </w:r>
      <w:r>
        <w:rPr>
          <w:rFonts w:eastAsia="HelenPro-Regular"/>
        </w:rPr>
        <w:t xml:space="preserve"> </w:t>
      </w:r>
      <w:r w:rsidRPr="000755A2">
        <w:rPr>
          <w:rFonts w:eastAsia="HelenPro-Regular"/>
        </w:rPr>
        <w:t>alternate unit.</w:t>
      </w:r>
    </w:p>
    <w:p w:rsidR="000755A2" w:rsidRPr="00AA1B1D" w:rsidRDefault="000755A2" w:rsidP="000755A2">
      <w:pPr>
        <w:autoSpaceDE w:val="0"/>
        <w:autoSpaceDN w:val="0"/>
        <w:adjustRightInd w:val="0"/>
        <w:rPr>
          <w:rFonts w:eastAsia="HelenPro-Regular"/>
        </w:rPr>
      </w:pPr>
      <w:r>
        <w:rPr>
          <w:noProof/>
        </w:rPr>
        <w:drawing>
          <wp:inline distT="0" distB="0" distL="0" distR="0" wp14:anchorId="1133AA75" wp14:editId="50E170F1">
            <wp:extent cx="345757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57575" cy="962025"/>
                    </a:xfrm>
                    <a:prstGeom prst="rect">
                      <a:avLst/>
                    </a:prstGeom>
                  </pic:spPr>
                </pic:pic>
              </a:graphicData>
            </a:graphic>
          </wp:inline>
        </w:drawing>
      </w:r>
    </w:p>
    <w:p w:rsidR="00E04456" w:rsidRDefault="00E04456"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E04456" w:rsidRDefault="00E04456" w:rsidP="00AB793D">
      <w:pPr>
        <w:rPr>
          <w:rFonts w:ascii="Arial" w:hAnsi="Arial" w:cs="Arial"/>
          <w:b/>
          <w:bCs/>
          <w:sz w:val="28"/>
          <w:szCs w:val="28"/>
        </w:rPr>
      </w:pPr>
    </w:p>
    <w:p w:rsidR="00912FE4" w:rsidRPr="00912FE4" w:rsidRDefault="00912FE4" w:rsidP="00AB793D">
      <w:pPr>
        <w:rPr>
          <w:rFonts w:ascii="Arial" w:hAnsi="Arial" w:cs="Arial"/>
          <w:b/>
          <w:bCs/>
          <w:sz w:val="28"/>
          <w:szCs w:val="28"/>
        </w:rPr>
      </w:pPr>
      <w:r w:rsidRPr="00912FE4">
        <w:rPr>
          <w:rFonts w:ascii="Arial" w:hAnsi="Arial" w:cs="Arial"/>
          <w:b/>
          <w:bCs/>
          <w:sz w:val="28"/>
          <w:szCs w:val="28"/>
        </w:rPr>
        <w:t>Specific Performance Characteristics</w:t>
      </w:r>
      <w:r w:rsidR="00D60AFA">
        <w:rPr>
          <w:rFonts w:ascii="Arial" w:hAnsi="Arial" w:cs="Arial"/>
          <w:b/>
          <w:bCs/>
          <w:sz w:val="28"/>
          <w:szCs w:val="28"/>
        </w:rPr>
        <w:t xml:space="preserve"> </w:t>
      </w:r>
    </w:p>
    <w:p w:rsidR="00CE2DC7" w:rsidRDefault="002648A6" w:rsidP="00AB793D">
      <w:pPr>
        <w:rPr>
          <w:rFonts w:ascii="Arial" w:hAnsi="Arial" w:cs="Arial"/>
          <w:b/>
          <w:bCs/>
        </w:rPr>
      </w:pPr>
      <w:r>
        <w:rPr>
          <w:rFonts w:ascii="Arial" w:hAnsi="Arial" w:cs="Arial"/>
          <w:b/>
          <w:bCs/>
        </w:rPr>
        <w:t>Expected Values</w:t>
      </w:r>
      <w:r w:rsidR="00D60AFA">
        <w:rPr>
          <w:rFonts w:ascii="Arial" w:hAnsi="Arial" w:cs="Arial"/>
          <w:b/>
          <w:bCs/>
        </w:rPr>
        <w:t xml:space="preserve"> </w:t>
      </w:r>
    </w:p>
    <w:p w:rsidR="0055619E" w:rsidRDefault="006D40ED" w:rsidP="006D40ED">
      <w:pPr>
        <w:autoSpaceDE w:val="0"/>
        <w:autoSpaceDN w:val="0"/>
        <w:adjustRightInd w:val="0"/>
        <w:rPr>
          <w:rFonts w:eastAsia="HelenPro-Regular"/>
        </w:rPr>
      </w:pPr>
      <w:r w:rsidRPr="006D40ED">
        <w:rPr>
          <w:rFonts w:eastAsia="HelenPro-Regular"/>
        </w:rPr>
        <w:t>It is recommended that each laborat</w:t>
      </w:r>
      <w:r>
        <w:rPr>
          <w:rFonts w:eastAsia="HelenPro-Regular"/>
        </w:rPr>
        <w:t xml:space="preserve">ory determine its own reference </w:t>
      </w:r>
      <w:r w:rsidRPr="006D40ED">
        <w:rPr>
          <w:rFonts w:eastAsia="HelenPro-Regular"/>
        </w:rPr>
        <w:t>range based upon its particular locale and population characteristics.</w:t>
      </w:r>
    </w:p>
    <w:p w:rsidR="00DC467D" w:rsidRDefault="00DC467D" w:rsidP="00AB793D">
      <w:pPr>
        <w:rPr>
          <w:rFonts w:ascii="Arial" w:hAnsi="Arial" w:cs="Arial"/>
          <w:b/>
          <w:bCs/>
        </w:rPr>
      </w:pPr>
    </w:p>
    <w:p w:rsidR="00A554D4" w:rsidRDefault="00A554D4" w:rsidP="00AB793D">
      <w:pPr>
        <w:rPr>
          <w:rFonts w:ascii="Arial" w:hAnsi="Arial" w:cs="Arial"/>
          <w:b/>
          <w:bCs/>
        </w:rPr>
      </w:pPr>
      <w:r w:rsidRPr="00003750">
        <w:rPr>
          <w:rFonts w:ascii="Arial" w:hAnsi="Arial" w:cs="Arial"/>
          <w:b/>
          <w:bCs/>
        </w:rPr>
        <w:t>Serum/Plasma</w:t>
      </w:r>
    </w:p>
    <w:p w:rsidR="00FB2A26" w:rsidRPr="00AA1B1D" w:rsidRDefault="00FB2A26" w:rsidP="00FB2A26">
      <w:pPr>
        <w:autoSpaceDE w:val="0"/>
        <w:autoSpaceDN w:val="0"/>
        <w:adjustRightInd w:val="0"/>
        <w:rPr>
          <w:rFonts w:eastAsia="HelenPro-Regular"/>
        </w:rPr>
      </w:pPr>
      <w:r w:rsidRPr="00AA1B1D">
        <w:rPr>
          <w:rFonts w:eastAsia="HelenPro-Regular"/>
        </w:rPr>
        <w:t xml:space="preserve">Any condition resulting in myocardial cell </w:t>
      </w:r>
      <w:r w:rsidR="00AA1B1D">
        <w:rPr>
          <w:rFonts w:eastAsia="HelenPro-Regular"/>
        </w:rPr>
        <w:t xml:space="preserve">damage can potentially increase </w:t>
      </w:r>
      <w:r w:rsidRPr="00AA1B1D">
        <w:rPr>
          <w:rFonts w:eastAsia="HelenPro-Regular"/>
        </w:rPr>
        <w:t>cardiac troponin-I levels. Published studies have documented that these</w:t>
      </w:r>
      <w:r w:rsidR="00AA1B1D">
        <w:rPr>
          <w:rFonts w:eastAsia="HelenPro-Regular"/>
        </w:rPr>
        <w:t xml:space="preserve"> </w:t>
      </w:r>
      <w:r w:rsidRPr="00AA1B1D">
        <w:rPr>
          <w:rFonts w:eastAsia="HelenPro-Regular"/>
        </w:rPr>
        <w:t>conditions include, but are not limited to, angina, unstable angina, congestive</w:t>
      </w:r>
      <w:r w:rsidR="00AA1B1D">
        <w:rPr>
          <w:rFonts w:eastAsia="HelenPro-Regular"/>
        </w:rPr>
        <w:t xml:space="preserve"> </w:t>
      </w:r>
      <w:r w:rsidRPr="00AA1B1D">
        <w:rPr>
          <w:rFonts w:eastAsia="HelenPro-Regular"/>
        </w:rPr>
        <w:t xml:space="preserve">heart failure, myocarditis, cardiac surgery, or invasive testing and </w:t>
      </w:r>
      <w:proofErr w:type="spellStart"/>
      <w:r w:rsidRPr="00AA1B1D">
        <w:rPr>
          <w:rFonts w:eastAsia="HelenPro-Regular"/>
        </w:rPr>
        <w:t>noncardiac</w:t>
      </w:r>
      <w:proofErr w:type="spellEnd"/>
      <w:r w:rsidR="00AA1B1D">
        <w:rPr>
          <w:rFonts w:eastAsia="HelenPro-Regular"/>
        </w:rPr>
        <w:t xml:space="preserve"> </w:t>
      </w:r>
      <w:r w:rsidRPr="00AA1B1D">
        <w:rPr>
          <w:rFonts w:eastAsia="HelenPro-Regular"/>
        </w:rPr>
        <w:t>related causes such as pulmonary embolism, renal failure, and</w:t>
      </w:r>
      <w:r w:rsidR="00AA1B1D">
        <w:rPr>
          <w:rFonts w:eastAsia="HelenPro-Regular"/>
        </w:rPr>
        <w:t xml:space="preserve"> </w:t>
      </w:r>
      <w:r w:rsidRPr="00AA1B1D">
        <w:rPr>
          <w:rFonts w:eastAsia="HelenPro-Regular"/>
        </w:rPr>
        <w:t>sepsis.</w:t>
      </w:r>
    </w:p>
    <w:p w:rsidR="00DC467D" w:rsidRPr="00AA1B1D" w:rsidRDefault="00FB2A26" w:rsidP="00FB2A26">
      <w:pPr>
        <w:autoSpaceDE w:val="0"/>
        <w:autoSpaceDN w:val="0"/>
        <w:adjustRightInd w:val="0"/>
        <w:rPr>
          <w:rFonts w:eastAsia="HelenPro-Bold"/>
          <w:b/>
          <w:bCs/>
        </w:rPr>
      </w:pPr>
      <w:r w:rsidRPr="00AA1B1D">
        <w:rPr>
          <w:rFonts w:eastAsia="HelenPro-Bold"/>
          <w:b/>
          <w:bCs/>
        </w:rPr>
        <w:t>Serial sampling is recommended to detect the temporal rise and fall of</w:t>
      </w:r>
      <w:r w:rsidR="00AA1B1D">
        <w:rPr>
          <w:rFonts w:eastAsia="HelenPro-Bold"/>
          <w:b/>
          <w:bCs/>
        </w:rPr>
        <w:t xml:space="preserve"> </w:t>
      </w:r>
      <w:r w:rsidRPr="00AA1B1D">
        <w:rPr>
          <w:rFonts w:eastAsia="HelenPro-Bold"/>
          <w:b/>
          <w:bCs/>
        </w:rPr>
        <w:t>troponin levels characteristic of MI.</w:t>
      </w:r>
    </w:p>
    <w:p w:rsidR="00FB2A26" w:rsidRPr="00AA1B1D" w:rsidRDefault="00FB2A26" w:rsidP="00FB2A26">
      <w:pPr>
        <w:autoSpaceDE w:val="0"/>
        <w:autoSpaceDN w:val="0"/>
        <w:adjustRightInd w:val="0"/>
        <w:rPr>
          <w:rFonts w:eastAsia="HelenPro-Bold"/>
          <w:b/>
          <w:bCs/>
        </w:rPr>
      </w:pPr>
      <w:r w:rsidRPr="00AA1B1D">
        <w:rPr>
          <w:rFonts w:eastAsia="HelenPro-Bold"/>
          <w:b/>
          <w:bCs/>
        </w:rPr>
        <w:t xml:space="preserve">The ARCHITECT </w:t>
      </w:r>
      <w:r w:rsidRPr="00AA1B1D">
        <w:rPr>
          <w:rFonts w:eastAsia="HelenPro-Bold"/>
          <w:b/>
          <w:bCs/>
          <w:i/>
          <w:iCs/>
        </w:rPr>
        <w:t xml:space="preserve">STAT </w:t>
      </w:r>
      <w:r w:rsidRPr="00AA1B1D">
        <w:rPr>
          <w:rFonts w:eastAsia="HelenPro-Bold"/>
          <w:b/>
          <w:bCs/>
        </w:rPr>
        <w:t xml:space="preserve">Troponin-I assay </w:t>
      </w:r>
      <w:r w:rsidR="00AA1B1D">
        <w:rPr>
          <w:rFonts w:eastAsia="HelenPro-Bold"/>
          <w:b/>
          <w:bCs/>
        </w:rPr>
        <w:t xml:space="preserve">diagnostic cutoff is 0.30 </w:t>
      </w:r>
      <w:proofErr w:type="spellStart"/>
      <w:r w:rsidR="00AA1B1D">
        <w:rPr>
          <w:rFonts w:eastAsia="HelenPro-Bold"/>
          <w:b/>
          <w:bCs/>
        </w:rPr>
        <w:t>ng</w:t>
      </w:r>
      <w:proofErr w:type="spellEnd"/>
      <w:r w:rsidR="00AA1B1D">
        <w:rPr>
          <w:rFonts w:eastAsia="HelenPro-Bold"/>
          <w:b/>
          <w:bCs/>
        </w:rPr>
        <w:t xml:space="preserve">/mL </w:t>
      </w:r>
      <w:r w:rsidRPr="00AA1B1D">
        <w:rPr>
          <w:rFonts w:eastAsia="HelenPro-Bold"/>
          <w:b/>
          <w:bCs/>
        </w:rPr>
        <w:t xml:space="preserve">(0.30 </w:t>
      </w:r>
      <w:proofErr w:type="spellStart"/>
      <w:r w:rsidRPr="00AA1B1D">
        <w:rPr>
          <w:rFonts w:eastAsia="HelenPro-Bold"/>
          <w:b/>
          <w:bCs/>
        </w:rPr>
        <w:t>μg</w:t>
      </w:r>
      <w:proofErr w:type="spellEnd"/>
      <w:r w:rsidRPr="00AA1B1D">
        <w:rPr>
          <w:rFonts w:eastAsia="HelenPro-Bold"/>
          <w:b/>
          <w:bCs/>
        </w:rPr>
        <w:t>/L).</w:t>
      </w:r>
    </w:p>
    <w:p w:rsidR="00FB2A26" w:rsidRDefault="00FB2A26" w:rsidP="00FB2A26">
      <w:pPr>
        <w:autoSpaceDE w:val="0"/>
        <w:autoSpaceDN w:val="0"/>
        <w:adjustRightInd w:val="0"/>
        <w:rPr>
          <w:rFonts w:eastAsia="HelenPro-Regular"/>
        </w:rPr>
      </w:pPr>
      <w:r>
        <w:rPr>
          <w:noProof/>
        </w:rPr>
        <w:lastRenderedPageBreak/>
        <w:drawing>
          <wp:inline distT="0" distB="0" distL="0" distR="0" wp14:anchorId="515342A8" wp14:editId="2CB63FCA">
            <wp:extent cx="419100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91000" cy="1152525"/>
                    </a:xfrm>
                    <a:prstGeom prst="rect">
                      <a:avLst/>
                    </a:prstGeom>
                  </pic:spPr>
                </pic:pic>
              </a:graphicData>
            </a:graphic>
          </wp:inline>
        </w:drawing>
      </w:r>
    </w:p>
    <w:p w:rsidR="002465E6" w:rsidRDefault="00C818CA" w:rsidP="00C818CA">
      <w:pPr>
        <w:autoSpaceDE w:val="0"/>
        <w:autoSpaceDN w:val="0"/>
        <w:adjustRightInd w:val="0"/>
        <w:rPr>
          <w:rFonts w:eastAsia="HelenPro-Regular"/>
        </w:rPr>
      </w:pPr>
      <w:r>
        <w:rPr>
          <w:noProof/>
        </w:rPr>
        <w:t xml:space="preserve"> </w:t>
      </w:r>
    </w:p>
    <w:p w:rsidR="00274DFC" w:rsidRPr="00274DFC" w:rsidRDefault="00274DFC" w:rsidP="00274DFC">
      <w:pPr>
        <w:autoSpaceDE w:val="0"/>
        <w:autoSpaceDN w:val="0"/>
        <w:adjustRightInd w:val="0"/>
        <w:rPr>
          <w:rFonts w:eastAsia="HelenPro-Regular"/>
        </w:rPr>
      </w:pPr>
      <w:r>
        <w:rPr>
          <w:rFonts w:eastAsia="HelenPro-Regular"/>
        </w:rPr>
        <w:t xml:space="preserve">See </w:t>
      </w:r>
      <w:r w:rsidR="0044368A">
        <w:rPr>
          <w:rFonts w:eastAsia="HelenPro-Regular"/>
        </w:rPr>
        <w:t xml:space="preserve">the </w:t>
      </w:r>
      <w:r>
        <w:rPr>
          <w:rFonts w:eastAsia="HelenPro-Regular"/>
        </w:rPr>
        <w:t>EXPECTED VALUES section of the reagent package insert for more information.</w:t>
      </w:r>
    </w:p>
    <w:p w:rsidR="008F2D66" w:rsidRDefault="008F2D66" w:rsidP="00AB793D">
      <w:pPr>
        <w:rPr>
          <w:b/>
          <w:bCs/>
        </w:rPr>
      </w:pPr>
    </w:p>
    <w:p w:rsidR="0055619E" w:rsidRPr="00835A84" w:rsidRDefault="006D3CB8" w:rsidP="00AB793D">
      <w:pPr>
        <w:rPr>
          <w:b/>
          <w:bCs/>
        </w:rPr>
      </w:pPr>
      <w:r>
        <w:rPr>
          <w:b/>
          <w:bCs/>
        </w:rPr>
        <w:t xml:space="preserve">Serum/Plasma: </w:t>
      </w:r>
      <w:r w:rsidRPr="006D3CB8">
        <w:rPr>
          <w:bCs/>
        </w:rPr>
        <w:t>&lt;0.03 combined healthy population 99</w:t>
      </w:r>
      <w:r w:rsidRPr="006D3CB8">
        <w:rPr>
          <w:bCs/>
          <w:vertAlign w:val="superscript"/>
        </w:rPr>
        <w:t>th</w:t>
      </w:r>
      <w:r w:rsidRPr="006D3CB8">
        <w:rPr>
          <w:bCs/>
        </w:rPr>
        <w:t xml:space="preserve"> percentile</w:t>
      </w:r>
    </w:p>
    <w:p w:rsidR="00D64E39" w:rsidRPr="00835A84" w:rsidRDefault="00D64E39" w:rsidP="00AB793D">
      <w:pPr>
        <w:rPr>
          <w:bCs/>
        </w:rPr>
      </w:pPr>
    </w:p>
    <w:p w:rsidR="00B63E8F" w:rsidRPr="00835A84" w:rsidRDefault="00B63E8F" w:rsidP="00623EFB">
      <w:pPr>
        <w:ind w:right="720"/>
        <w:jc w:val="both"/>
        <w:rPr>
          <w:b/>
        </w:rPr>
      </w:pPr>
      <w:r w:rsidRPr="00835A84">
        <w:rPr>
          <w:b/>
        </w:rPr>
        <w:t>Critical Value</w:t>
      </w:r>
      <w:r w:rsidR="006D3CB8">
        <w:rPr>
          <w:b/>
        </w:rPr>
        <w:t xml:space="preserve">s: </w:t>
      </w:r>
      <w:r w:rsidR="00AE6B04">
        <w:rPr>
          <w:b/>
        </w:rPr>
        <w:t>N/A</w:t>
      </w:r>
    </w:p>
    <w:p w:rsidR="006A1EA2" w:rsidRDefault="006A1EA2" w:rsidP="00AB793D">
      <w:pPr>
        <w:rPr>
          <w:b/>
          <w:sz w:val="28"/>
          <w:szCs w:val="28"/>
        </w:rPr>
      </w:pPr>
    </w:p>
    <w:p w:rsidR="000755A2" w:rsidRDefault="000755A2" w:rsidP="00AB793D">
      <w:pPr>
        <w:rPr>
          <w:b/>
          <w:sz w:val="28"/>
          <w:szCs w:val="28"/>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6A1EA2" w:rsidRPr="00E04456" w:rsidRDefault="006A1EA2" w:rsidP="006A1EA2">
      <w:pPr>
        <w:autoSpaceDE w:val="0"/>
        <w:autoSpaceDN w:val="0"/>
        <w:adjustRightInd w:val="0"/>
        <w:rPr>
          <w:rFonts w:eastAsia="HelenPro-Bold"/>
          <w:b/>
          <w:bCs/>
        </w:rPr>
      </w:pPr>
      <w:r w:rsidRPr="00E04456">
        <w:rPr>
          <w:rFonts w:eastAsia="HelenPro-Bold"/>
          <w:b/>
          <w:bCs/>
        </w:rPr>
        <w:t xml:space="preserve">Sensitivity </w:t>
      </w:r>
    </w:p>
    <w:p w:rsidR="00E04456" w:rsidRPr="00AA1B1D" w:rsidRDefault="00FB2A26" w:rsidP="00FB2A26">
      <w:pPr>
        <w:autoSpaceDE w:val="0"/>
        <w:autoSpaceDN w:val="0"/>
        <w:adjustRightInd w:val="0"/>
        <w:rPr>
          <w:rFonts w:eastAsia="HelenPro-Regular"/>
        </w:rPr>
      </w:pPr>
      <w:r w:rsidRPr="00AA1B1D">
        <w:rPr>
          <w:rFonts w:eastAsia="HelenPro-Regular"/>
        </w:rPr>
        <w:t xml:space="preserve">The ARCHITECT </w:t>
      </w:r>
      <w:r w:rsidRPr="00AA1B1D">
        <w:rPr>
          <w:rFonts w:eastAsia="HelenPro-Regular"/>
          <w:i/>
          <w:iCs/>
        </w:rPr>
        <w:t xml:space="preserve">STAT </w:t>
      </w:r>
      <w:r w:rsidRPr="00AA1B1D">
        <w:rPr>
          <w:rFonts w:eastAsia="HelenPro-Regular"/>
        </w:rPr>
        <w:t>Troponin-I assay analytical sensitivity is ≤</w:t>
      </w:r>
      <w:r w:rsidR="00AA1B1D">
        <w:rPr>
          <w:rFonts w:eastAsia="HelenPro-Regular"/>
        </w:rPr>
        <w:t xml:space="preserve"> 0.01 </w:t>
      </w:r>
      <w:proofErr w:type="spellStart"/>
      <w:r w:rsidR="00AA1B1D">
        <w:rPr>
          <w:rFonts w:eastAsia="HelenPro-Regular"/>
        </w:rPr>
        <w:t>ng</w:t>
      </w:r>
      <w:proofErr w:type="spellEnd"/>
      <w:r w:rsidR="00AA1B1D">
        <w:rPr>
          <w:rFonts w:eastAsia="HelenPro-Regular"/>
        </w:rPr>
        <w:t xml:space="preserve">/mL </w:t>
      </w:r>
      <w:r w:rsidRPr="00AA1B1D">
        <w:rPr>
          <w:rFonts w:eastAsia="HelenPro-Regular"/>
        </w:rPr>
        <w:t xml:space="preserve">(≤ 0.01 </w:t>
      </w:r>
      <w:proofErr w:type="spellStart"/>
      <w:r w:rsidRPr="00AA1B1D">
        <w:rPr>
          <w:rFonts w:eastAsia="HelenPro-Regular"/>
        </w:rPr>
        <w:t>μg</w:t>
      </w:r>
      <w:proofErr w:type="spellEnd"/>
      <w:r w:rsidRPr="00AA1B1D">
        <w:rPr>
          <w:rFonts w:eastAsia="HelenPro-Regular"/>
        </w:rPr>
        <w:t>/L) at the 95% level of confidence</w:t>
      </w:r>
    </w:p>
    <w:p w:rsidR="000755A2" w:rsidRDefault="000755A2" w:rsidP="0060398E">
      <w:pPr>
        <w:autoSpaceDE w:val="0"/>
        <w:autoSpaceDN w:val="0"/>
        <w:adjustRightInd w:val="0"/>
        <w:rPr>
          <w:rFonts w:eastAsia="HelenPro-Regular"/>
          <w:b/>
        </w:rPr>
      </w:pPr>
    </w:p>
    <w:p w:rsidR="009B11DE" w:rsidRPr="00AA1B1D" w:rsidRDefault="009B11DE" w:rsidP="0060398E">
      <w:pPr>
        <w:autoSpaceDE w:val="0"/>
        <w:autoSpaceDN w:val="0"/>
        <w:adjustRightInd w:val="0"/>
        <w:rPr>
          <w:rFonts w:eastAsia="HelenPro-Regular"/>
          <w:b/>
        </w:rPr>
      </w:pPr>
      <w:r w:rsidRPr="00AA1B1D">
        <w:rPr>
          <w:rFonts w:eastAsia="HelenPro-Regular"/>
          <w:b/>
        </w:rPr>
        <w:t>Linearity</w:t>
      </w:r>
    </w:p>
    <w:p w:rsidR="004C3F78" w:rsidRPr="00AA1B1D" w:rsidRDefault="006A1EA2" w:rsidP="004C3F78">
      <w:pPr>
        <w:autoSpaceDE w:val="0"/>
        <w:autoSpaceDN w:val="0"/>
        <w:adjustRightInd w:val="0"/>
        <w:rPr>
          <w:rFonts w:eastAsia="HelenPro-Regular"/>
        </w:rPr>
      </w:pPr>
      <w:r w:rsidRPr="00AA1B1D">
        <w:rPr>
          <w:rFonts w:eastAsia="HelenPro-Regular"/>
        </w:rPr>
        <w:t xml:space="preserve">The ARCHITECT </w:t>
      </w:r>
      <w:r w:rsidR="00981E26" w:rsidRPr="00FB2A26">
        <w:rPr>
          <w:rFonts w:eastAsia="HelenPro-Regular"/>
          <w:i/>
          <w:iCs/>
        </w:rPr>
        <w:t xml:space="preserve">STAT </w:t>
      </w:r>
      <w:r w:rsidR="00981E26" w:rsidRPr="00FB2A26">
        <w:rPr>
          <w:rFonts w:eastAsia="HelenPro-Regular"/>
        </w:rPr>
        <w:t xml:space="preserve">Troponin-I </w:t>
      </w:r>
      <w:r w:rsidRPr="00AA1B1D">
        <w:rPr>
          <w:rFonts w:eastAsia="HelenPro-Regular"/>
        </w:rPr>
        <w:t xml:space="preserve">assay is designed to be linear across the measurement range of </w:t>
      </w:r>
      <w:r w:rsidR="00FB2A26" w:rsidRPr="00AA1B1D">
        <w:rPr>
          <w:rFonts w:eastAsia="HelenPro-Regular"/>
        </w:rPr>
        <w:t>0.01 to 5</w:t>
      </w:r>
      <w:r w:rsidR="00C818CA" w:rsidRPr="00AA1B1D">
        <w:rPr>
          <w:rFonts w:eastAsia="HelenPro-Regular"/>
        </w:rPr>
        <w:t>0</w:t>
      </w:r>
      <w:r w:rsidR="004C3F78" w:rsidRPr="00AA1B1D">
        <w:rPr>
          <w:rFonts w:eastAsia="HelenPro-Regular"/>
        </w:rPr>
        <w:t xml:space="preserve"> </w:t>
      </w:r>
      <w:proofErr w:type="spellStart"/>
      <w:r w:rsidR="00C818CA" w:rsidRPr="00AA1B1D">
        <w:rPr>
          <w:rFonts w:eastAsia="HelenPro-Regular"/>
        </w:rPr>
        <w:t>ng</w:t>
      </w:r>
      <w:proofErr w:type="spellEnd"/>
      <w:r w:rsidR="00C818CA" w:rsidRPr="00AA1B1D">
        <w:rPr>
          <w:rFonts w:eastAsia="HelenPro-Regular"/>
        </w:rPr>
        <w:t>/</w:t>
      </w:r>
      <w:proofErr w:type="spellStart"/>
      <w:r w:rsidR="00C818CA" w:rsidRPr="00AA1B1D">
        <w:rPr>
          <w:rFonts w:eastAsia="HelenPro-Regular"/>
        </w:rPr>
        <w:t>mL</w:t>
      </w:r>
      <w:r w:rsidR="004C3F78" w:rsidRPr="00AA1B1D">
        <w:rPr>
          <w:rFonts w:eastAsia="HelenPro-Regular"/>
        </w:rPr>
        <w:t>.</w:t>
      </w:r>
      <w:proofErr w:type="spellEnd"/>
      <w:r w:rsidR="004C3F78" w:rsidRPr="00AA1B1D">
        <w:rPr>
          <w:rFonts w:eastAsia="HelenPro-Regular"/>
        </w:rPr>
        <w:t xml:space="preserve">  See information in the </w:t>
      </w:r>
      <w:r w:rsidR="004C3F78" w:rsidRPr="00AA1B1D">
        <w:rPr>
          <w:rFonts w:eastAsia="HelenPro-Bold"/>
          <w:b/>
          <w:bCs/>
        </w:rPr>
        <w:t xml:space="preserve">SPECIFIC PERFORMANCE CHARACTERISTICS </w:t>
      </w:r>
      <w:r w:rsidR="004C3F78" w:rsidRPr="00AA1B1D">
        <w:rPr>
          <w:rFonts w:eastAsia="HelenPro-Bold"/>
          <w:bCs/>
        </w:rPr>
        <w:t>section of the package insert.</w:t>
      </w:r>
    </w:p>
    <w:p w:rsidR="00E04456" w:rsidRPr="00AA1B1D" w:rsidRDefault="00E04456" w:rsidP="002C2F49">
      <w:pPr>
        <w:rPr>
          <w:rFonts w:eastAsia="HelenPro-Bold"/>
          <w:b/>
          <w:bCs/>
        </w:rPr>
      </w:pPr>
    </w:p>
    <w:p w:rsidR="00912FE4" w:rsidRPr="00AA1B1D" w:rsidRDefault="00912FE4" w:rsidP="002C2F49">
      <w:pPr>
        <w:rPr>
          <w:rFonts w:eastAsia="HelenPro-Bold"/>
          <w:b/>
          <w:bCs/>
        </w:rPr>
      </w:pPr>
      <w:r w:rsidRPr="00AA1B1D">
        <w:rPr>
          <w:rFonts w:eastAsia="HelenPro-Bold"/>
          <w:b/>
          <w:bCs/>
        </w:rPr>
        <w:t>Dilution:</w:t>
      </w:r>
      <w:r w:rsidR="00973EAF" w:rsidRPr="00AA1B1D">
        <w:rPr>
          <w:rFonts w:eastAsia="HelenPro-Bold"/>
          <w:b/>
          <w:bCs/>
        </w:rPr>
        <w:t xml:space="preserve"> </w:t>
      </w:r>
    </w:p>
    <w:p w:rsidR="00377F9C" w:rsidRPr="00AA1B1D" w:rsidRDefault="00377F9C" w:rsidP="00377F9C">
      <w:pPr>
        <w:autoSpaceDE w:val="0"/>
        <w:autoSpaceDN w:val="0"/>
        <w:adjustRightInd w:val="0"/>
        <w:rPr>
          <w:rFonts w:eastAsia="HelenPro-Regular"/>
        </w:rPr>
      </w:pPr>
      <w:r w:rsidRPr="00AA1B1D">
        <w:rPr>
          <w:rFonts w:eastAsia="HelenPro-Regular"/>
        </w:rPr>
        <w:t xml:space="preserve">Specimens with a troponin-I value exceeding 50.00 </w:t>
      </w:r>
      <w:proofErr w:type="spellStart"/>
      <w:r w:rsidRPr="00AA1B1D">
        <w:rPr>
          <w:rFonts w:eastAsia="HelenPro-Regular"/>
        </w:rPr>
        <w:t>ng</w:t>
      </w:r>
      <w:proofErr w:type="spellEnd"/>
      <w:r w:rsidRPr="00AA1B1D">
        <w:rPr>
          <w:rFonts w:eastAsia="HelenPro-Regular"/>
        </w:rPr>
        <w:t xml:space="preserve">/mL (50.00 </w:t>
      </w:r>
      <w:proofErr w:type="spellStart"/>
      <w:r w:rsidRPr="00AA1B1D">
        <w:rPr>
          <w:rFonts w:eastAsia="HelenPro-Regular"/>
        </w:rPr>
        <w:t>μ</w:t>
      </w:r>
      <w:r w:rsidR="00AA1B1D">
        <w:rPr>
          <w:rFonts w:eastAsia="HelenPro-Regular"/>
        </w:rPr>
        <w:t>g</w:t>
      </w:r>
      <w:proofErr w:type="spellEnd"/>
      <w:r w:rsidR="00AA1B1D">
        <w:rPr>
          <w:rFonts w:eastAsia="HelenPro-Regular"/>
        </w:rPr>
        <w:t xml:space="preserve">/L) </w:t>
      </w:r>
      <w:r w:rsidRPr="00AA1B1D">
        <w:rPr>
          <w:rFonts w:eastAsia="HelenPro-Regular"/>
        </w:rPr>
        <w:t>are flagged with the code “&gt;50.00” and may be diluted with the Automated</w:t>
      </w:r>
      <w:r w:rsidR="00AA1B1D">
        <w:rPr>
          <w:rFonts w:eastAsia="HelenPro-Regular"/>
        </w:rPr>
        <w:t xml:space="preserve"> </w:t>
      </w:r>
      <w:r w:rsidRPr="00AA1B1D">
        <w:rPr>
          <w:rFonts w:eastAsia="HelenPro-Regular"/>
        </w:rPr>
        <w:t>Dilution Procedure or the Manual Dilution Procedure.</w:t>
      </w:r>
    </w:p>
    <w:p w:rsidR="00377F9C" w:rsidRPr="00AA1B1D" w:rsidRDefault="00377F9C" w:rsidP="00377F9C">
      <w:pPr>
        <w:autoSpaceDE w:val="0"/>
        <w:autoSpaceDN w:val="0"/>
        <w:adjustRightInd w:val="0"/>
        <w:rPr>
          <w:rFonts w:eastAsia="HelenPro-Regular"/>
          <w:u w:val="single"/>
        </w:rPr>
      </w:pPr>
      <w:r w:rsidRPr="00AA1B1D">
        <w:rPr>
          <w:rFonts w:eastAsia="HelenPro-Regular"/>
          <w:u w:val="single"/>
        </w:rPr>
        <w:t>Automated Dilution Protocol</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If using the Automated Dilution Prot</w:t>
      </w:r>
      <w:r w:rsidR="00AA1B1D">
        <w:rPr>
          <w:rFonts w:eastAsia="HelenPro-Regular"/>
        </w:rPr>
        <w:t xml:space="preserve">ocol, the system performs a 1:9 </w:t>
      </w:r>
      <w:r w:rsidRPr="00AA1B1D">
        <w:rPr>
          <w:rFonts w:eastAsia="HelenPro-Regular"/>
        </w:rPr>
        <w:t>dilution of the specimen and automatically calculates the concentration</w:t>
      </w:r>
      <w:r w:rsidR="00AA1B1D">
        <w:rPr>
          <w:rFonts w:eastAsia="HelenPro-Regular"/>
        </w:rPr>
        <w:t xml:space="preserve"> </w:t>
      </w:r>
      <w:r w:rsidRPr="00AA1B1D">
        <w:rPr>
          <w:rFonts w:eastAsia="HelenPro-Regular"/>
        </w:rPr>
        <w:t>of the specimen before dilution and reports the result.</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Specimens with a troponin-I value exceeding 44</w:t>
      </w:r>
      <w:r w:rsidR="00AA1B1D">
        <w:rPr>
          <w:rFonts w:eastAsia="HelenPro-Regular"/>
        </w:rPr>
        <w:t xml:space="preserve">0.00 </w:t>
      </w:r>
      <w:proofErr w:type="spellStart"/>
      <w:r w:rsidR="00AA1B1D">
        <w:rPr>
          <w:rFonts w:eastAsia="HelenPro-Regular"/>
        </w:rPr>
        <w:t>ng</w:t>
      </w:r>
      <w:proofErr w:type="spellEnd"/>
      <w:r w:rsidR="00AA1B1D">
        <w:rPr>
          <w:rFonts w:eastAsia="HelenPro-Regular"/>
        </w:rPr>
        <w:t xml:space="preserve">/mL </w:t>
      </w:r>
      <w:r w:rsidRPr="00AA1B1D">
        <w:rPr>
          <w:rFonts w:eastAsia="HelenPro-Regular"/>
        </w:rPr>
        <w:t xml:space="preserve">(440.00 </w:t>
      </w:r>
      <w:proofErr w:type="spellStart"/>
      <w:r w:rsidRPr="00AA1B1D">
        <w:rPr>
          <w:rFonts w:eastAsia="HelenPro-Regular"/>
        </w:rPr>
        <w:t>μg</w:t>
      </w:r>
      <w:proofErr w:type="spellEnd"/>
      <w:r w:rsidRPr="00AA1B1D">
        <w:rPr>
          <w:rFonts w:eastAsia="HelenPro-Regular"/>
        </w:rPr>
        <w:t>/L) are flagged with the code “&gt;440.00” when run using</w:t>
      </w:r>
      <w:r w:rsidR="00AA1B1D">
        <w:rPr>
          <w:rFonts w:eastAsia="HelenPro-Regular"/>
        </w:rPr>
        <w:t xml:space="preserve"> </w:t>
      </w:r>
      <w:r w:rsidRPr="00AA1B1D">
        <w:rPr>
          <w:rFonts w:eastAsia="HelenPro-Regular"/>
        </w:rPr>
        <w:t>the Automated Dilution Protocol. These specimens may be diluted by</w:t>
      </w:r>
      <w:r w:rsidR="00AA1B1D">
        <w:rPr>
          <w:rFonts w:eastAsia="HelenPro-Regular"/>
        </w:rPr>
        <w:t xml:space="preserve"> </w:t>
      </w:r>
      <w:r w:rsidRPr="00AA1B1D">
        <w:rPr>
          <w:rFonts w:eastAsia="HelenPro-Regular"/>
        </w:rPr>
        <w:t>the following Manual Dilution Procedure.</w:t>
      </w:r>
    </w:p>
    <w:p w:rsidR="00377F9C" w:rsidRPr="00AA1B1D" w:rsidRDefault="00377F9C" w:rsidP="00377F9C">
      <w:pPr>
        <w:autoSpaceDE w:val="0"/>
        <w:autoSpaceDN w:val="0"/>
        <w:adjustRightInd w:val="0"/>
        <w:rPr>
          <w:rFonts w:eastAsia="HelenPro-Regular"/>
          <w:u w:val="single"/>
        </w:rPr>
      </w:pPr>
      <w:r w:rsidRPr="00AA1B1D">
        <w:rPr>
          <w:rFonts w:eastAsia="HelenPro-Regular"/>
          <w:u w:val="single"/>
        </w:rPr>
        <w:t>Manual Dilution Procedure</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Manual dilutions should be performed as follows:</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The suggested dilution for a troponin-I test is 1:20.</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Prior to diluting the spec</w:t>
      </w:r>
      <w:r w:rsidR="00AA1B1D">
        <w:rPr>
          <w:rFonts w:eastAsia="HelenPro-Regular"/>
        </w:rPr>
        <w:t xml:space="preserve">imen, dispense several drops of </w:t>
      </w:r>
      <w:r w:rsidRPr="00AA1B1D">
        <w:rPr>
          <w:rFonts w:eastAsia="HelenPro-Regular"/>
        </w:rPr>
        <w:t xml:space="preserve">ARCHITECT </w:t>
      </w:r>
      <w:r w:rsidRPr="00AA1B1D">
        <w:rPr>
          <w:rFonts w:eastAsia="HelenPro-Regular"/>
          <w:i/>
          <w:iCs/>
        </w:rPr>
        <w:t xml:space="preserve">STAT </w:t>
      </w:r>
      <w:r w:rsidRPr="00AA1B1D">
        <w:rPr>
          <w:rFonts w:eastAsia="HelenPro-Regular"/>
        </w:rPr>
        <w:t>Troponin-I Calibrator A into a clean test tube for</w:t>
      </w:r>
      <w:r w:rsidR="00AA1B1D">
        <w:rPr>
          <w:rFonts w:eastAsia="HelenPro-Regular"/>
        </w:rPr>
        <w:t xml:space="preserve"> </w:t>
      </w:r>
      <w:r w:rsidRPr="00AA1B1D">
        <w:rPr>
          <w:rFonts w:eastAsia="HelenPro-Regular"/>
        </w:rPr>
        <w:t>use in the next step.</w:t>
      </w:r>
    </w:p>
    <w:p w:rsidR="00377F9C" w:rsidRPr="00AA1B1D" w:rsidRDefault="00377F9C" w:rsidP="00377F9C">
      <w:pPr>
        <w:autoSpaceDE w:val="0"/>
        <w:autoSpaceDN w:val="0"/>
        <w:adjustRightInd w:val="0"/>
        <w:rPr>
          <w:rFonts w:eastAsia="HelenPro-Regular"/>
          <w:i/>
          <w:iCs/>
        </w:rPr>
      </w:pPr>
      <w:r w:rsidRPr="00AA1B1D">
        <w:rPr>
          <w:rFonts w:eastAsia="HelenPro-Bold"/>
          <w:b/>
          <w:bCs/>
        </w:rPr>
        <w:t xml:space="preserve">• </w:t>
      </w:r>
      <w:r w:rsidRPr="00AA1B1D">
        <w:rPr>
          <w:rFonts w:eastAsia="HelenPro-Regular"/>
        </w:rPr>
        <w:t xml:space="preserve">Add 10 </w:t>
      </w:r>
      <w:proofErr w:type="spellStart"/>
      <w:r w:rsidRPr="00AA1B1D">
        <w:rPr>
          <w:rFonts w:eastAsia="HelenPro-Regular"/>
        </w:rPr>
        <w:t>μL</w:t>
      </w:r>
      <w:proofErr w:type="spellEnd"/>
      <w:r w:rsidRPr="00AA1B1D">
        <w:rPr>
          <w:rFonts w:eastAsia="HelenPro-Regular"/>
        </w:rPr>
        <w:t xml:space="preserve"> of the patient specimen to 190 </w:t>
      </w:r>
      <w:proofErr w:type="spellStart"/>
      <w:r w:rsidRPr="00AA1B1D">
        <w:rPr>
          <w:rFonts w:eastAsia="HelenPro-Regular"/>
        </w:rPr>
        <w:t>μL</w:t>
      </w:r>
      <w:proofErr w:type="spellEnd"/>
      <w:r w:rsidRPr="00AA1B1D">
        <w:rPr>
          <w:rFonts w:eastAsia="HelenPro-Regular"/>
        </w:rPr>
        <w:t xml:space="preserve"> of ARCHITECT </w:t>
      </w:r>
      <w:r w:rsidRPr="00AA1B1D">
        <w:rPr>
          <w:rFonts w:eastAsia="HelenPro-Regular"/>
          <w:i/>
          <w:iCs/>
        </w:rPr>
        <w:t>STAT</w:t>
      </w:r>
      <w:r w:rsidR="00AA1B1D">
        <w:rPr>
          <w:rFonts w:eastAsia="HelenPro-Regular"/>
          <w:i/>
          <w:iCs/>
        </w:rPr>
        <w:t xml:space="preserve"> </w:t>
      </w:r>
      <w:r w:rsidRPr="00AA1B1D">
        <w:rPr>
          <w:rFonts w:eastAsia="HelenPro-Regular"/>
        </w:rPr>
        <w:t>Troponin-I Calibrator A.</w:t>
      </w:r>
    </w:p>
    <w:p w:rsidR="00377F9C" w:rsidRPr="00AA1B1D" w:rsidRDefault="00377F9C" w:rsidP="00377F9C">
      <w:pPr>
        <w:autoSpaceDE w:val="0"/>
        <w:autoSpaceDN w:val="0"/>
        <w:adjustRightInd w:val="0"/>
        <w:rPr>
          <w:rFonts w:eastAsia="HelenPro-Regular"/>
        </w:rPr>
      </w:pPr>
      <w:r w:rsidRPr="00AA1B1D">
        <w:rPr>
          <w:rFonts w:eastAsia="HelenPro-Bold"/>
          <w:b/>
          <w:bCs/>
        </w:rPr>
        <w:t xml:space="preserve">• </w:t>
      </w:r>
      <w:r w:rsidRPr="00AA1B1D">
        <w:rPr>
          <w:rFonts w:eastAsia="HelenPro-Regular"/>
        </w:rPr>
        <w:t>The operator must enter the di</w:t>
      </w:r>
      <w:r w:rsidR="00AA1B1D">
        <w:rPr>
          <w:rFonts w:eastAsia="HelenPro-Regular"/>
        </w:rPr>
        <w:t xml:space="preserve">lution factor in the Patient or </w:t>
      </w:r>
      <w:r w:rsidRPr="00AA1B1D">
        <w:rPr>
          <w:rFonts w:eastAsia="HelenPro-Regular"/>
        </w:rPr>
        <w:t>Control order screen. The system will use this dilution factor to</w:t>
      </w:r>
      <w:r w:rsidR="00AA1B1D">
        <w:rPr>
          <w:rFonts w:eastAsia="HelenPro-Regular"/>
        </w:rPr>
        <w:t xml:space="preserve"> </w:t>
      </w:r>
      <w:r w:rsidRPr="00AA1B1D">
        <w:rPr>
          <w:rFonts w:eastAsia="HelenPro-Regular"/>
        </w:rPr>
        <w:t>automatically calculate the concentration of the sample before</w:t>
      </w:r>
      <w:r w:rsidR="00AA1B1D">
        <w:rPr>
          <w:rFonts w:eastAsia="HelenPro-Regular"/>
        </w:rPr>
        <w:t xml:space="preserve"> </w:t>
      </w:r>
      <w:r w:rsidRPr="00AA1B1D">
        <w:rPr>
          <w:rFonts w:eastAsia="HelenPro-Regular"/>
        </w:rPr>
        <w:t>dilution. This will be the reported result. The concentration of</w:t>
      </w:r>
      <w:r w:rsidR="00AA1B1D">
        <w:rPr>
          <w:rFonts w:eastAsia="HelenPro-Regular"/>
        </w:rPr>
        <w:t xml:space="preserve"> </w:t>
      </w:r>
      <w:r w:rsidRPr="00AA1B1D">
        <w:rPr>
          <w:rFonts w:eastAsia="HelenPro-Regular"/>
        </w:rPr>
        <w:t>the specimen diluted (before dilution factor is applied) should be</w:t>
      </w:r>
      <w:r w:rsidR="00AA1B1D">
        <w:rPr>
          <w:rFonts w:eastAsia="HelenPro-Regular"/>
        </w:rPr>
        <w:t xml:space="preserve"> </w:t>
      </w:r>
      <w:r w:rsidRPr="00AA1B1D">
        <w:rPr>
          <w:rFonts w:eastAsia="HelenPro-Regular"/>
        </w:rPr>
        <w:t xml:space="preserve">2.5 </w:t>
      </w:r>
      <w:proofErr w:type="spellStart"/>
      <w:r w:rsidRPr="00AA1B1D">
        <w:rPr>
          <w:rFonts w:eastAsia="HelenPro-Regular"/>
        </w:rPr>
        <w:t>ng</w:t>
      </w:r>
      <w:proofErr w:type="spellEnd"/>
      <w:r w:rsidRPr="00AA1B1D">
        <w:rPr>
          <w:rFonts w:eastAsia="HelenPro-Regular"/>
        </w:rPr>
        <w:t xml:space="preserve">/mL (2.5 </w:t>
      </w:r>
      <w:proofErr w:type="spellStart"/>
      <w:r w:rsidRPr="00AA1B1D">
        <w:rPr>
          <w:rFonts w:eastAsia="HelenPro-Regular"/>
        </w:rPr>
        <w:t>μg</w:t>
      </w:r>
      <w:proofErr w:type="spellEnd"/>
      <w:r w:rsidRPr="00AA1B1D">
        <w:rPr>
          <w:rFonts w:eastAsia="HelenPro-Regular"/>
        </w:rPr>
        <w:t>/L) or greater.</w:t>
      </w:r>
    </w:p>
    <w:p w:rsidR="002E528E" w:rsidRPr="00AA1B1D" w:rsidRDefault="00377F9C" w:rsidP="00377F9C">
      <w:pPr>
        <w:autoSpaceDE w:val="0"/>
        <w:autoSpaceDN w:val="0"/>
        <w:adjustRightInd w:val="0"/>
        <w:rPr>
          <w:rFonts w:eastAsia="HelenPro-Regular"/>
        </w:rPr>
      </w:pPr>
      <w:r w:rsidRPr="00AA1B1D">
        <w:rPr>
          <w:rFonts w:eastAsia="HelenPro-Bold"/>
          <w:b/>
          <w:bCs/>
        </w:rPr>
        <w:lastRenderedPageBreak/>
        <w:t xml:space="preserve">• </w:t>
      </w:r>
      <w:r w:rsidRPr="00AA1B1D">
        <w:rPr>
          <w:rFonts w:eastAsia="HelenPro-Regular"/>
        </w:rPr>
        <w:t>For detailed information on o</w:t>
      </w:r>
      <w:r w:rsidR="00AA1B1D">
        <w:rPr>
          <w:rFonts w:eastAsia="HelenPro-Regular"/>
        </w:rPr>
        <w:t xml:space="preserve">rdering dilutions, refer to the </w:t>
      </w:r>
      <w:r w:rsidRPr="00AA1B1D">
        <w:rPr>
          <w:rFonts w:eastAsia="HelenPro-Regular"/>
        </w:rPr>
        <w:t>ARCHITECT System Operations Manual, Section 5.</w:t>
      </w:r>
    </w:p>
    <w:p w:rsidR="00DA0D83" w:rsidRPr="00AA1B1D" w:rsidRDefault="00DA0D83" w:rsidP="00F95946">
      <w:pPr>
        <w:rPr>
          <w:b/>
          <w:color w:val="000000"/>
        </w:rPr>
      </w:pPr>
    </w:p>
    <w:p w:rsidR="00912FE4" w:rsidRPr="00AA1B1D" w:rsidRDefault="00912FE4" w:rsidP="00F95946">
      <w:pPr>
        <w:rPr>
          <w:rFonts w:eastAsia="HelenPro-Regular"/>
        </w:rPr>
      </w:pPr>
      <w:r w:rsidRPr="00AA1B1D">
        <w:rPr>
          <w:b/>
          <w:color w:val="000000"/>
        </w:rPr>
        <w:t>Precision:</w:t>
      </w:r>
      <w:r w:rsidR="0038442D" w:rsidRPr="00AA1B1D">
        <w:rPr>
          <w:b/>
          <w:color w:val="000000"/>
        </w:rPr>
        <w:t xml:space="preserve"> </w:t>
      </w:r>
    </w:p>
    <w:p w:rsidR="006E4F64" w:rsidRPr="00AA1B1D" w:rsidRDefault="00FB2A26" w:rsidP="00FB2A26">
      <w:pPr>
        <w:autoSpaceDE w:val="0"/>
        <w:autoSpaceDN w:val="0"/>
        <w:adjustRightInd w:val="0"/>
        <w:rPr>
          <w:rFonts w:eastAsia="HelenPro-Regular"/>
        </w:rPr>
      </w:pPr>
      <w:r w:rsidRPr="00AA1B1D">
        <w:rPr>
          <w:rFonts w:eastAsia="HelenPro-Regular"/>
        </w:rPr>
        <w:t xml:space="preserve">The ARCHITECT </w:t>
      </w:r>
      <w:r w:rsidRPr="00AA1B1D">
        <w:rPr>
          <w:rFonts w:eastAsia="HelenPro-Regular"/>
          <w:i/>
          <w:iCs/>
        </w:rPr>
        <w:t xml:space="preserve">STAT </w:t>
      </w:r>
      <w:r w:rsidRPr="00AA1B1D">
        <w:rPr>
          <w:rFonts w:eastAsia="HelenPro-Regular"/>
        </w:rPr>
        <w:t>Troponin-I a</w:t>
      </w:r>
      <w:r w:rsidR="00AA1B1D">
        <w:rPr>
          <w:rFonts w:eastAsia="HelenPro-Regular"/>
        </w:rPr>
        <w:t xml:space="preserve">ssay concentration at 10% CV is </w:t>
      </w:r>
      <w:r w:rsidRPr="00AA1B1D">
        <w:rPr>
          <w:rFonts w:eastAsia="HelenPro-Regular"/>
        </w:rPr>
        <w:t xml:space="preserve">≤ 0.10 </w:t>
      </w:r>
      <w:proofErr w:type="spellStart"/>
      <w:r w:rsidRPr="00AA1B1D">
        <w:rPr>
          <w:rFonts w:eastAsia="HelenPro-Regular"/>
        </w:rPr>
        <w:t>ng</w:t>
      </w:r>
      <w:proofErr w:type="spellEnd"/>
      <w:r w:rsidRPr="00AA1B1D">
        <w:rPr>
          <w:rFonts w:eastAsia="HelenPro-Regular"/>
        </w:rPr>
        <w:t xml:space="preserve">/mL (≤ 0.10 </w:t>
      </w:r>
      <w:proofErr w:type="spellStart"/>
      <w:r w:rsidRPr="00AA1B1D">
        <w:rPr>
          <w:rFonts w:eastAsia="HelenPro-Regular"/>
        </w:rPr>
        <w:t>μg</w:t>
      </w:r>
      <w:proofErr w:type="spellEnd"/>
      <w:r w:rsidRPr="00AA1B1D">
        <w:rPr>
          <w:rFonts w:eastAsia="HelenPro-Regular"/>
        </w:rPr>
        <w:t>/L).</w:t>
      </w:r>
    </w:p>
    <w:p w:rsidR="0060398E" w:rsidRPr="00AA1B1D" w:rsidRDefault="006A1EA2" w:rsidP="0060398E">
      <w:pPr>
        <w:autoSpaceDE w:val="0"/>
        <w:autoSpaceDN w:val="0"/>
        <w:adjustRightInd w:val="0"/>
        <w:rPr>
          <w:rFonts w:eastAsia="HelenPro-Regular"/>
        </w:rPr>
      </w:pPr>
      <w:r w:rsidRPr="00AA1B1D">
        <w:rPr>
          <w:rFonts w:eastAsia="HelenPro-Regular"/>
        </w:rPr>
        <w:t xml:space="preserve">See information in the </w:t>
      </w:r>
      <w:r w:rsidRPr="00AA1B1D">
        <w:rPr>
          <w:rFonts w:eastAsia="HelenPro-Bold"/>
          <w:b/>
          <w:bCs/>
        </w:rPr>
        <w:t xml:space="preserve">SPECIFIC PERFORMANCE CHARACTERISTICS </w:t>
      </w:r>
      <w:r w:rsidRPr="00AA1B1D">
        <w:rPr>
          <w:rFonts w:eastAsia="HelenPro-Bold"/>
          <w:bCs/>
        </w:rPr>
        <w:t>section of the package insert.</w:t>
      </w:r>
    </w:p>
    <w:p w:rsidR="00C53E37" w:rsidRPr="00AA1B1D" w:rsidRDefault="00BC5E10" w:rsidP="00C53E37">
      <w:pPr>
        <w:pStyle w:val="Heading4"/>
        <w:rPr>
          <w:sz w:val="24"/>
          <w:szCs w:val="24"/>
        </w:rPr>
      </w:pPr>
      <w:r w:rsidRPr="00AA1B1D">
        <w:rPr>
          <w:sz w:val="24"/>
          <w:szCs w:val="24"/>
        </w:rPr>
        <w:t>L</w:t>
      </w:r>
      <w:r w:rsidR="00C53E37" w:rsidRPr="00AA1B1D">
        <w:rPr>
          <w:sz w:val="24"/>
          <w:szCs w:val="24"/>
        </w:rPr>
        <w:t>imitations of Procedure</w:t>
      </w:r>
      <w:r w:rsidR="00973EAF" w:rsidRPr="00AA1B1D">
        <w:rPr>
          <w:sz w:val="24"/>
          <w:szCs w:val="24"/>
        </w:rPr>
        <w:t xml:space="preserve"> </w:t>
      </w:r>
    </w:p>
    <w:p w:rsidR="005B1BF7" w:rsidRPr="00AA1B1D" w:rsidRDefault="005B1BF7" w:rsidP="00F71F72">
      <w:pPr>
        <w:pStyle w:val="ListParagraph"/>
        <w:numPr>
          <w:ilvl w:val="0"/>
          <w:numId w:val="6"/>
        </w:numPr>
        <w:autoSpaceDE w:val="0"/>
        <w:autoSpaceDN w:val="0"/>
        <w:adjustRightInd w:val="0"/>
        <w:rPr>
          <w:rFonts w:eastAsia="HelenPro-Regular"/>
        </w:rPr>
      </w:pPr>
      <w:r w:rsidRPr="00AA1B1D">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A1B1D" w:rsidRDefault="005B1BF7" w:rsidP="00F71F72">
      <w:pPr>
        <w:pStyle w:val="ListParagraph"/>
        <w:numPr>
          <w:ilvl w:val="0"/>
          <w:numId w:val="6"/>
        </w:numPr>
        <w:autoSpaceDE w:val="0"/>
        <w:autoSpaceDN w:val="0"/>
        <w:adjustRightInd w:val="0"/>
        <w:rPr>
          <w:rFonts w:eastAsia="HelenPro-Regular"/>
        </w:rPr>
      </w:pPr>
      <w:proofErr w:type="spellStart"/>
      <w:r w:rsidRPr="00AA1B1D">
        <w:rPr>
          <w:rFonts w:eastAsia="HelenPro-Regular"/>
        </w:rPr>
        <w:t>Heterophilic</w:t>
      </w:r>
      <w:proofErr w:type="spellEnd"/>
      <w:r w:rsidRPr="00AA1B1D">
        <w:rPr>
          <w:rFonts w:eastAsia="HelenPro-Regular"/>
        </w:rPr>
        <w:t xml:space="preserve"> antibodies in human serum can react with reagent </w:t>
      </w:r>
      <w:proofErr w:type="spellStart"/>
      <w:r w:rsidRPr="00AA1B1D">
        <w:rPr>
          <w:rFonts w:eastAsia="HelenPro-Regular"/>
        </w:rPr>
        <w:t>immunoglobulins</w:t>
      </w:r>
      <w:proofErr w:type="spellEnd"/>
      <w:r w:rsidRPr="00AA1B1D">
        <w:rPr>
          <w:rFonts w:eastAsia="HelenPro-Regular"/>
        </w:rPr>
        <w:t xml:space="preserve">, interfering with </w:t>
      </w:r>
      <w:r w:rsidRPr="00AA1B1D">
        <w:rPr>
          <w:rFonts w:eastAsia="HelenPro-Bold"/>
          <w:i/>
          <w:iCs/>
        </w:rPr>
        <w:t xml:space="preserve">in vitro </w:t>
      </w:r>
      <w:r w:rsidRPr="00AA1B1D">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AA1B1D">
        <w:rPr>
          <w:rFonts w:eastAsia="HelenPro-Regular"/>
        </w:rPr>
        <w:t xml:space="preserve"> Immunoassays are nonspecific and cross react with metabolites.</w:t>
      </w:r>
    </w:p>
    <w:p w:rsidR="009B11DE" w:rsidRPr="00AA1B1D" w:rsidRDefault="00FB2A26" w:rsidP="00F71F72">
      <w:pPr>
        <w:pStyle w:val="ListParagraph"/>
        <w:numPr>
          <w:ilvl w:val="0"/>
          <w:numId w:val="6"/>
        </w:numPr>
        <w:autoSpaceDE w:val="0"/>
        <w:autoSpaceDN w:val="0"/>
        <w:adjustRightInd w:val="0"/>
        <w:rPr>
          <w:rFonts w:eastAsia="HelenPro-Regular"/>
        </w:rPr>
      </w:pPr>
      <w:r w:rsidRPr="00AA1B1D">
        <w:rPr>
          <w:rFonts w:eastAsia="HelenPro-Regular"/>
        </w:rPr>
        <w:t>Cardiac troponin-I levels can be increased in any condition resulting in</w:t>
      </w:r>
      <w:r w:rsidR="00AA1B1D">
        <w:rPr>
          <w:rFonts w:eastAsia="HelenPro-Regular"/>
        </w:rPr>
        <w:t xml:space="preserve"> </w:t>
      </w:r>
      <w:r w:rsidRPr="00AA1B1D">
        <w:rPr>
          <w:rFonts w:eastAsia="HelenPro-Regular"/>
        </w:rPr>
        <w:t xml:space="preserve">cardiac cell damage. For MI diagnostic purposes, the ARCHITECT </w:t>
      </w:r>
      <w:r w:rsidRPr="00AA1B1D">
        <w:rPr>
          <w:rFonts w:eastAsia="HelenPro-Regular"/>
          <w:i/>
          <w:iCs/>
        </w:rPr>
        <w:t>STAT</w:t>
      </w:r>
      <w:r w:rsidR="00AA1B1D">
        <w:rPr>
          <w:rFonts w:eastAsia="HelenPro-Regular"/>
          <w:i/>
          <w:iCs/>
        </w:rPr>
        <w:t xml:space="preserve"> </w:t>
      </w:r>
      <w:r w:rsidRPr="00AA1B1D">
        <w:rPr>
          <w:rFonts w:eastAsia="HelenPro-Regular"/>
        </w:rPr>
        <w:t>Troponin-I results should be used in conjunction with other information</w:t>
      </w:r>
      <w:r w:rsidR="00AA1B1D">
        <w:rPr>
          <w:rFonts w:eastAsia="HelenPro-Regular"/>
        </w:rPr>
        <w:t xml:space="preserve"> </w:t>
      </w:r>
      <w:r w:rsidRPr="00AA1B1D">
        <w:rPr>
          <w:rFonts w:eastAsia="HelenPro-Regular"/>
        </w:rPr>
        <w:t>such as cardiac marker results (e.g., CK-MB and/or myoglobin), ECG,</w:t>
      </w:r>
      <w:r w:rsidR="00AA1B1D">
        <w:rPr>
          <w:rFonts w:eastAsia="HelenPro-Regular"/>
        </w:rPr>
        <w:t xml:space="preserve"> </w:t>
      </w:r>
      <w:r w:rsidRPr="00AA1B1D">
        <w:rPr>
          <w:rFonts w:eastAsia="HelenPro-Regular"/>
        </w:rPr>
        <w:t>clinical observations and symptoms, etc.</w:t>
      </w:r>
    </w:p>
    <w:p w:rsidR="00FB2A26" w:rsidRPr="00AA1B1D" w:rsidRDefault="00FB2A26" w:rsidP="00F71F72">
      <w:pPr>
        <w:pStyle w:val="ListParagraph"/>
        <w:numPr>
          <w:ilvl w:val="0"/>
          <w:numId w:val="6"/>
        </w:numPr>
        <w:autoSpaceDE w:val="0"/>
        <w:autoSpaceDN w:val="0"/>
        <w:adjustRightInd w:val="0"/>
        <w:rPr>
          <w:rFonts w:eastAsia="HelenPro-Regular"/>
        </w:rPr>
      </w:pPr>
      <w:r w:rsidRPr="00AA1B1D">
        <w:rPr>
          <w:rFonts w:eastAsia="HelenPro-Regular"/>
        </w:rPr>
        <w:t>A single negative troponin-I result is n</w:t>
      </w:r>
      <w:r w:rsidR="00AA1B1D" w:rsidRPr="00AA1B1D">
        <w:rPr>
          <w:rFonts w:eastAsia="HelenPro-Regular"/>
        </w:rPr>
        <w:t xml:space="preserve">ot sufficient to declare that a </w:t>
      </w:r>
      <w:r w:rsidRPr="00AA1B1D">
        <w:rPr>
          <w:rFonts w:eastAsia="HelenPro-Regular"/>
        </w:rPr>
        <w:t>patient has not had a heart attack or cardiac damage. Serial negative</w:t>
      </w:r>
      <w:r w:rsidR="00AA1B1D" w:rsidRPr="00AA1B1D">
        <w:rPr>
          <w:rFonts w:eastAsia="HelenPro-Regular"/>
        </w:rPr>
        <w:t xml:space="preserve"> </w:t>
      </w:r>
      <w:r w:rsidRPr="00AA1B1D">
        <w:rPr>
          <w:rFonts w:eastAsia="HelenPro-Regular"/>
        </w:rPr>
        <w:t>blood draws over time are recommended before patients are classified</w:t>
      </w:r>
      <w:r w:rsidR="00AA1B1D" w:rsidRPr="00AA1B1D">
        <w:rPr>
          <w:rFonts w:eastAsia="HelenPro-Regular"/>
        </w:rPr>
        <w:t xml:space="preserve"> </w:t>
      </w:r>
      <w:r w:rsidRPr="00AA1B1D">
        <w:rPr>
          <w:rFonts w:eastAsia="HelenPro-Regular"/>
        </w:rPr>
        <w:t>as negative for a heart attack</w:t>
      </w:r>
    </w:p>
    <w:p w:rsidR="00FB2A26" w:rsidRPr="00AA1B1D" w:rsidRDefault="00FB2A26" w:rsidP="00F71F72">
      <w:pPr>
        <w:pStyle w:val="ListParagraph"/>
        <w:numPr>
          <w:ilvl w:val="0"/>
          <w:numId w:val="6"/>
        </w:numPr>
        <w:autoSpaceDE w:val="0"/>
        <w:autoSpaceDN w:val="0"/>
        <w:adjustRightInd w:val="0"/>
        <w:rPr>
          <w:rFonts w:eastAsia="HelenPro-Regular"/>
        </w:rPr>
      </w:pPr>
      <w:r w:rsidRPr="00AA1B1D">
        <w:rPr>
          <w:i/>
          <w:iCs/>
        </w:rPr>
        <w:t xml:space="preserve">In vitro </w:t>
      </w:r>
      <w:r w:rsidRPr="00AA1B1D">
        <w:rPr>
          <w:rFonts w:eastAsia="HelenPro-Regular"/>
        </w:rPr>
        <w:t>studies suggest the measured</w:t>
      </w:r>
      <w:r w:rsidR="00AA1B1D" w:rsidRPr="00AA1B1D">
        <w:rPr>
          <w:rFonts w:eastAsia="HelenPro-Regular"/>
        </w:rPr>
        <w:t xml:space="preserve"> level of cardiac troponin-I in </w:t>
      </w:r>
      <w:r w:rsidRPr="00AA1B1D">
        <w:rPr>
          <w:rFonts w:eastAsia="HelenPro-Regular"/>
        </w:rPr>
        <w:t>serum and plasma specimens may be decreased in the presence of</w:t>
      </w:r>
      <w:r w:rsidR="00AA1B1D" w:rsidRPr="00AA1B1D">
        <w:rPr>
          <w:rFonts w:eastAsia="HelenPro-Regular"/>
        </w:rPr>
        <w:t xml:space="preserve"> </w:t>
      </w:r>
      <w:r w:rsidRPr="00AA1B1D">
        <w:rPr>
          <w:rFonts w:eastAsia="HelenPro-Regular"/>
        </w:rPr>
        <w:t>streptokinase or tissue-type plasminogen activator.</w:t>
      </w:r>
    </w:p>
    <w:p w:rsidR="00DC467D" w:rsidRPr="00AA1B1D" w:rsidRDefault="00DC467D" w:rsidP="00DC467D">
      <w:pPr>
        <w:autoSpaceDE w:val="0"/>
        <w:autoSpaceDN w:val="0"/>
        <w:adjustRightInd w:val="0"/>
        <w:rPr>
          <w:rFonts w:eastAsia="HelenPro-Regular"/>
        </w:rPr>
      </w:pPr>
    </w:p>
    <w:p w:rsidR="00887473" w:rsidRPr="00AA1B1D" w:rsidRDefault="002578A2" w:rsidP="002578A2">
      <w:pPr>
        <w:autoSpaceDE w:val="0"/>
        <w:autoSpaceDN w:val="0"/>
        <w:adjustRightInd w:val="0"/>
        <w:rPr>
          <w:rFonts w:eastAsia="HelenPro-Regular"/>
          <w:b/>
        </w:rPr>
      </w:pPr>
      <w:r w:rsidRPr="00AA1B1D">
        <w:rPr>
          <w:rFonts w:eastAsia="HelenPro-Regular"/>
          <w:b/>
        </w:rPr>
        <w:t>Specificity</w:t>
      </w:r>
    </w:p>
    <w:p w:rsidR="00E76310" w:rsidRPr="00AA1B1D" w:rsidRDefault="00FB2A26" w:rsidP="00FB2A26">
      <w:pPr>
        <w:autoSpaceDE w:val="0"/>
        <w:autoSpaceDN w:val="0"/>
        <w:adjustRightInd w:val="0"/>
        <w:rPr>
          <w:rFonts w:eastAsia="HelenPro-Regular"/>
        </w:rPr>
      </w:pPr>
      <w:r w:rsidRPr="00AA1B1D">
        <w:rPr>
          <w:rFonts w:eastAsia="HelenPro-Regular"/>
        </w:rPr>
        <w:t xml:space="preserve">The ARCHITECT </w:t>
      </w:r>
      <w:r w:rsidRPr="00AA1B1D">
        <w:rPr>
          <w:rFonts w:eastAsia="HelenPro-Regular"/>
          <w:i/>
          <w:iCs/>
        </w:rPr>
        <w:t xml:space="preserve">STAT </w:t>
      </w:r>
      <w:r w:rsidRPr="00AA1B1D">
        <w:rPr>
          <w:rFonts w:eastAsia="HelenPro-Regular"/>
        </w:rPr>
        <w:t>Troponin-I assay analytical specificity is ≤</w:t>
      </w:r>
      <w:r w:rsidR="00AA1B1D">
        <w:rPr>
          <w:rFonts w:eastAsia="HelenPro-Regular"/>
        </w:rPr>
        <w:t xml:space="preserve"> 0.1% </w:t>
      </w:r>
      <w:proofErr w:type="spellStart"/>
      <w:r w:rsidR="00AA1B1D">
        <w:rPr>
          <w:rFonts w:eastAsia="HelenPro-Regular"/>
        </w:rPr>
        <w:t>crossreactivity</w:t>
      </w:r>
      <w:proofErr w:type="spellEnd"/>
      <w:r w:rsidR="00AA1B1D">
        <w:rPr>
          <w:rFonts w:eastAsia="HelenPro-Regular"/>
        </w:rPr>
        <w:t xml:space="preserve"> </w:t>
      </w:r>
      <w:r w:rsidRPr="00AA1B1D">
        <w:rPr>
          <w:rFonts w:eastAsia="HelenPro-Regular"/>
        </w:rPr>
        <w:t>with skeletal troponin-I and ≤ 1% with cardiac troponin-C and</w:t>
      </w:r>
      <w:r w:rsidR="00AA1B1D">
        <w:rPr>
          <w:rFonts w:eastAsia="HelenPro-Regular"/>
        </w:rPr>
        <w:t xml:space="preserve"> </w:t>
      </w:r>
      <w:r w:rsidRPr="00AA1B1D">
        <w:rPr>
          <w:rFonts w:eastAsia="HelenPro-Regular"/>
        </w:rPr>
        <w:t>cardiac troponin-T.</w:t>
      </w:r>
    </w:p>
    <w:p w:rsidR="00FB2A26" w:rsidRPr="00AA1B1D" w:rsidRDefault="00FB2A26" w:rsidP="00FB2A26">
      <w:pPr>
        <w:autoSpaceDE w:val="0"/>
        <w:autoSpaceDN w:val="0"/>
        <w:adjustRightInd w:val="0"/>
        <w:rPr>
          <w:rFonts w:eastAsia="HelenPro-Regular"/>
        </w:rPr>
      </w:pPr>
      <w:r w:rsidRPr="00AA1B1D">
        <w:rPr>
          <w:noProof/>
        </w:rPr>
        <w:drawing>
          <wp:inline distT="0" distB="0" distL="0" distR="0" wp14:anchorId="5B98A254" wp14:editId="09985213">
            <wp:extent cx="4143375" cy="1057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43375" cy="1057275"/>
                    </a:xfrm>
                    <a:prstGeom prst="rect">
                      <a:avLst/>
                    </a:prstGeom>
                  </pic:spPr>
                </pic:pic>
              </a:graphicData>
            </a:graphic>
          </wp:inline>
        </w:drawing>
      </w:r>
    </w:p>
    <w:p w:rsidR="002465E6" w:rsidRPr="00AA1B1D" w:rsidRDefault="002465E6" w:rsidP="002465E6">
      <w:pPr>
        <w:autoSpaceDE w:val="0"/>
        <w:autoSpaceDN w:val="0"/>
        <w:adjustRightInd w:val="0"/>
        <w:rPr>
          <w:rFonts w:eastAsia="HelenPro-Regular"/>
        </w:rPr>
      </w:pPr>
    </w:p>
    <w:p w:rsidR="004C3F78" w:rsidRPr="00AA1B1D" w:rsidRDefault="004C3F78" w:rsidP="004C3F78">
      <w:pPr>
        <w:autoSpaceDE w:val="0"/>
        <w:autoSpaceDN w:val="0"/>
        <w:adjustRightInd w:val="0"/>
        <w:rPr>
          <w:rFonts w:eastAsia="HelenPro-Regular"/>
        </w:rPr>
      </w:pPr>
    </w:p>
    <w:p w:rsidR="004C3F78" w:rsidRPr="00AA1B1D" w:rsidRDefault="004C3F78" w:rsidP="004C3F78">
      <w:pPr>
        <w:autoSpaceDE w:val="0"/>
        <w:autoSpaceDN w:val="0"/>
        <w:adjustRightInd w:val="0"/>
        <w:rPr>
          <w:rFonts w:eastAsia="HelenPro-Bold"/>
          <w:b/>
          <w:bCs/>
        </w:rPr>
      </w:pPr>
      <w:r w:rsidRPr="00AA1B1D">
        <w:rPr>
          <w:rFonts w:eastAsia="HelenPro-Bold"/>
          <w:b/>
          <w:bCs/>
        </w:rPr>
        <w:t>Interference</w:t>
      </w:r>
    </w:p>
    <w:p w:rsidR="002465E6" w:rsidRPr="00AA1B1D" w:rsidRDefault="00FB2A26" w:rsidP="00FB2A26">
      <w:pPr>
        <w:autoSpaceDE w:val="0"/>
        <w:autoSpaceDN w:val="0"/>
        <w:adjustRightInd w:val="0"/>
        <w:rPr>
          <w:rFonts w:eastAsia="HelenPro-Regular"/>
        </w:rPr>
      </w:pPr>
      <w:r w:rsidRPr="00AA1B1D">
        <w:rPr>
          <w:rFonts w:eastAsia="HelenPro-Regular"/>
        </w:rPr>
        <w:t>Potential interference from various drugs an</w:t>
      </w:r>
      <w:r w:rsidR="00AA1B1D">
        <w:rPr>
          <w:rFonts w:eastAsia="HelenPro-Regular"/>
        </w:rPr>
        <w:t xml:space="preserve">d elevated levels of bilirubin, </w:t>
      </w:r>
      <w:r w:rsidRPr="00AA1B1D">
        <w:rPr>
          <w:rFonts w:eastAsia="HelenPro-Regular"/>
        </w:rPr>
        <w:t xml:space="preserve">hemoglobin, triglycerides, and total protein in the ARCHITECT </w:t>
      </w:r>
      <w:r w:rsidRPr="00AA1B1D">
        <w:rPr>
          <w:rFonts w:eastAsia="HelenPro-Regular"/>
          <w:i/>
          <w:iCs/>
        </w:rPr>
        <w:t xml:space="preserve">STAT </w:t>
      </w:r>
      <w:r w:rsidRPr="00AA1B1D">
        <w:rPr>
          <w:rFonts w:eastAsia="HelenPro-Regular"/>
        </w:rPr>
        <w:t>Troponin-I</w:t>
      </w:r>
      <w:r w:rsidR="00AA1B1D">
        <w:rPr>
          <w:rFonts w:eastAsia="HelenPro-Regular"/>
        </w:rPr>
        <w:t xml:space="preserve"> </w:t>
      </w:r>
      <w:r w:rsidRPr="00AA1B1D">
        <w:rPr>
          <w:rFonts w:eastAsia="HelenPro-Regular"/>
        </w:rPr>
        <w:t>assay is ≤ 15% at the levels indicated.</w:t>
      </w:r>
    </w:p>
    <w:p w:rsidR="00FB2A26" w:rsidRDefault="00FB2A26" w:rsidP="00FB2A26">
      <w:pPr>
        <w:autoSpaceDE w:val="0"/>
        <w:autoSpaceDN w:val="0"/>
        <w:adjustRightInd w:val="0"/>
        <w:rPr>
          <w:rFonts w:eastAsia="HelenPro-Regular"/>
        </w:rPr>
      </w:pPr>
      <w:r>
        <w:rPr>
          <w:noProof/>
        </w:rPr>
        <w:lastRenderedPageBreak/>
        <w:drawing>
          <wp:inline distT="0" distB="0" distL="0" distR="0" wp14:anchorId="35D82932" wp14:editId="6739A6AB">
            <wp:extent cx="4229100" cy="4371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229100" cy="4371975"/>
                    </a:xfrm>
                    <a:prstGeom prst="rect">
                      <a:avLst/>
                    </a:prstGeom>
                  </pic:spPr>
                </pic:pic>
              </a:graphicData>
            </a:graphic>
          </wp:inline>
        </w:drawing>
      </w:r>
    </w:p>
    <w:p w:rsidR="00FB2A26" w:rsidRPr="00DC467D" w:rsidRDefault="00FB2A26" w:rsidP="00FB2A26">
      <w:pPr>
        <w:autoSpaceDE w:val="0"/>
        <w:autoSpaceDN w:val="0"/>
        <w:adjustRightInd w:val="0"/>
        <w:rPr>
          <w:rFonts w:eastAsia="HelenPro-Regular"/>
        </w:rPr>
      </w:pPr>
      <w:r>
        <w:rPr>
          <w:noProof/>
        </w:rPr>
        <w:drawing>
          <wp:inline distT="0" distB="0" distL="0" distR="0" wp14:anchorId="55AE1D28" wp14:editId="13A16079">
            <wp:extent cx="4191000" cy="1333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191000" cy="1333500"/>
                    </a:xfrm>
                    <a:prstGeom prst="rect">
                      <a:avLst/>
                    </a:prstGeom>
                  </pic:spPr>
                </pic:pic>
              </a:graphicData>
            </a:graphic>
          </wp:inline>
        </w:drawing>
      </w:r>
    </w:p>
    <w:p w:rsidR="00C818CA" w:rsidRPr="009B0B5F" w:rsidRDefault="00C818CA" w:rsidP="00C818CA">
      <w:pPr>
        <w:autoSpaceDE w:val="0"/>
        <w:autoSpaceDN w:val="0"/>
        <w:adjustRightInd w:val="0"/>
        <w:rPr>
          <w:rFonts w:eastAsia="HelenPro-Regular"/>
        </w:rPr>
      </w:pPr>
    </w:p>
    <w:p w:rsidR="00EB528B" w:rsidRDefault="00FB2A26" w:rsidP="00EB528B">
      <w:pPr>
        <w:autoSpaceDE w:val="0"/>
        <w:autoSpaceDN w:val="0"/>
        <w:adjustRightInd w:val="0"/>
        <w:rPr>
          <w:rFonts w:ascii="HelenPro-Bold" w:eastAsia="HelenPro-Bold" w:cs="HelenPro-Bold"/>
          <w:b/>
          <w:bCs/>
          <w:sz w:val="16"/>
          <w:szCs w:val="16"/>
        </w:rPr>
      </w:pPr>
      <w:r>
        <w:rPr>
          <w:noProof/>
        </w:rPr>
        <w:drawing>
          <wp:inline distT="0" distB="0" distL="0" distR="0" wp14:anchorId="33091C40" wp14:editId="743E0AA4">
            <wp:extent cx="4124325" cy="638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124325" cy="638175"/>
                    </a:xfrm>
                    <a:prstGeom prst="rect">
                      <a:avLst/>
                    </a:prstGeom>
                  </pic:spPr>
                </pic:pic>
              </a:graphicData>
            </a:graphic>
          </wp:inline>
        </w:drawing>
      </w:r>
    </w:p>
    <w:p w:rsidR="006309DE" w:rsidRDefault="006309DE" w:rsidP="009B11DE">
      <w:pPr>
        <w:autoSpaceDE w:val="0"/>
        <w:autoSpaceDN w:val="0"/>
        <w:adjustRightInd w:val="0"/>
        <w:rPr>
          <w:rFonts w:eastAsia="HelenPro-Bold"/>
          <w:b/>
          <w:bCs/>
        </w:rPr>
      </w:pPr>
    </w:p>
    <w:p w:rsidR="00AA1B1D" w:rsidRDefault="00AA1B1D" w:rsidP="00D16B69">
      <w:pPr>
        <w:jc w:val="both"/>
        <w:rPr>
          <w:b/>
        </w:rPr>
      </w:pPr>
    </w:p>
    <w:p w:rsidR="00AA1B1D" w:rsidRDefault="00AA1B1D" w:rsidP="00D16B69">
      <w:pPr>
        <w:jc w:val="both"/>
        <w:rPr>
          <w:b/>
        </w:rPr>
      </w:pPr>
    </w:p>
    <w:p w:rsidR="00AA1B1D" w:rsidRDefault="00AA1B1D" w:rsidP="00D16B69">
      <w:pPr>
        <w:jc w:val="both"/>
        <w:rPr>
          <w:b/>
        </w:rPr>
      </w:pPr>
    </w:p>
    <w:p w:rsidR="00AA1B1D" w:rsidRDefault="00AA1B1D" w:rsidP="00D16B69">
      <w:pPr>
        <w:jc w:val="both"/>
        <w:rPr>
          <w:b/>
        </w:rPr>
      </w:pPr>
    </w:p>
    <w:p w:rsidR="00D16B69" w:rsidRDefault="00D16B69" w:rsidP="00D16B69">
      <w:pPr>
        <w:jc w:val="both"/>
        <w:rPr>
          <w:b/>
        </w:rPr>
      </w:pPr>
      <w:r w:rsidRPr="00470DF1">
        <w:rPr>
          <w:b/>
        </w:rPr>
        <w:t>References</w:t>
      </w:r>
      <w:r>
        <w:rPr>
          <w:b/>
        </w:rPr>
        <w:t>:</w:t>
      </w:r>
      <w:r w:rsidR="00973EAF">
        <w:rPr>
          <w:b/>
        </w:rPr>
        <w:t xml:space="preserve"> </w:t>
      </w:r>
    </w:p>
    <w:p w:rsidR="000A13F2" w:rsidRPr="000A13F2" w:rsidRDefault="000A13F2" w:rsidP="00F71F72">
      <w:pPr>
        <w:pStyle w:val="ListParagraph"/>
        <w:numPr>
          <w:ilvl w:val="0"/>
          <w:numId w:val="1"/>
        </w:numPr>
        <w:rPr>
          <w:rFonts w:ascii="Arial" w:hAnsi="Arial" w:cs="Arial"/>
          <w:sz w:val="22"/>
          <w:szCs w:val="22"/>
        </w:rPr>
      </w:pPr>
      <w:r w:rsidRPr="000A13F2">
        <w:rPr>
          <w:rFonts w:ascii="Arial" w:hAnsi="Arial" w:cs="Arial"/>
          <w:sz w:val="22"/>
          <w:szCs w:val="22"/>
        </w:rPr>
        <w:t xml:space="preserve">ABBOTT ARCHITECT </w:t>
      </w:r>
      <w:r w:rsidR="00981E26" w:rsidRPr="00FB2A26">
        <w:rPr>
          <w:rFonts w:eastAsia="HelenPro-Regular"/>
          <w:i/>
          <w:iCs/>
        </w:rPr>
        <w:t xml:space="preserve">STAT </w:t>
      </w:r>
      <w:r w:rsidR="00981E26" w:rsidRPr="00FB2A26">
        <w:rPr>
          <w:rFonts w:eastAsia="HelenPro-Regular"/>
        </w:rPr>
        <w:t xml:space="preserve">Troponin-I </w:t>
      </w:r>
      <w:r w:rsidRPr="000A13F2">
        <w:rPr>
          <w:rFonts w:ascii="Arial" w:hAnsi="Arial" w:cs="Arial"/>
          <w:sz w:val="22"/>
          <w:szCs w:val="22"/>
        </w:rPr>
        <w:t>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lastRenderedPageBreak/>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425BA0" w:rsidRDefault="004B45DE" w:rsidP="00425BA0">
      <w:pPr>
        <w:pStyle w:val="ListParagraph"/>
        <w:rPr>
          <w:rFonts w:eastAsia="HelenPro-Bold"/>
          <w:b/>
          <w:bCs/>
          <w:sz w:val="20"/>
          <w:szCs w:val="20"/>
        </w:rPr>
      </w:pPr>
      <w:r>
        <w:rPr>
          <w:rFonts w:ascii="Arial" w:hAnsi="Arial" w:cs="Arial"/>
          <w:bCs/>
          <w:sz w:val="22"/>
          <w:szCs w:val="22"/>
        </w:rPr>
        <w:t>June</w:t>
      </w:r>
      <w:r w:rsidR="009070C7">
        <w:rPr>
          <w:rFonts w:ascii="Arial" w:hAnsi="Arial" w:cs="Arial"/>
          <w:bCs/>
          <w:sz w:val="22"/>
          <w:szCs w:val="22"/>
        </w:rPr>
        <w:t xml:space="preserve"> 201</w:t>
      </w:r>
      <w:r>
        <w:rPr>
          <w:rFonts w:ascii="Arial" w:hAnsi="Arial" w:cs="Arial"/>
          <w:bCs/>
          <w:sz w:val="22"/>
          <w:szCs w:val="22"/>
        </w:rPr>
        <w:t>5</w:t>
      </w:r>
      <w:r w:rsidR="000A13F2" w:rsidRPr="000A13F2">
        <w:rPr>
          <w:rFonts w:ascii="Arial" w:hAnsi="Arial" w:cs="Arial"/>
          <w:bCs/>
          <w:sz w:val="22"/>
          <w:szCs w:val="22"/>
        </w:rPr>
        <w:t xml:space="preserve"> </w:t>
      </w:r>
      <w:r w:rsidRPr="004B45DE">
        <w:rPr>
          <w:rFonts w:ascii="HelenPro-Bold" w:eastAsia="HelenPro-Bold" w:cs="HelenPro-Bold"/>
          <w:bCs/>
          <w:sz w:val="22"/>
          <w:szCs w:val="28"/>
        </w:rPr>
        <w:t>G1-0467</w:t>
      </w:r>
      <w:r w:rsidRPr="004B45DE">
        <w:rPr>
          <w:rFonts w:ascii="HelenPro-BlackCond" w:eastAsia="HelenPro-Bold" w:hAnsi="HelenPro-BlackCond" w:cs="HelenPro-BlackCond"/>
          <w:sz w:val="22"/>
          <w:szCs w:val="28"/>
        </w:rPr>
        <w:t xml:space="preserve">/ </w:t>
      </w:r>
      <w:r w:rsidRPr="004B45DE">
        <w:rPr>
          <w:rFonts w:ascii="HelenPro-Bold" w:eastAsia="HelenPro-Bold" w:cs="HelenPro-Bold"/>
          <w:bCs/>
          <w:sz w:val="22"/>
          <w:szCs w:val="28"/>
        </w:rPr>
        <w:t>R11</w:t>
      </w:r>
    </w:p>
    <w:p w:rsidR="000A13F2" w:rsidRPr="00425BA0" w:rsidRDefault="000A13F2" w:rsidP="00F71F72">
      <w:pPr>
        <w:pStyle w:val="ListParagraph"/>
        <w:numPr>
          <w:ilvl w:val="0"/>
          <w:numId w:val="1"/>
        </w:numPr>
        <w:rPr>
          <w:rFonts w:eastAsia="HelenPro-Bold"/>
          <w:b/>
          <w:bCs/>
          <w:sz w:val="20"/>
          <w:szCs w:val="20"/>
        </w:rPr>
      </w:pPr>
      <w:r w:rsidRPr="00425BA0">
        <w:rPr>
          <w:rFonts w:ascii="Arial" w:hAnsi="Arial" w:cs="Arial"/>
          <w:sz w:val="22"/>
          <w:szCs w:val="22"/>
        </w:rPr>
        <w:t xml:space="preserve">ABBOTT ARCHITECT </w:t>
      </w:r>
      <w:r w:rsidR="00981E26" w:rsidRPr="00FB2A26">
        <w:rPr>
          <w:rFonts w:eastAsia="HelenPro-Regular"/>
          <w:i/>
          <w:iCs/>
        </w:rPr>
        <w:t xml:space="preserve">STAT </w:t>
      </w:r>
      <w:r w:rsidR="00981E26" w:rsidRPr="00FB2A26">
        <w:rPr>
          <w:rFonts w:eastAsia="HelenPro-Regular"/>
        </w:rPr>
        <w:t xml:space="preserve">Troponin-I </w:t>
      </w:r>
      <w:r w:rsidRPr="00425BA0">
        <w:rPr>
          <w:rFonts w:ascii="Arial" w:hAnsi="Arial" w:cs="Arial"/>
          <w:sz w:val="22"/>
          <w:szCs w:val="22"/>
        </w:rPr>
        <w:t>Calibrator package insert</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Laboratories</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Diagnostics Division</w:t>
      </w:r>
    </w:p>
    <w:p w:rsidR="000A13F2" w:rsidRPr="000A13F2" w:rsidRDefault="000A13F2" w:rsidP="000A13F2">
      <w:pPr>
        <w:pStyle w:val="ListParagraph"/>
        <w:rPr>
          <w:rFonts w:ascii="Arial" w:hAnsi="Arial" w:cs="Arial"/>
          <w:sz w:val="22"/>
          <w:szCs w:val="22"/>
        </w:rPr>
      </w:pPr>
      <w:r w:rsidRPr="000A13F2">
        <w:rPr>
          <w:rFonts w:ascii="Arial" w:hAnsi="Arial" w:cs="Arial"/>
          <w:sz w:val="22"/>
          <w:szCs w:val="22"/>
        </w:rPr>
        <w:t>Abbott Park, IL  60064</w:t>
      </w:r>
    </w:p>
    <w:p w:rsidR="00173EA4" w:rsidRDefault="000A13F2" w:rsidP="00F71F72">
      <w:pPr>
        <w:pStyle w:val="ListParagraph"/>
        <w:numPr>
          <w:ilvl w:val="0"/>
          <w:numId w:val="1"/>
        </w:numPr>
        <w:spacing w:after="72"/>
        <w:jc w:val="both"/>
      </w:pPr>
      <w:r>
        <w:t>Abbott ARCHITECT</w:t>
      </w:r>
      <w:r w:rsidR="00941AE5">
        <w:rPr>
          <w:lang w:val="ru-RU"/>
        </w:rPr>
        <w:t xml:space="preserve"> Operator’s Guid</w:t>
      </w:r>
      <w:r w:rsidR="00941AE5">
        <w:t>e</w:t>
      </w:r>
    </w:p>
    <w:p w:rsidR="00941AE5" w:rsidRDefault="00941AE5" w:rsidP="00941AE5">
      <w:pPr>
        <w:spacing w:after="72"/>
        <w:jc w:val="both"/>
      </w:pPr>
    </w:p>
    <w:p w:rsidR="00941AE5" w:rsidRDefault="00941AE5" w:rsidP="00941AE5">
      <w:pPr>
        <w:spacing w:after="72"/>
        <w:jc w:val="both"/>
      </w:pPr>
    </w:p>
    <w:p w:rsidR="00F91971" w:rsidRDefault="00F91971" w:rsidP="00246FA8">
      <w:pPr>
        <w:rPr>
          <w:b/>
        </w:rPr>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bookmarkStart w:id="0" w:name="_GoBack"/>
      <w:bookmarkEnd w:id="0"/>
    </w:p>
    <w:sectPr w:rsidR="00D16B69" w:rsidSect="00507B0C">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04" w:rsidRDefault="00AE6B04">
      <w:r>
        <w:separator/>
      </w:r>
    </w:p>
  </w:endnote>
  <w:endnote w:type="continuationSeparator" w:id="0">
    <w:p w:rsidR="00AE6B04" w:rsidRDefault="00AE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Black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rsidP="00BC1EC4">
    <w:pPr>
      <w:pStyle w:val="Footer"/>
      <w:rPr>
        <w:b/>
        <w:sz w:val="20"/>
        <w:szCs w:val="20"/>
      </w:rPr>
    </w:pPr>
  </w:p>
  <w:p w:rsidR="00AE6B04" w:rsidRDefault="00AE6B0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273764">
      <w:rPr>
        <w:noProof/>
        <w:sz w:val="20"/>
        <w:szCs w:val="20"/>
      </w:rPr>
      <w:t>13</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273764">
      <w:rPr>
        <w:noProof/>
        <w:sz w:val="20"/>
        <w:szCs w:val="20"/>
      </w:rPr>
      <w:t>13</w:t>
    </w:r>
    <w:r w:rsidRPr="00427B21">
      <w:rPr>
        <w:sz w:val="20"/>
        <w:szCs w:val="20"/>
      </w:rPr>
      <w:fldChar w:fldCharType="end"/>
    </w:r>
  </w:p>
  <w:p w:rsidR="00AE6B04" w:rsidRDefault="00AE6B04">
    <w:pPr>
      <w:pStyle w:val="Footer"/>
    </w:pPr>
  </w:p>
  <w:p w:rsidR="00AE6B04" w:rsidRDefault="00AE6B04"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04" w:rsidRDefault="00AE6B04">
      <w:r>
        <w:separator/>
      </w:r>
    </w:p>
  </w:footnote>
  <w:footnote w:type="continuationSeparator" w:id="0">
    <w:p w:rsidR="00AE6B04" w:rsidRDefault="00AE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 4840-CH-121</w:t>
    </w:r>
  </w:p>
  <w:p w:rsidR="00AE6B04" w:rsidRDefault="00AE6B04" w:rsidP="00100BF8">
    <w:pPr>
      <w:jc w:val="right"/>
      <w:rPr>
        <w:sz w:val="20"/>
        <w:szCs w:val="20"/>
      </w:rPr>
    </w:pPr>
    <w:r>
      <w:rPr>
        <w:sz w:val="20"/>
        <w:szCs w:val="20"/>
      </w:rPr>
      <w:t>ARCHITECT Stat Trop-I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4" w:rsidRDefault="00AE6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67A"/>
    <w:multiLevelType w:val="hybridMultilevel"/>
    <w:tmpl w:val="15EA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13872"/>
    <w:multiLevelType w:val="hybridMultilevel"/>
    <w:tmpl w:val="6E8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23A02"/>
    <w:multiLevelType w:val="hybridMultilevel"/>
    <w:tmpl w:val="28E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B6567"/>
    <w:multiLevelType w:val="hybridMultilevel"/>
    <w:tmpl w:val="E36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D50B6"/>
    <w:multiLevelType w:val="hybridMultilevel"/>
    <w:tmpl w:val="1DDC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2"/>
  </w:num>
  <w:num w:numId="7">
    <w:abstractNumId w:val="6"/>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755A2"/>
    <w:rsid w:val="00081C7F"/>
    <w:rsid w:val="00082648"/>
    <w:rsid w:val="00085F48"/>
    <w:rsid w:val="0009322F"/>
    <w:rsid w:val="000958D6"/>
    <w:rsid w:val="000A090B"/>
    <w:rsid w:val="000A13F2"/>
    <w:rsid w:val="000A341D"/>
    <w:rsid w:val="000A7D58"/>
    <w:rsid w:val="000B1BE6"/>
    <w:rsid w:val="000B4575"/>
    <w:rsid w:val="000C1FD8"/>
    <w:rsid w:val="000C4723"/>
    <w:rsid w:val="000E3328"/>
    <w:rsid w:val="000F49B2"/>
    <w:rsid w:val="00100BF8"/>
    <w:rsid w:val="0010358F"/>
    <w:rsid w:val="00107444"/>
    <w:rsid w:val="00126B1C"/>
    <w:rsid w:val="001318C3"/>
    <w:rsid w:val="00132081"/>
    <w:rsid w:val="00133F38"/>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1F704E"/>
    <w:rsid w:val="00211DD8"/>
    <w:rsid w:val="0021587A"/>
    <w:rsid w:val="00216888"/>
    <w:rsid w:val="002465E6"/>
    <w:rsid w:val="00246FA8"/>
    <w:rsid w:val="0025031C"/>
    <w:rsid w:val="00253C1F"/>
    <w:rsid w:val="00255C54"/>
    <w:rsid w:val="002578A2"/>
    <w:rsid w:val="0026243F"/>
    <w:rsid w:val="002648A6"/>
    <w:rsid w:val="002649AA"/>
    <w:rsid w:val="00273764"/>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3171"/>
    <w:rsid w:val="002F52E0"/>
    <w:rsid w:val="003056A7"/>
    <w:rsid w:val="00317056"/>
    <w:rsid w:val="003356DF"/>
    <w:rsid w:val="00347BEC"/>
    <w:rsid w:val="00353FD5"/>
    <w:rsid w:val="00363894"/>
    <w:rsid w:val="0037463A"/>
    <w:rsid w:val="003749EF"/>
    <w:rsid w:val="00377F9C"/>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2E7"/>
    <w:rsid w:val="00410514"/>
    <w:rsid w:val="00413FEE"/>
    <w:rsid w:val="00425BA0"/>
    <w:rsid w:val="00431747"/>
    <w:rsid w:val="00431F98"/>
    <w:rsid w:val="00436811"/>
    <w:rsid w:val="0044058F"/>
    <w:rsid w:val="0044368A"/>
    <w:rsid w:val="00443DB3"/>
    <w:rsid w:val="00452D5E"/>
    <w:rsid w:val="0045570E"/>
    <w:rsid w:val="00456575"/>
    <w:rsid w:val="00460600"/>
    <w:rsid w:val="00461686"/>
    <w:rsid w:val="0046271A"/>
    <w:rsid w:val="00463D3A"/>
    <w:rsid w:val="004708FA"/>
    <w:rsid w:val="00470CE6"/>
    <w:rsid w:val="004773D3"/>
    <w:rsid w:val="004839CA"/>
    <w:rsid w:val="00483F7A"/>
    <w:rsid w:val="00493DD1"/>
    <w:rsid w:val="00496605"/>
    <w:rsid w:val="004A03BD"/>
    <w:rsid w:val="004A2AA3"/>
    <w:rsid w:val="004B45DE"/>
    <w:rsid w:val="004C05F8"/>
    <w:rsid w:val="004C104D"/>
    <w:rsid w:val="004C20DC"/>
    <w:rsid w:val="004C2C23"/>
    <w:rsid w:val="004C37CB"/>
    <w:rsid w:val="004C3F78"/>
    <w:rsid w:val="004C73AF"/>
    <w:rsid w:val="004E0AFF"/>
    <w:rsid w:val="004E3937"/>
    <w:rsid w:val="004E61D2"/>
    <w:rsid w:val="004F5F8A"/>
    <w:rsid w:val="0050716A"/>
    <w:rsid w:val="00507B0C"/>
    <w:rsid w:val="005169F4"/>
    <w:rsid w:val="00517F30"/>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B2E01"/>
    <w:rsid w:val="005C4292"/>
    <w:rsid w:val="005C4F3D"/>
    <w:rsid w:val="005D76E9"/>
    <w:rsid w:val="005E3AB5"/>
    <w:rsid w:val="005E3D52"/>
    <w:rsid w:val="005E48EE"/>
    <w:rsid w:val="005E5C47"/>
    <w:rsid w:val="005F3E81"/>
    <w:rsid w:val="0060398E"/>
    <w:rsid w:val="00607638"/>
    <w:rsid w:val="00610572"/>
    <w:rsid w:val="006107A2"/>
    <w:rsid w:val="0061553C"/>
    <w:rsid w:val="00621ABB"/>
    <w:rsid w:val="00623EFB"/>
    <w:rsid w:val="006309DE"/>
    <w:rsid w:val="0063150E"/>
    <w:rsid w:val="00644800"/>
    <w:rsid w:val="00654386"/>
    <w:rsid w:val="006559EB"/>
    <w:rsid w:val="00656BB9"/>
    <w:rsid w:val="00671812"/>
    <w:rsid w:val="00674186"/>
    <w:rsid w:val="00682038"/>
    <w:rsid w:val="00687C2F"/>
    <w:rsid w:val="00697A67"/>
    <w:rsid w:val="006A15AE"/>
    <w:rsid w:val="006A1EA2"/>
    <w:rsid w:val="006A5580"/>
    <w:rsid w:val="006A5AAE"/>
    <w:rsid w:val="006B0A70"/>
    <w:rsid w:val="006B3C65"/>
    <w:rsid w:val="006D28ED"/>
    <w:rsid w:val="006D3CB8"/>
    <w:rsid w:val="006D40ED"/>
    <w:rsid w:val="006E4F64"/>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667B8"/>
    <w:rsid w:val="007703C0"/>
    <w:rsid w:val="007840DD"/>
    <w:rsid w:val="00794A6F"/>
    <w:rsid w:val="007A2A6C"/>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2D66"/>
    <w:rsid w:val="008F7947"/>
    <w:rsid w:val="008F794A"/>
    <w:rsid w:val="008F7CA9"/>
    <w:rsid w:val="009070C7"/>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1E26"/>
    <w:rsid w:val="009841EC"/>
    <w:rsid w:val="009A4991"/>
    <w:rsid w:val="009B0B5F"/>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26E5B"/>
    <w:rsid w:val="00A320E4"/>
    <w:rsid w:val="00A35DB6"/>
    <w:rsid w:val="00A408AE"/>
    <w:rsid w:val="00A417A6"/>
    <w:rsid w:val="00A5042D"/>
    <w:rsid w:val="00A541AC"/>
    <w:rsid w:val="00A54DD8"/>
    <w:rsid w:val="00A554D4"/>
    <w:rsid w:val="00A6457D"/>
    <w:rsid w:val="00A67673"/>
    <w:rsid w:val="00A71728"/>
    <w:rsid w:val="00A71D1D"/>
    <w:rsid w:val="00A72EC0"/>
    <w:rsid w:val="00A81234"/>
    <w:rsid w:val="00A82E30"/>
    <w:rsid w:val="00A92E30"/>
    <w:rsid w:val="00A94552"/>
    <w:rsid w:val="00AA119D"/>
    <w:rsid w:val="00AA1B1D"/>
    <w:rsid w:val="00AA271B"/>
    <w:rsid w:val="00AA50C1"/>
    <w:rsid w:val="00AA7423"/>
    <w:rsid w:val="00AA7B6F"/>
    <w:rsid w:val="00AB5354"/>
    <w:rsid w:val="00AB793D"/>
    <w:rsid w:val="00AC0A31"/>
    <w:rsid w:val="00AC0E64"/>
    <w:rsid w:val="00AD402C"/>
    <w:rsid w:val="00AD66A2"/>
    <w:rsid w:val="00AE6B04"/>
    <w:rsid w:val="00AE6F5B"/>
    <w:rsid w:val="00AF597C"/>
    <w:rsid w:val="00B01357"/>
    <w:rsid w:val="00B11C38"/>
    <w:rsid w:val="00B13AB5"/>
    <w:rsid w:val="00B24260"/>
    <w:rsid w:val="00B30875"/>
    <w:rsid w:val="00B32651"/>
    <w:rsid w:val="00B36577"/>
    <w:rsid w:val="00B434E9"/>
    <w:rsid w:val="00B438DB"/>
    <w:rsid w:val="00B45FE2"/>
    <w:rsid w:val="00B46687"/>
    <w:rsid w:val="00B50C75"/>
    <w:rsid w:val="00B54C79"/>
    <w:rsid w:val="00B574F0"/>
    <w:rsid w:val="00B606B1"/>
    <w:rsid w:val="00B63263"/>
    <w:rsid w:val="00B63E8F"/>
    <w:rsid w:val="00B70AAC"/>
    <w:rsid w:val="00B712B1"/>
    <w:rsid w:val="00B72271"/>
    <w:rsid w:val="00B90BFF"/>
    <w:rsid w:val="00B94EE2"/>
    <w:rsid w:val="00BA0054"/>
    <w:rsid w:val="00BA3154"/>
    <w:rsid w:val="00BB5E83"/>
    <w:rsid w:val="00BB7014"/>
    <w:rsid w:val="00BC1EC4"/>
    <w:rsid w:val="00BC5E10"/>
    <w:rsid w:val="00BC76E2"/>
    <w:rsid w:val="00BE076E"/>
    <w:rsid w:val="00BE40A6"/>
    <w:rsid w:val="00BF32B2"/>
    <w:rsid w:val="00C109A4"/>
    <w:rsid w:val="00C10F06"/>
    <w:rsid w:val="00C12B0A"/>
    <w:rsid w:val="00C32412"/>
    <w:rsid w:val="00C3571A"/>
    <w:rsid w:val="00C44099"/>
    <w:rsid w:val="00C46D5D"/>
    <w:rsid w:val="00C53E37"/>
    <w:rsid w:val="00C57116"/>
    <w:rsid w:val="00C61A99"/>
    <w:rsid w:val="00C63D0C"/>
    <w:rsid w:val="00C63D9F"/>
    <w:rsid w:val="00C6479B"/>
    <w:rsid w:val="00C661EB"/>
    <w:rsid w:val="00C818CA"/>
    <w:rsid w:val="00C86116"/>
    <w:rsid w:val="00C90E57"/>
    <w:rsid w:val="00C912E2"/>
    <w:rsid w:val="00C967D5"/>
    <w:rsid w:val="00CA11D0"/>
    <w:rsid w:val="00CA5058"/>
    <w:rsid w:val="00CB3199"/>
    <w:rsid w:val="00CB66ED"/>
    <w:rsid w:val="00CC2751"/>
    <w:rsid w:val="00CC37B4"/>
    <w:rsid w:val="00CC3D62"/>
    <w:rsid w:val="00CD0235"/>
    <w:rsid w:val="00CE2DC7"/>
    <w:rsid w:val="00CF7868"/>
    <w:rsid w:val="00D006C7"/>
    <w:rsid w:val="00D16262"/>
    <w:rsid w:val="00D16B69"/>
    <w:rsid w:val="00D27C5A"/>
    <w:rsid w:val="00D339B0"/>
    <w:rsid w:val="00D42CAC"/>
    <w:rsid w:val="00D5070C"/>
    <w:rsid w:val="00D50F05"/>
    <w:rsid w:val="00D5211B"/>
    <w:rsid w:val="00D60AFA"/>
    <w:rsid w:val="00D64E39"/>
    <w:rsid w:val="00D70A7B"/>
    <w:rsid w:val="00D71AF7"/>
    <w:rsid w:val="00D730A1"/>
    <w:rsid w:val="00D73BF8"/>
    <w:rsid w:val="00D73CB2"/>
    <w:rsid w:val="00D77B64"/>
    <w:rsid w:val="00D80968"/>
    <w:rsid w:val="00D8224E"/>
    <w:rsid w:val="00D84ADA"/>
    <w:rsid w:val="00D94BB8"/>
    <w:rsid w:val="00D97908"/>
    <w:rsid w:val="00DA040A"/>
    <w:rsid w:val="00DA0D83"/>
    <w:rsid w:val="00DA6C6A"/>
    <w:rsid w:val="00DB0E90"/>
    <w:rsid w:val="00DB3051"/>
    <w:rsid w:val="00DB49D0"/>
    <w:rsid w:val="00DC16C5"/>
    <w:rsid w:val="00DC467D"/>
    <w:rsid w:val="00DC56D1"/>
    <w:rsid w:val="00DD0481"/>
    <w:rsid w:val="00DD06E2"/>
    <w:rsid w:val="00DE1362"/>
    <w:rsid w:val="00DE6C4E"/>
    <w:rsid w:val="00DF01DC"/>
    <w:rsid w:val="00DF022C"/>
    <w:rsid w:val="00E03B3D"/>
    <w:rsid w:val="00E04456"/>
    <w:rsid w:val="00E07C43"/>
    <w:rsid w:val="00E12522"/>
    <w:rsid w:val="00E12AF4"/>
    <w:rsid w:val="00E234B4"/>
    <w:rsid w:val="00E30C56"/>
    <w:rsid w:val="00E33A1B"/>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528B"/>
    <w:rsid w:val="00EB5F4E"/>
    <w:rsid w:val="00EB72AA"/>
    <w:rsid w:val="00EC002B"/>
    <w:rsid w:val="00EC352F"/>
    <w:rsid w:val="00EC7B32"/>
    <w:rsid w:val="00ED2343"/>
    <w:rsid w:val="00ED4BBB"/>
    <w:rsid w:val="00ED5787"/>
    <w:rsid w:val="00EE5F21"/>
    <w:rsid w:val="00EF4170"/>
    <w:rsid w:val="00EF7315"/>
    <w:rsid w:val="00F05CCD"/>
    <w:rsid w:val="00F13246"/>
    <w:rsid w:val="00F13523"/>
    <w:rsid w:val="00F17021"/>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1F72"/>
    <w:rsid w:val="00F7630F"/>
    <w:rsid w:val="00F80AD3"/>
    <w:rsid w:val="00F82D85"/>
    <w:rsid w:val="00F84979"/>
    <w:rsid w:val="00F91000"/>
    <w:rsid w:val="00F91895"/>
    <w:rsid w:val="00F91971"/>
    <w:rsid w:val="00F92520"/>
    <w:rsid w:val="00F92947"/>
    <w:rsid w:val="00F935CE"/>
    <w:rsid w:val="00F95946"/>
    <w:rsid w:val="00FA706C"/>
    <w:rsid w:val="00FB2A26"/>
    <w:rsid w:val="00FB49F4"/>
    <w:rsid w:val="00FB7839"/>
    <w:rsid w:val="00FC4C9E"/>
    <w:rsid w:val="00FD0EC0"/>
    <w:rsid w:val="00FD6E32"/>
    <w:rsid w:val="00FE757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bottdiagnostics.com"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57C2-804C-47C8-9AB5-CB81C3B4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2773</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19046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2018-09-05T16:58:00Z</dcterms:created>
  <dcterms:modified xsi:type="dcterms:W3CDTF">2018-10-22T13:55:00Z</dcterms:modified>
</cp:coreProperties>
</file>