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4C50D9">
      <w:pPr>
        <w:rPr>
          <w:b/>
        </w:rPr>
      </w:pPr>
      <w:r>
        <w:rPr>
          <w:noProof/>
        </w:rPr>
        <w:drawing>
          <wp:inline distT="0" distB="0" distL="0" distR="0" wp14:anchorId="4BAA4ACC" wp14:editId="5F0452E4">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2262DA" w:rsidP="006107A2">
      <w:pPr>
        <w:jc w:val="center"/>
        <w:rPr>
          <w:rFonts w:eastAsia="HelenPro-Regular"/>
          <w:b/>
          <w:sz w:val="28"/>
          <w:szCs w:val="28"/>
        </w:rPr>
      </w:pPr>
      <w:r>
        <w:rPr>
          <w:rFonts w:eastAsia="HelenPro-Regular"/>
          <w:b/>
          <w:sz w:val="28"/>
          <w:szCs w:val="28"/>
        </w:rPr>
        <w:t>TSH</w:t>
      </w:r>
    </w:p>
    <w:p w:rsidR="0056023B" w:rsidRPr="001A639E" w:rsidRDefault="005765EB" w:rsidP="006107A2">
      <w:pPr>
        <w:jc w:val="center"/>
        <w:rPr>
          <w:b/>
          <w:sz w:val="28"/>
          <w:szCs w:val="28"/>
        </w:rPr>
      </w:pPr>
      <w:r>
        <w:rPr>
          <w:b/>
          <w:sz w:val="28"/>
          <w:szCs w:val="28"/>
        </w:rPr>
        <w:t xml:space="preserve">SERUM </w:t>
      </w:r>
      <w:r w:rsidR="009E2662">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DC16C5" w:rsidRPr="00DC69D8" w:rsidRDefault="005824BA" w:rsidP="005824BA">
      <w:pPr>
        <w:autoSpaceDE w:val="0"/>
        <w:autoSpaceDN w:val="0"/>
        <w:adjustRightInd w:val="0"/>
        <w:rPr>
          <w:rFonts w:eastAsia="HelenPro-Regular"/>
        </w:rPr>
      </w:pPr>
      <w:r w:rsidRPr="005824BA">
        <w:rPr>
          <w:rFonts w:eastAsia="HelenPro-Regular"/>
        </w:rPr>
        <w:t xml:space="preserve">The ARCHITECT TSH assay is a </w:t>
      </w:r>
      <w:proofErr w:type="spellStart"/>
      <w:r w:rsidRPr="005824BA">
        <w:rPr>
          <w:rFonts w:eastAsia="HelenPro-Regular"/>
        </w:rPr>
        <w:t>Chemiluminescent</w:t>
      </w:r>
      <w:proofErr w:type="spellEnd"/>
      <w:r w:rsidRPr="005824BA">
        <w:rPr>
          <w:rFonts w:eastAsia="HelenPro-Regular"/>
        </w:rPr>
        <w:t xml:space="preserve"> </w:t>
      </w:r>
      <w:proofErr w:type="spellStart"/>
      <w:r w:rsidRPr="005824BA">
        <w:rPr>
          <w:rFonts w:eastAsia="HelenPro-Regular"/>
        </w:rPr>
        <w:t>Mic</w:t>
      </w:r>
      <w:r>
        <w:rPr>
          <w:rFonts w:eastAsia="HelenPro-Regular"/>
        </w:rPr>
        <w:t>roparticle</w:t>
      </w:r>
      <w:proofErr w:type="spellEnd"/>
      <w:r>
        <w:rPr>
          <w:rFonts w:eastAsia="HelenPro-Regular"/>
        </w:rPr>
        <w:t xml:space="preserve"> </w:t>
      </w:r>
      <w:r w:rsidRPr="005824BA">
        <w:rPr>
          <w:rFonts w:eastAsia="HelenPro-Regular"/>
        </w:rPr>
        <w:t>Immunoassay (CMIA) for the quantitative determination of human Thyroid</w:t>
      </w:r>
      <w:r>
        <w:rPr>
          <w:rFonts w:eastAsia="HelenPro-Regular"/>
        </w:rPr>
        <w:t xml:space="preserve"> </w:t>
      </w:r>
      <w:r w:rsidRPr="005824BA">
        <w:rPr>
          <w:rFonts w:eastAsia="HelenPro-Regular"/>
        </w:rPr>
        <w:t>Stimulating Hormone (TSH) in human serum and plasma.</w:t>
      </w:r>
    </w:p>
    <w:p w:rsidR="009E2662" w:rsidRDefault="009E2662"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5824BA" w:rsidRPr="005824BA" w:rsidRDefault="005824BA" w:rsidP="005824BA">
      <w:pPr>
        <w:autoSpaceDE w:val="0"/>
        <w:autoSpaceDN w:val="0"/>
        <w:adjustRightInd w:val="0"/>
        <w:rPr>
          <w:rFonts w:eastAsia="HelenPro-Regular"/>
        </w:rPr>
      </w:pPr>
      <w:r w:rsidRPr="005824BA">
        <w:rPr>
          <w:rFonts w:eastAsia="HelenPro-Regular"/>
        </w:rPr>
        <w:t>Human Thyroid Stimulating Hormone (TSH) o</w:t>
      </w:r>
      <w:r>
        <w:rPr>
          <w:rFonts w:eastAsia="HelenPro-Regular"/>
        </w:rPr>
        <w:t xml:space="preserve">r </w:t>
      </w:r>
      <w:proofErr w:type="spellStart"/>
      <w:r>
        <w:rPr>
          <w:rFonts w:eastAsia="HelenPro-Regular"/>
        </w:rPr>
        <w:t>thyrotropin</w:t>
      </w:r>
      <w:proofErr w:type="spellEnd"/>
      <w:r>
        <w:rPr>
          <w:rFonts w:eastAsia="HelenPro-Regular"/>
        </w:rPr>
        <w:t xml:space="preserve"> is a glycoprotein </w:t>
      </w:r>
      <w:r w:rsidRPr="005824BA">
        <w:rPr>
          <w:rFonts w:eastAsia="HelenPro-Regular"/>
        </w:rPr>
        <w:t xml:space="preserve">with a molecular weight of approximately 28,000 </w:t>
      </w:r>
      <w:proofErr w:type="spellStart"/>
      <w:r w:rsidRPr="005824BA">
        <w:rPr>
          <w:rFonts w:eastAsia="HelenPro-Regular"/>
        </w:rPr>
        <w:t>daltons</w:t>
      </w:r>
      <w:proofErr w:type="spellEnd"/>
      <w:r w:rsidRPr="005824BA">
        <w:rPr>
          <w:rFonts w:eastAsia="HelenPro-Regular"/>
        </w:rPr>
        <w:t>, synthesized</w:t>
      </w:r>
      <w:r>
        <w:rPr>
          <w:rFonts w:eastAsia="HelenPro-Regular"/>
        </w:rPr>
        <w:t xml:space="preserve"> </w:t>
      </w:r>
      <w:r w:rsidRPr="005824BA">
        <w:rPr>
          <w:rFonts w:eastAsia="HelenPro-Regular"/>
        </w:rPr>
        <w:t>by the basophilic cells (</w:t>
      </w:r>
      <w:proofErr w:type="spellStart"/>
      <w:r w:rsidRPr="005824BA">
        <w:rPr>
          <w:rFonts w:eastAsia="HelenPro-Regular"/>
        </w:rPr>
        <w:t>thyrotropes</w:t>
      </w:r>
      <w:proofErr w:type="spellEnd"/>
      <w:r w:rsidRPr="005824BA">
        <w:rPr>
          <w:rFonts w:eastAsia="HelenPro-Regular"/>
        </w:rPr>
        <w:t>) of the anterior pituitary. TSH is</w:t>
      </w:r>
      <w:r>
        <w:rPr>
          <w:rFonts w:eastAsia="HelenPro-Regular"/>
        </w:rPr>
        <w:t xml:space="preserve"> </w:t>
      </w:r>
      <w:r w:rsidRPr="005824BA">
        <w:rPr>
          <w:rFonts w:eastAsia="HelenPro-Regular"/>
        </w:rPr>
        <w:t>composed of two non-covalently linked subunits designated alpha and</w:t>
      </w:r>
      <w:r>
        <w:rPr>
          <w:rFonts w:eastAsia="HelenPro-Regular"/>
        </w:rPr>
        <w:t xml:space="preserve"> </w:t>
      </w:r>
      <w:r w:rsidRPr="005824BA">
        <w:rPr>
          <w:rFonts w:eastAsia="HelenPro-Regular"/>
        </w:rPr>
        <w:t>beta. Although the alpha subunit of TSH is common to the luteinizing</w:t>
      </w:r>
      <w:r>
        <w:rPr>
          <w:rFonts w:eastAsia="HelenPro-Regular"/>
        </w:rPr>
        <w:t xml:space="preserve"> </w:t>
      </w:r>
      <w:r w:rsidRPr="005824BA">
        <w:rPr>
          <w:rFonts w:eastAsia="HelenPro-Regular"/>
        </w:rPr>
        <w:t>hormone (LH), follicle stimulating hormone (FSH) and human chorionic</w:t>
      </w:r>
      <w:r>
        <w:rPr>
          <w:rFonts w:eastAsia="HelenPro-Regular"/>
        </w:rPr>
        <w:t xml:space="preserve"> </w:t>
      </w:r>
      <w:r w:rsidRPr="005824BA">
        <w:rPr>
          <w:rFonts w:eastAsia="HelenPro-Regular"/>
        </w:rPr>
        <w:t>gonadotropin (</w:t>
      </w:r>
      <w:proofErr w:type="spellStart"/>
      <w:r w:rsidRPr="005824BA">
        <w:rPr>
          <w:rFonts w:eastAsia="HelenPro-Regular"/>
        </w:rPr>
        <w:t>hCG</w:t>
      </w:r>
      <w:proofErr w:type="spellEnd"/>
      <w:r w:rsidRPr="005824BA">
        <w:rPr>
          <w:rFonts w:eastAsia="HelenPro-Regular"/>
        </w:rPr>
        <w:t>), the beta subunits of these glycoproteins are hormone</w:t>
      </w:r>
      <w:r>
        <w:rPr>
          <w:rFonts w:eastAsia="HelenPro-Regular"/>
        </w:rPr>
        <w:t xml:space="preserve"> </w:t>
      </w:r>
      <w:r w:rsidRPr="005824BA">
        <w:rPr>
          <w:rFonts w:eastAsia="HelenPro-Regular"/>
        </w:rPr>
        <w:t>specific and confer biological as well as immunological specificity.</w:t>
      </w:r>
      <w:r>
        <w:rPr>
          <w:rFonts w:eastAsia="HelenPro-Regular"/>
        </w:rPr>
        <w:t xml:space="preserve"> </w:t>
      </w:r>
      <w:r w:rsidRPr="005824BA">
        <w:rPr>
          <w:rFonts w:eastAsia="HelenPro-Regular"/>
        </w:rPr>
        <w:t>Both alpha and beta subunits are required for biological activity. TSH</w:t>
      </w:r>
      <w:r>
        <w:rPr>
          <w:rFonts w:eastAsia="HelenPro-Regular"/>
        </w:rPr>
        <w:t xml:space="preserve"> </w:t>
      </w:r>
      <w:r w:rsidRPr="005824BA">
        <w:rPr>
          <w:rFonts w:eastAsia="HelenPro-Regular"/>
        </w:rPr>
        <w:t>stimulates the production and secretion of the metabolically active thyroid</w:t>
      </w:r>
      <w:r>
        <w:rPr>
          <w:rFonts w:eastAsia="HelenPro-Regular"/>
        </w:rPr>
        <w:t xml:space="preserve"> </w:t>
      </w:r>
      <w:r w:rsidRPr="005824BA">
        <w:rPr>
          <w:rFonts w:eastAsia="HelenPro-Regular"/>
        </w:rPr>
        <w:t xml:space="preserve">hormones, </w:t>
      </w:r>
      <w:proofErr w:type="spellStart"/>
      <w:r w:rsidRPr="005824BA">
        <w:rPr>
          <w:rFonts w:eastAsia="HelenPro-Regular"/>
        </w:rPr>
        <w:t>thyroxine</w:t>
      </w:r>
      <w:proofErr w:type="spellEnd"/>
      <w:r w:rsidRPr="005824BA">
        <w:rPr>
          <w:rFonts w:eastAsia="HelenPro-Regular"/>
        </w:rPr>
        <w:t xml:space="preserve"> (T4) and </w:t>
      </w:r>
      <w:proofErr w:type="spellStart"/>
      <w:r w:rsidRPr="005824BA">
        <w:rPr>
          <w:rFonts w:eastAsia="HelenPro-Regular"/>
        </w:rPr>
        <w:t>triiodothyronine</w:t>
      </w:r>
      <w:proofErr w:type="spellEnd"/>
      <w:r w:rsidRPr="005824BA">
        <w:rPr>
          <w:rFonts w:eastAsia="HelenPro-Regular"/>
        </w:rPr>
        <w:t xml:space="preserve"> (T3), by interacting with a</w:t>
      </w:r>
      <w:r>
        <w:rPr>
          <w:rFonts w:eastAsia="HelenPro-Regular"/>
        </w:rPr>
        <w:t xml:space="preserve"> </w:t>
      </w:r>
      <w:r w:rsidRPr="005824BA">
        <w:rPr>
          <w:rFonts w:eastAsia="HelenPro-Regular"/>
        </w:rPr>
        <w:t>specific receptor on the thyroid cell surface. T3 and T4 are responsible</w:t>
      </w:r>
      <w:r>
        <w:rPr>
          <w:rFonts w:eastAsia="HelenPro-Regular"/>
        </w:rPr>
        <w:t xml:space="preserve"> </w:t>
      </w:r>
      <w:r w:rsidRPr="005824BA">
        <w:rPr>
          <w:rFonts w:eastAsia="HelenPro-Regular"/>
        </w:rPr>
        <w:t>for regulating diverse biochemical processes throughout the body which</w:t>
      </w:r>
      <w:r>
        <w:rPr>
          <w:rFonts w:eastAsia="HelenPro-Regular"/>
        </w:rPr>
        <w:t xml:space="preserve"> </w:t>
      </w:r>
      <w:r w:rsidRPr="005824BA">
        <w:rPr>
          <w:rFonts w:eastAsia="HelenPro-Regular"/>
        </w:rPr>
        <w:t>are essential for normal development and metabolic and neural activity.</w:t>
      </w:r>
    </w:p>
    <w:p w:rsidR="005824BA" w:rsidRPr="005824BA" w:rsidRDefault="005824BA" w:rsidP="005824BA">
      <w:pPr>
        <w:autoSpaceDE w:val="0"/>
        <w:autoSpaceDN w:val="0"/>
        <w:adjustRightInd w:val="0"/>
        <w:rPr>
          <w:rFonts w:eastAsia="HelenPro-Regular"/>
        </w:rPr>
      </w:pPr>
      <w:r w:rsidRPr="005824BA">
        <w:rPr>
          <w:rFonts w:eastAsia="HelenPro-Regular"/>
        </w:rPr>
        <w:t>The synthesis and secretion of TSH is stim</w:t>
      </w:r>
      <w:r>
        <w:rPr>
          <w:rFonts w:eastAsia="HelenPro-Regular"/>
        </w:rPr>
        <w:t xml:space="preserve">ulated by </w:t>
      </w:r>
      <w:proofErr w:type="spellStart"/>
      <w:r>
        <w:rPr>
          <w:rFonts w:eastAsia="HelenPro-Regular"/>
        </w:rPr>
        <w:t>thyrotropin</w:t>
      </w:r>
      <w:proofErr w:type="spellEnd"/>
      <w:r>
        <w:rPr>
          <w:rFonts w:eastAsia="HelenPro-Regular"/>
        </w:rPr>
        <w:t xml:space="preserve"> releasing </w:t>
      </w:r>
      <w:r w:rsidRPr="005824BA">
        <w:rPr>
          <w:rFonts w:eastAsia="HelenPro-Regular"/>
        </w:rPr>
        <w:t xml:space="preserve">hormone (TRH), the hypothalamic </w:t>
      </w:r>
      <w:proofErr w:type="spellStart"/>
      <w:r w:rsidRPr="005824BA">
        <w:rPr>
          <w:rFonts w:eastAsia="HelenPro-Regular"/>
        </w:rPr>
        <w:t>tripeptide</w:t>
      </w:r>
      <w:proofErr w:type="spellEnd"/>
      <w:r w:rsidRPr="005824BA">
        <w:rPr>
          <w:rFonts w:eastAsia="HelenPro-Regular"/>
        </w:rPr>
        <w:t>, in response to low levels of</w:t>
      </w:r>
      <w:r>
        <w:rPr>
          <w:rFonts w:eastAsia="HelenPro-Regular"/>
        </w:rPr>
        <w:t xml:space="preserve"> </w:t>
      </w:r>
      <w:r w:rsidRPr="005824BA">
        <w:rPr>
          <w:rFonts w:eastAsia="HelenPro-Regular"/>
        </w:rPr>
        <w:t>circulating thyroid hormones. Elevated levels of T3 and T4 suppress</w:t>
      </w:r>
      <w:r>
        <w:rPr>
          <w:rFonts w:eastAsia="HelenPro-Regular"/>
        </w:rPr>
        <w:t xml:space="preserve"> </w:t>
      </w:r>
      <w:r w:rsidRPr="005824BA">
        <w:rPr>
          <w:rFonts w:eastAsia="HelenPro-Regular"/>
        </w:rPr>
        <w:t>the production of TSH via a classic negative feedback mechanism. Other</w:t>
      </w:r>
      <w:r>
        <w:rPr>
          <w:rFonts w:eastAsia="HelenPro-Regular"/>
        </w:rPr>
        <w:t xml:space="preserve"> </w:t>
      </w:r>
      <w:r w:rsidRPr="005824BA">
        <w:rPr>
          <w:rFonts w:eastAsia="HelenPro-Regular"/>
        </w:rPr>
        <w:t xml:space="preserve">evidence also indicates that </w:t>
      </w:r>
      <w:proofErr w:type="spellStart"/>
      <w:r w:rsidRPr="005824BA">
        <w:rPr>
          <w:rFonts w:eastAsia="HelenPro-Regular"/>
        </w:rPr>
        <w:t>somatostatin</w:t>
      </w:r>
      <w:proofErr w:type="spellEnd"/>
      <w:r w:rsidRPr="005824BA">
        <w:rPr>
          <w:rFonts w:eastAsia="HelenPro-Regular"/>
        </w:rPr>
        <w:t xml:space="preserve"> and dopamine exert inhibitory</w:t>
      </w:r>
      <w:r>
        <w:rPr>
          <w:rFonts w:eastAsia="HelenPro-Regular"/>
        </w:rPr>
        <w:t xml:space="preserve"> </w:t>
      </w:r>
      <w:r w:rsidRPr="005824BA">
        <w:rPr>
          <w:rFonts w:eastAsia="HelenPro-Regular"/>
        </w:rPr>
        <w:t>control over TSH release, suggesting that the hypothalamus may provide</w:t>
      </w:r>
      <w:r w:rsidR="00B30389">
        <w:rPr>
          <w:rFonts w:eastAsia="HelenPro-Regular"/>
        </w:rPr>
        <w:t xml:space="preserve"> </w:t>
      </w:r>
      <w:r w:rsidRPr="005824BA">
        <w:rPr>
          <w:rFonts w:eastAsia="HelenPro-Regular"/>
        </w:rPr>
        <w:t>both inhibitory and stimulatory influence on pituitary TSH production.</w:t>
      </w:r>
      <w:r w:rsidR="00B30389">
        <w:rPr>
          <w:rFonts w:eastAsia="HelenPro-Regular"/>
        </w:rPr>
        <w:t xml:space="preserve"> </w:t>
      </w:r>
      <w:r w:rsidRPr="005824BA">
        <w:rPr>
          <w:rFonts w:eastAsia="HelenPro-Regular"/>
        </w:rPr>
        <w:t>Failure at any level of regulation of the hypothalamic-pituitary-thyroid axis</w:t>
      </w:r>
      <w:r w:rsidR="00B30389">
        <w:rPr>
          <w:rFonts w:eastAsia="HelenPro-Regular"/>
        </w:rPr>
        <w:t xml:space="preserve"> </w:t>
      </w:r>
      <w:r w:rsidRPr="005824BA">
        <w:rPr>
          <w:rFonts w:eastAsia="HelenPro-Regular"/>
        </w:rPr>
        <w:t>will result in either underproduction (hypothyroidism) or overproduction</w:t>
      </w:r>
      <w:r w:rsidR="00B30389">
        <w:rPr>
          <w:rFonts w:eastAsia="HelenPro-Regular"/>
        </w:rPr>
        <w:t xml:space="preserve"> </w:t>
      </w:r>
      <w:r w:rsidRPr="005824BA">
        <w:rPr>
          <w:rFonts w:eastAsia="HelenPro-Regular"/>
        </w:rPr>
        <w:t>(hyperthyroidism) of T4 and/or T3.</w:t>
      </w:r>
      <w:r w:rsidR="00B30389">
        <w:rPr>
          <w:rFonts w:eastAsia="HelenPro-Regular"/>
        </w:rPr>
        <w:t xml:space="preserve"> </w:t>
      </w:r>
      <w:r w:rsidRPr="005824BA">
        <w:rPr>
          <w:rFonts w:eastAsia="HelenPro-Regular"/>
        </w:rPr>
        <w:t>In cases of primary hypothyroidism, T3 and T4 levels are low and TSH</w:t>
      </w:r>
      <w:r w:rsidR="00B30389">
        <w:rPr>
          <w:rFonts w:eastAsia="HelenPro-Regular"/>
        </w:rPr>
        <w:t xml:space="preserve"> </w:t>
      </w:r>
      <w:r w:rsidRPr="005824BA">
        <w:rPr>
          <w:rFonts w:eastAsia="HelenPro-Regular"/>
        </w:rPr>
        <w:t>levels are significantly elevated. In the case of pituitary dysfunction,</w:t>
      </w:r>
      <w:r w:rsidR="00B30389">
        <w:rPr>
          <w:rFonts w:eastAsia="HelenPro-Regular"/>
        </w:rPr>
        <w:t xml:space="preserve"> </w:t>
      </w:r>
      <w:r w:rsidRPr="005824BA">
        <w:rPr>
          <w:rFonts w:eastAsia="HelenPro-Regular"/>
        </w:rPr>
        <w:t>either due to intrinsic hypothalamic or pituitary disease; i.e., central</w:t>
      </w:r>
      <w:r w:rsidR="00B30389">
        <w:rPr>
          <w:rFonts w:eastAsia="HelenPro-Regular"/>
        </w:rPr>
        <w:t xml:space="preserve"> </w:t>
      </w:r>
      <w:r w:rsidRPr="005824BA">
        <w:rPr>
          <w:rFonts w:eastAsia="HelenPro-Regular"/>
        </w:rPr>
        <w:t>hypothyroidism, normal or marginally elevated basal TSH levels are</w:t>
      </w:r>
      <w:r w:rsidR="00B30389">
        <w:rPr>
          <w:rFonts w:eastAsia="HelenPro-Regular"/>
        </w:rPr>
        <w:t xml:space="preserve"> </w:t>
      </w:r>
      <w:r w:rsidRPr="005824BA">
        <w:rPr>
          <w:rFonts w:eastAsia="HelenPro-Regular"/>
        </w:rPr>
        <w:t>often seen despite significant reduction in T4 and/or T3 levels. These</w:t>
      </w:r>
      <w:r w:rsidR="00B30389">
        <w:rPr>
          <w:rFonts w:eastAsia="HelenPro-Regular"/>
        </w:rPr>
        <w:t xml:space="preserve"> </w:t>
      </w:r>
      <w:r w:rsidRPr="005824BA">
        <w:rPr>
          <w:rFonts w:eastAsia="HelenPro-Regular"/>
        </w:rPr>
        <w:t>inappropriate TSH values are due to a reduction in TSH bioactivity which</w:t>
      </w:r>
      <w:r w:rsidR="00B30389">
        <w:rPr>
          <w:rFonts w:eastAsia="HelenPro-Regular"/>
        </w:rPr>
        <w:t xml:space="preserve"> </w:t>
      </w:r>
      <w:r w:rsidRPr="005824BA">
        <w:rPr>
          <w:rFonts w:eastAsia="HelenPro-Regular"/>
        </w:rPr>
        <w:t>is frequently observed in such cases. Routine TRH stimulation is advised</w:t>
      </w:r>
      <w:r w:rsidR="00B30389">
        <w:rPr>
          <w:rFonts w:eastAsia="HelenPro-Regular"/>
        </w:rPr>
        <w:t xml:space="preserve"> </w:t>
      </w:r>
      <w:r w:rsidRPr="005824BA">
        <w:rPr>
          <w:rFonts w:eastAsia="HelenPro-Regular"/>
        </w:rPr>
        <w:t>to confirm the diagnosis in such cases. Secondary hypothyroidism</w:t>
      </w:r>
      <w:r w:rsidR="00B30389">
        <w:rPr>
          <w:rFonts w:eastAsia="HelenPro-Regular"/>
        </w:rPr>
        <w:t xml:space="preserve"> </w:t>
      </w:r>
      <w:r w:rsidRPr="005824BA">
        <w:rPr>
          <w:rFonts w:eastAsia="HelenPro-Regular"/>
        </w:rPr>
        <w:t>typically results in an impaired TSH response to TRH, while in tertiary</w:t>
      </w:r>
      <w:r w:rsidR="00B30389">
        <w:rPr>
          <w:rFonts w:eastAsia="HelenPro-Regular"/>
        </w:rPr>
        <w:t xml:space="preserve"> </w:t>
      </w:r>
      <w:r w:rsidRPr="005824BA">
        <w:rPr>
          <w:rFonts w:eastAsia="HelenPro-Regular"/>
        </w:rPr>
        <w:t>hypothyroidism the TSH response to TRH may be normal, prolonged or</w:t>
      </w:r>
      <w:r w:rsidR="00B30389">
        <w:rPr>
          <w:rFonts w:eastAsia="HelenPro-Regular"/>
        </w:rPr>
        <w:t xml:space="preserve"> </w:t>
      </w:r>
      <w:r w:rsidRPr="005824BA">
        <w:rPr>
          <w:rFonts w:eastAsia="HelenPro-Regular"/>
        </w:rPr>
        <w:t>exaggerated.</w:t>
      </w:r>
      <w:r w:rsidR="00B30389">
        <w:rPr>
          <w:rFonts w:eastAsia="HelenPro-Regular"/>
        </w:rPr>
        <w:t xml:space="preserve"> </w:t>
      </w:r>
      <w:r w:rsidRPr="005824BA">
        <w:rPr>
          <w:rFonts w:eastAsia="HelenPro-Regular"/>
        </w:rPr>
        <w:t>Primary hyperthyroidism (e.g., Grave’s Disease, nodular goiter) is</w:t>
      </w:r>
      <w:r w:rsidR="00B30389">
        <w:rPr>
          <w:rFonts w:eastAsia="HelenPro-Regular"/>
        </w:rPr>
        <w:t xml:space="preserve"> </w:t>
      </w:r>
      <w:r w:rsidRPr="005824BA">
        <w:rPr>
          <w:rFonts w:eastAsia="HelenPro-Regular"/>
        </w:rPr>
        <w:t>associated with high levels of thyroid hormones and depressed or</w:t>
      </w:r>
      <w:r w:rsidR="00B30389">
        <w:rPr>
          <w:rFonts w:eastAsia="HelenPro-Regular"/>
        </w:rPr>
        <w:t xml:space="preserve"> </w:t>
      </w:r>
      <w:r w:rsidRPr="005824BA">
        <w:rPr>
          <w:rFonts w:eastAsia="HelenPro-Regular"/>
        </w:rPr>
        <w:t>undetectable levels of TSH. The TRH stimulation test has been used</w:t>
      </w:r>
      <w:r w:rsidR="00B30389">
        <w:rPr>
          <w:rFonts w:eastAsia="HelenPro-Regular"/>
        </w:rPr>
        <w:t xml:space="preserve"> </w:t>
      </w:r>
      <w:r w:rsidRPr="005824BA">
        <w:rPr>
          <w:rFonts w:eastAsia="HelenPro-Regular"/>
        </w:rPr>
        <w:t>in diagnosis of hyperthyroidism. Hyperthyroid patients show a subnormal</w:t>
      </w:r>
      <w:r w:rsidR="00B30389">
        <w:rPr>
          <w:rFonts w:eastAsia="HelenPro-Regular"/>
        </w:rPr>
        <w:t xml:space="preserve"> </w:t>
      </w:r>
      <w:r w:rsidRPr="005824BA">
        <w:rPr>
          <w:rFonts w:eastAsia="HelenPro-Regular"/>
        </w:rPr>
        <w:t>response to the TRH test. In addition, large doses of glucocorticoids,</w:t>
      </w:r>
      <w:r w:rsidR="00B30389">
        <w:rPr>
          <w:rFonts w:eastAsia="HelenPro-Regular"/>
        </w:rPr>
        <w:t xml:space="preserve"> </w:t>
      </w:r>
      <w:proofErr w:type="spellStart"/>
      <w:r w:rsidRPr="005824BA">
        <w:rPr>
          <w:rFonts w:eastAsia="HelenPro-Regular"/>
        </w:rPr>
        <w:t>somatostatin</w:t>
      </w:r>
      <w:proofErr w:type="spellEnd"/>
      <w:r w:rsidRPr="005824BA">
        <w:rPr>
          <w:rFonts w:eastAsia="HelenPro-Regular"/>
        </w:rPr>
        <w:t>, dopamine and replacement doses of thyroid hormones</w:t>
      </w:r>
      <w:r w:rsidR="00B30389">
        <w:rPr>
          <w:rFonts w:eastAsia="HelenPro-Regular"/>
        </w:rPr>
        <w:t xml:space="preserve"> </w:t>
      </w:r>
      <w:r w:rsidRPr="005824BA">
        <w:rPr>
          <w:rFonts w:eastAsia="HelenPro-Regular"/>
        </w:rPr>
        <w:t>reduce or totally blunt the TSH response to TRH.</w:t>
      </w:r>
      <w:r w:rsidR="00B30389">
        <w:rPr>
          <w:rFonts w:eastAsia="HelenPro-Regular"/>
        </w:rPr>
        <w:t xml:space="preserve"> </w:t>
      </w:r>
      <w:r w:rsidRPr="005824BA">
        <w:rPr>
          <w:rFonts w:eastAsia="HelenPro-Regular"/>
        </w:rPr>
        <w:t>Earlier assays for serum TSH lacked the sensitivity to be used as a</w:t>
      </w:r>
      <w:r w:rsidR="00B30389">
        <w:rPr>
          <w:rFonts w:eastAsia="HelenPro-Regular"/>
        </w:rPr>
        <w:t xml:space="preserve"> </w:t>
      </w:r>
      <w:r w:rsidRPr="005824BA">
        <w:rPr>
          <w:rFonts w:eastAsia="HelenPro-Regular"/>
        </w:rPr>
        <w:t>primary test of thyroid function. Sensitive TSH assays now available,</w:t>
      </w:r>
      <w:r w:rsidR="00B30389">
        <w:rPr>
          <w:rFonts w:eastAsia="HelenPro-Regular"/>
        </w:rPr>
        <w:t xml:space="preserve"> </w:t>
      </w:r>
      <w:r w:rsidRPr="005824BA">
        <w:rPr>
          <w:rFonts w:eastAsia="HelenPro-Regular"/>
        </w:rPr>
        <w:t xml:space="preserve">with increased ability to clearly distinguish between </w:t>
      </w:r>
      <w:proofErr w:type="spellStart"/>
      <w:r w:rsidRPr="005824BA">
        <w:rPr>
          <w:rFonts w:eastAsia="HelenPro-Regular"/>
        </w:rPr>
        <w:t>euthyroid</w:t>
      </w:r>
      <w:proofErr w:type="spellEnd"/>
      <w:r w:rsidRPr="005824BA">
        <w:rPr>
          <w:rFonts w:eastAsia="HelenPro-Regular"/>
        </w:rPr>
        <w:t xml:space="preserve"> and</w:t>
      </w:r>
      <w:r w:rsidR="00B30389">
        <w:rPr>
          <w:rFonts w:eastAsia="HelenPro-Regular"/>
        </w:rPr>
        <w:t xml:space="preserve"> </w:t>
      </w:r>
      <w:r w:rsidRPr="005824BA">
        <w:rPr>
          <w:rFonts w:eastAsia="HelenPro-Regular"/>
        </w:rPr>
        <w:t>hyperthyroid populations, are changing thyroid function testing. Analytical</w:t>
      </w:r>
      <w:r w:rsidR="00B30389">
        <w:rPr>
          <w:rFonts w:eastAsia="HelenPro-Regular"/>
        </w:rPr>
        <w:t xml:space="preserve"> </w:t>
      </w:r>
      <w:r w:rsidRPr="005824BA">
        <w:rPr>
          <w:rFonts w:eastAsia="HelenPro-Regular"/>
        </w:rPr>
        <w:t>sensitivity, as a means of assessing low concentration accuracy, is being</w:t>
      </w:r>
      <w:r w:rsidR="00B30389">
        <w:rPr>
          <w:rFonts w:eastAsia="HelenPro-Regular"/>
        </w:rPr>
        <w:t xml:space="preserve"> </w:t>
      </w:r>
      <w:r w:rsidRPr="005824BA">
        <w:rPr>
          <w:rFonts w:eastAsia="HelenPro-Regular"/>
        </w:rPr>
        <w:t>replaced by functional sensitivity. The American Thyroid Association</w:t>
      </w:r>
      <w:r w:rsidR="00B30389">
        <w:rPr>
          <w:rFonts w:eastAsia="HelenPro-Regular"/>
        </w:rPr>
        <w:t xml:space="preserve"> </w:t>
      </w:r>
      <w:r w:rsidRPr="005824BA">
        <w:rPr>
          <w:rFonts w:eastAsia="HelenPro-Regular"/>
        </w:rPr>
        <w:t xml:space="preserve">has formally recommended </w:t>
      </w:r>
      <w:r w:rsidRPr="005824BA">
        <w:rPr>
          <w:rFonts w:eastAsia="HelenPro-Regular"/>
        </w:rPr>
        <w:lastRenderedPageBreak/>
        <w:t>the use of functional sensitivity as the means</w:t>
      </w:r>
      <w:r w:rsidR="00B30389">
        <w:rPr>
          <w:rFonts w:eastAsia="HelenPro-Regular"/>
        </w:rPr>
        <w:t xml:space="preserve"> </w:t>
      </w:r>
      <w:r w:rsidRPr="005824BA">
        <w:rPr>
          <w:rFonts w:eastAsia="HelenPro-Regular"/>
        </w:rPr>
        <w:t>to quantify the sensitivity of TSH assays, although analytical sensitivity</w:t>
      </w:r>
      <w:r w:rsidR="00B30389">
        <w:rPr>
          <w:rFonts w:eastAsia="HelenPro-Regular"/>
        </w:rPr>
        <w:t xml:space="preserve"> </w:t>
      </w:r>
      <w:r w:rsidRPr="005824BA">
        <w:rPr>
          <w:rFonts w:eastAsia="HelenPro-Regular"/>
        </w:rPr>
        <w:t xml:space="preserve">is still widely used. Third generation TSH assays exhibit 20% </w:t>
      </w:r>
      <w:proofErr w:type="spellStart"/>
      <w:r w:rsidRPr="005824BA">
        <w:rPr>
          <w:rFonts w:eastAsia="HelenPro-Regular"/>
        </w:rPr>
        <w:t>interassay</w:t>
      </w:r>
      <w:proofErr w:type="spellEnd"/>
    </w:p>
    <w:p w:rsidR="005824BA" w:rsidRPr="005824BA" w:rsidRDefault="005824BA" w:rsidP="005824BA">
      <w:pPr>
        <w:autoSpaceDE w:val="0"/>
        <w:autoSpaceDN w:val="0"/>
        <w:adjustRightInd w:val="0"/>
        <w:rPr>
          <w:rFonts w:eastAsia="HelenPro-Regular"/>
        </w:rPr>
      </w:pPr>
      <w:r w:rsidRPr="005824BA">
        <w:rPr>
          <w:rFonts w:eastAsia="HelenPro-Regular"/>
        </w:rPr>
        <w:t xml:space="preserve">CVs at &lt; 0.02 </w:t>
      </w:r>
      <w:proofErr w:type="spellStart"/>
      <w:r w:rsidRPr="005824BA">
        <w:rPr>
          <w:rFonts w:eastAsia="HelenPro-Regular"/>
        </w:rPr>
        <w:t>μIU</w:t>
      </w:r>
      <w:proofErr w:type="spellEnd"/>
      <w:r w:rsidRPr="005824BA">
        <w:rPr>
          <w:rFonts w:eastAsia="HelenPro-Regular"/>
        </w:rPr>
        <w:t xml:space="preserve">/mL and are useful in the </w:t>
      </w:r>
      <w:r w:rsidR="00B30389">
        <w:rPr>
          <w:rFonts w:eastAsia="HelenPro-Regular"/>
        </w:rPr>
        <w:t xml:space="preserve">discrimination of patients with </w:t>
      </w:r>
      <w:r w:rsidRPr="005824BA">
        <w:rPr>
          <w:rFonts w:eastAsia="HelenPro-Regular"/>
        </w:rPr>
        <w:t>true hyperthyroidism from those with TSH suppression seen in subclinical</w:t>
      </w:r>
      <w:r w:rsidR="00B30389">
        <w:rPr>
          <w:rFonts w:eastAsia="HelenPro-Regular"/>
        </w:rPr>
        <w:t xml:space="preserve"> </w:t>
      </w:r>
      <w:r w:rsidRPr="005824BA">
        <w:rPr>
          <w:rFonts w:eastAsia="HelenPro-Regular"/>
        </w:rPr>
        <w:t>hyperthyroidism and some non-thyroidal illnesses. Other thyroid tests</w:t>
      </w:r>
      <w:r w:rsidR="00B30389">
        <w:rPr>
          <w:rFonts w:eastAsia="HelenPro-Regular"/>
        </w:rPr>
        <w:t xml:space="preserve"> </w:t>
      </w:r>
      <w:r w:rsidRPr="005824BA">
        <w:rPr>
          <w:rFonts w:eastAsia="HelenPro-Regular"/>
        </w:rPr>
        <w:t>(Free T4 estimate, Total T4, T-Uptake, and Total T3) combined with the</w:t>
      </w:r>
      <w:r w:rsidR="00B30389">
        <w:rPr>
          <w:rFonts w:eastAsia="HelenPro-Regular"/>
        </w:rPr>
        <w:t xml:space="preserve"> </w:t>
      </w:r>
      <w:r w:rsidRPr="005824BA">
        <w:rPr>
          <w:rFonts w:eastAsia="HelenPro-Regular"/>
        </w:rPr>
        <w:t>ability to accurately measure low levels of TSH, improve the efficiency</w:t>
      </w:r>
      <w:r w:rsidR="00B30389">
        <w:rPr>
          <w:rFonts w:eastAsia="HelenPro-Regular"/>
        </w:rPr>
        <w:t xml:space="preserve"> </w:t>
      </w:r>
      <w:r w:rsidRPr="005824BA">
        <w:rPr>
          <w:rFonts w:eastAsia="HelenPro-Regular"/>
        </w:rPr>
        <w:t>of thyroid diagnosis.</w:t>
      </w:r>
    </w:p>
    <w:p w:rsidR="008D49F7" w:rsidRPr="00DC69D8" w:rsidRDefault="005824BA" w:rsidP="005824BA">
      <w:pPr>
        <w:autoSpaceDE w:val="0"/>
        <w:autoSpaceDN w:val="0"/>
        <w:adjustRightInd w:val="0"/>
        <w:rPr>
          <w:rFonts w:eastAsia="HelenPro-Regular"/>
        </w:rPr>
      </w:pPr>
      <w:r w:rsidRPr="005824BA">
        <w:rPr>
          <w:rFonts w:eastAsia="HelenPro-Regular"/>
        </w:rPr>
        <w:t>The ARCHITECT TSH assay is used as an a</w:t>
      </w:r>
      <w:r w:rsidR="00B30389">
        <w:rPr>
          <w:rFonts w:eastAsia="HelenPro-Regular"/>
        </w:rPr>
        <w:t xml:space="preserve">id in the assessment of thyroid </w:t>
      </w:r>
      <w:r w:rsidRPr="005824BA">
        <w:rPr>
          <w:rFonts w:eastAsia="HelenPro-Regular"/>
        </w:rPr>
        <w:t>status, diagnosis of thyroid disease, and treatment of thyroid disease.</w:t>
      </w:r>
    </w:p>
    <w:p w:rsidR="0026243F" w:rsidRDefault="0026243F"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5824BA" w:rsidRPr="005824BA" w:rsidRDefault="005824BA" w:rsidP="005824BA">
      <w:pPr>
        <w:autoSpaceDE w:val="0"/>
        <w:autoSpaceDN w:val="0"/>
        <w:adjustRightInd w:val="0"/>
        <w:rPr>
          <w:rFonts w:eastAsia="HelenPro-Regular"/>
        </w:rPr>
      </w:pPr>
      <w:r w:rsidRPr="005824BA">
        <w:rPr>
          <w:rFonts w:eastAsia="HelenPro-Regular"/>
        </w:rPr>
        <w:t>The ARCHITECT TSH assay is a tw</w:t>
      </w:r>
      <w:r>
        <w:rPr>
          <w:rFonts w:eastAsia="HelenPro-Regular"/>
        </w:rPr>
        <w:t xml:space="preserve">o-step immunoassay to determine </w:t>
      </w:r>
      <w:r w:rsidRPr="005824BA">
        <w:rPr>
          <w:rFonts w:eastAsia="HelenPro-Regular"/>
        </w:rPr>
        <w:t>the presence of Thyroid Stimulating Hormone (TSH) in human serum</w:t>
      </w:r>
      <w:r>
        <w:rPr>
          <w:rFonts w:eastAsia="HelenPro-Regular"/>
        </w:rPr>
        <w:t xml:space="preserve"> </w:t>
      </w:r>
      <w:r w:rsidRPr="005824BA">
        <w:rPr>
          <w:rFonts w:eastAsia="HelenPro-Regular"/>
        </w:rPr>
        <w:t xml:space="preserve">and plasma using </w:t>
      </w:r>
      <w:proofErr w:type="spellStart"/>
      <w:r w:rsidRPr="005824BA">
        <w:rPr>
          <w:rFonts w:eastAsia="HelenPro-Regular"/>
        </w:rPr>
        <w:t>Chemiluminescent</w:t>
      </w:r>
      <w:proofErr w:type="spellEnd"/>
      <w:r w:rsidRPr="005824BA">
        <w:rPr>
          <w:rFonts w:eastAsia="HelenPro-Regular"/>
        </w:rPr>
        <w:t xml:space="preserve"> </w:t>
      </w:r>
      <w:proofErr w:type="spellStart"/>
      <w:r w:rsidRPr="005824BA">
        <w:rPr>
          <w:rFonts w:eastAsia="HelenPro-Regular"/>
        </w:rPr>
        <w:t>Microparticle</w:t>
      </w:r>
      <w:proofErr w:type="spellEnd"/>
      <w:r w:rsidRPr="005824BA">
        <w:rPr>
          <w:rFonts w:eastAsia="HelenPro-Regular"/>
        </w:rPr>
        <w:t xml:space="preserve"> Immunoassay (CMIA)</w:t>
      </w:r>
      <w:r>
        <w:rPr>
          <w:rFonts w:eastAsia="HelenPro-Regular"/>
        </w:rPr>
        <w:t xml:space="preserve"> </w:t>
      </w:r>
      <w:r w:rsidRPr="005824BA">
        <w:rPr>
          <w:rFonts w:eastAsia="HelenPro-Regular"/>
        </w:rPr>
        <w:t xml:space="preserve">technology with flexible assay protocols, referred to as </w:t>
      </w:r>
      <w:proofErr w:type="spellStart"/>
      <w:r w:rsidRPr="005824BA">
        <w:rPr>
          <w:rFonts w:eastAsia="HelenPro-Regular"/>
        </w:rPr>
        <w:t>Chemiflex</w:t>
      </w:r>
      <w:proofErr w:type="spellEnd"/>
      <w:r w:rsidRPr="005824BA">
        <w:rPr>
          <w:rFonts w:eastAsia="HelenPro-Regular"/>
        </w:rPr>
        <w:t>.</w:t>
      </w:r>
      <w:r>
        <w:rPr>
          <w:rFonts w:eastAsia="HelenPro-Regular"/>
        </w:rPr>
        <w:t xml:space="preserve"> </w:t>
      </w:r>
      <w:r w:rsidRPr="005824BA">
        <w:rPr>
          <w:rFonts w:eastAsia="HelenPro-Regular"/>
        </w:rPr>
        <w:t>In the first step, sample, anti-β TSH antibody coated paramagnetic</w:t>
      </w:r>
      <w:r>
        <w:rPr>
          <w:rFonts w:eastAsia="HelenPro-Regular"/>
        </w:rPr>
        <w:t xml:space="preserve"> </w:t>
      </w:r>
      <w:proofErr w:type="spellStart"/>
      <w:r w:rsidRPr="005824BA">
        <w:rPr>
          <w:rFonts w:eastAsia="HelenPro-Regular"/>
        </w:rPr>
        <w:t>microparticles</w:t>
      </w:r>
      <w:proofErr w:type="spellEnd"/>
      <w:r w:rsidRPr="005824BA">
        <w:rPr>
          <w:rFonts w:eastAsia="HelenPro-Regular"/>
        </w:rPr>
        <w:t xml:space="preserve"> and TSH Assay Diluent are combined. TSH present in</w:t>
      </w:r>
      <w:r>
        <w:rPr>
          <w:rFonts w:eastAsia="HelenPro-Regular"/>
        </w:rPr>
        <w:t xml:space="preserve"> </w:t>
      </w:r>
      <w:r w:rsidRPr="005824BA">
        <w:rPr>
          <w:rFonts w:eastAsia="HelenPro-Regular"/>
        </w:rPr>
        <w:t xml:space="preserve">the sample binds to the anti-TSH antibody coated </w:t>
      </w:r>
      <w:proofErr w:type="spellStart"/>
      <w:r w:rsidRPr="005824BA">
        <w:rPr>
          <w:rFonts w:eastAsia="HelenPro-Regular"/>
        </w:rPr>
        <w:t>microparticles</w:t>
      </w:r>
      <w:proofErr w:type="spellEnd"/>
      <w:r w:rsidRPr="005824BA">
        <w:rPr>
          <w:rFonts w:eastAsia="HelenPro-Regular"/>
        </w:rPr>
        <w:t>. After</w:t>
      </w:r>
      <w:r>
        <w:rPr>
          <w:rFonts w:eastAsia="HelenPro-Regular"/>
        </w:rPr>
        <w:t xml:space="preserve"> </w:t>
      </w:r>
      <w:r w:rsidRPr="005824BA">
        <w:rPr>
          <w:rFonts w:eastAsia="HelenPro-Regular"/>
        </w:rPr>
        <w:t xml:space="preserve">washing, anti-α TSH </w:t>
      </w:r>
      <w:proofErr w:type="spellStart"/>
      <w:r w:rsidRPr="005824BA">
        <w:rPr>
          <w:rFonts w:eastAsia="HelenPro-Regular"/>
        </w:rPr>
        <w:t>acridinium</w:t>
      </w:r>
      <w:proofErr w:type="spellEnd"/>
      <w:r w:rsidRPr="005824BA">
        <w:rPr>
          <w:rFonts w:eastAsia="HelenPro-Regular"/>
        </w:rPr>
        <w:t xml:space="preserve"> labeled conjugate is added in the second</w:t>
      </w:r>
      <w:r>
        <w:rPr>
          <w:rFonts w:eastAsia="HelenPro-Regular"/>
        </w:rPr>
        <w:t xml:space="preserve"> </w:t>
      </w:r>
      <w:r w:rsidRPr="005824BA">
        <w:rPr>
          <w:rFonts w:eastAsia="HelenPro-Regular"/>
        </w:rPr>
        <w:t>step. Pre-Trigger and Trigger Solutions are then added to the reaction</w:t>
      </w:r>
      <w:r>
        <w:rPr>
          <w:rFonts w:eastAsia="HelenPro-Regular"/>
        </w:rPr>
        <w:t xml:space="preserve"> </w:t>
      </w:r>
      <w:r w:rsidRPr="005824BA">
        <w:rPr>
          <w:rFonts w:eastAsia="HelenPro-Regular"/>
        </w:rPr>
        <w:t xml:space="preserve">mixture; the resulting </w:t>
      </w:r>
      <w:proofErr w:type="spellStart"/>
      <w:r w:rsidRPr="005824BA">
        <w:rPr>
          <w:rFonts w:eastAsia="HelenPro-Regular"/>
        </w:rPr>
        <w:t>chemiluminescent</w:t>
      </w:r>
      <w:proofErr w:type="spellEnd"/>
      <w:r w:rsidRPr="005824BA">
        <w:rPr>
          <w:rFonts w:eastAsia="HelenPro-Regular"/>
        </w:rPr>
        <w:t xml:space="preserve"> reaction is measured as relative</w:t>
      </w:r>
      <w:r>
        <w:rPr>
          <w:rFonts w:eastAsia="HelenPro-Regular"/>
        </w:rPr>
        <w:t xml:space="preserve"> </w:t>
      </w:r>
      <w:r w:rsidRPr="005824BA">
        <w:rPr>
          <w:rFonts w:eastAsia="HelenPro-Regular"/>
        </w:rPr>
        <w:t>light units (RLUs). A direct relationship exists between the amount of</w:t>
      </w:r>
      <w:r>
        <w:rPr>
          <w:rFonts w:eastAsia="HelenPro-Regular"/>
        </w:rPr>
        <w:t xml:space="preserve"> </w:t>
      </w:r>
      <w:r w:rsidRPr="005824BA">
        <w:rPr>
          <w:rFonts w:eastAsia="HelenPro-Regular"/>
        </w:rPr>
        <w:t xml:space="preserve">TSH in the sample and the RLUs detected by the ARCHITECT </w:t>
      </w:r>
      <w:proofErr w:type="spellStart"/>
      <w:r w:rsidRPr="005824BA">
        <w:rPr>
          <w:rFonts w:eastAsia="HelenPro-Regular"/>
          <w:i/>
          <w:iCs/>
        </w:rPr>
        <w:t>i</w:t>
      </w:r>
      <w:proofErr w:type="spellEnd"/>
      <w:r w:rsidRPr="005824BA">
        <w:rPr>
          <w:rFonts w:eastAsia="HelenPro-Regular"/>
          <w:i/>
          <w:iCs/>
        </w:rPr>
        <w:t xml:space="preserve"> </w:t>
      </w:r>
      <w:r w:rsidRPr="005824BA">
        <w:rPr>
          <w:rFonts w:eastAsia="HelenPro-Regular"/>
        </w:rPr>
        <w:t>optical</w:t>
      </w:r>
      <w:r>
        <w:rPr>
          <w:rFonts w:eastAsia="HelenPro-Regular"/>
        </w:rPr>
        <w:t xml:space="preserve"> </w:t>
      </w:r>
      <w:r w:rsidRPr="005824BA">
        <w:rPr>
          <w:rFonts w:eastAsia="HelenPro-Regular"/>
        </w:rPr>
        <w:t>system.</w:t>
      </w:r>
    </w:p>
    <w:p w:rsidR="005824BA" w:rsidRPr="005824BA" w:rsidRDefault="005824BA" w:rsidP="005824BA">
      <w:pPr>
        <w:autoSpaceDE w:val="0"/>
        <w:autoSpaceDN w:val="0"/>
        <w:adjustRightInd w:val="0"/>
        <w:rPr>
          <w:rFonts w:eastAsia="HelenPro-Regular"/>
        </w:rPr>
      </w:pPr>
      <w:r w:rsidRPr="005824BA">
        <w:rPr>
          <w:rFonts w:eastAsia="HelenPro-Regular"/>
        </w:rPr>
        <w:t>For additional information on system and</w:t>
      </w:r>
      <w:r>
        <w:rPr>
          <w:rFonts w:eastAsia="HelenPro-Regular"/>
        </w:rPr>
        <w:t xml:space="preserve"> assay technology, refer to the </w:t>
      </w:r>
      <w:r w:rsidRPr="005824BA">
        <w:rPr>
          <w:rFonts w:eastAsia="HelenPro-Regular"/>
        </w:rPr>
        <w:t>ARCHITECT System Operations Manual, Section 3.</w:t>
      </w:r>
    </w:p>
    <w:p w:rsidR="00F5016C" w:rsidRPr="002531B2" w:rsidRDefault="00F5016C" w:rsidP="00F5016C">
      <w:pPr>
        <w:autoSpaceDE w:val="0"/>
        <w:autoSpaceDN w:val="0"/>
        <w:adjustRightInd w:val="0"/>
        <w:rPr>
          <w:rFonts w:eastAsia="HelenPro-Regular"/>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A54DD8" w:rsidRDefault="00D77B64" w:rsidP="00D77B64">
      <w:pPr>
        <w:autoSpaceDE w:val="0"/>
        <w:autoSpaceDN w:val="0"/>
        <w:adjustRightInd w:val="0"/>
        <w:rPr>
          <w:rFonts w:eastAsia="HelenPro-Bold"/>
          <w:b/>
          <w:bCs/>
        </w:rPr>
      </w:pPr>
      <w:r w:rsidRPr="00A54DD8">
        <w:rPr>
          <w:rFonts w:eastAsia="HelenPro-Bold"/>
          <w:b/>
          <w:bCs/>
        </w:rPr>
        <w:t>Suitable Specimens</w:t>
      </w:r>
    </w:p>
    <w:p w:rsidR="00B30389" w:rsidRPr="00B30389" w:rsidRDefault="00B30389" w:rsidP="00B30389">
      <w:pPr>
        <w:pStyle w:val="ListParagraph"/>
        <w:numPr>
          <w:ilvl w:val="0"/>
          <w:numId w:val="45"/>
        </w:numPr>
        <w:autoSpaceDE w:val="0"/>
        <w:autoSpaceDN w:val="0"/>
        <w:adjustRightInd w:val="0"/>
        <w:rPr>
          <w:rFonts w:eastAsia="HelenPro-Regular"/>
        </w:rPr>
      </w:pPr>
      <w:r w:rsidRPr="00B30389">
        <w:rPr>
          <w:rFonts w:eastAsia="HelenPro-Regular"/>
        </w:rPr>
        <w:t>Human serum (including serum collected in serum separator tubes) or plasma collected in lithium heparin, sodium heparin, or potassium EDTA anticoagulant tubes may be used in the ARCHITECT TSH assay. Other anticoagulants have not been validated for use with the ARCHITECT TSH assay</w:t>
      </w:r>
      <w:r w:rsidRPr="00B30389">
        <w:rPr>
          <w:rFonts w:ascii="HelenPro-Regular" w:eastAsia="HelenPro-Regular" w:cs="HelenPro-Regular"/>
          <w:sz w:val="16"/>
          <w:szCs w:val="16"/>
        </w:rPr>
        <w:t>.</w:t>
      </w:r>
      <w:r w:rsidRPr="00B30389">
        <w:rPr>
          <w:rFonts w:eastAsia="HelenPro-Regular"/>
        </w:rPr>
        <w:t xml:space="preserve"> </w:t>
      </w:r>
    </w:p>
    <w:p w:rsidR="00B30389" w:rsidRPr="00B30389" w:rsidRDefault="00B30389" w:rsidP="00B30389">
      <w:pPr>
        <w:pStyle w:val="ListParagraph"/>
        <w:numPr>
          <w:ilvl w:val="0"/>
          <w:numId w:val="45"/>
        </w:numPr>
        <w:autoSpaceDE w:val="0"/>
        <w:autoSpaceDN w:val="0"/>
        <w:adjustRightInd w:val="0"/>
        <w:rPr>
          <w:rFonts w:eastAsia="HelenPro-Bold"/>
          <w:b/>
          <w:bCs/>
        </w:rPr>
      </w:pPr>
      <w:r w:rsidRPr="00B30389">
        <w:rPr>
          <w:rFonts w:eastAsia="HelenPro-Bold"/>
          <w:b/>
          <w:bCs/>
        </w:rPr>
        <w:t>Ensure that complete clot formation in serum specimens has taken place prior to centrifugation. Some specimens, especially those from patients receiving anticoagulant or thrombolytic therapy may exhibit increased clotting time. If specimens are centrifuged before a complete clot forms, the presence of fibrin or particulate matter may cause erroneous results. Centrifuge specimens containing fibrin, red blood cells, or particulate matter. Note that interfering levels of fibrin may be present in samples that do not have obvious or visible particulate matter.</w:t>
      </w:r>
    </w:p>
    <w:p w:rsidR="00B30389" w:rsidRPr="00B30389" w:rsidRDefault="00B30389" w:rsidP="00B30389">
      <w:pPr>
        <w:pStyle w:val="ListParagraph"/>
        <w:numPr>
          <w:ilvl w:val="0"/>
          <w:numId w:val="45"/>
        </w:numPr>
        <w:autoSpaceDE w:val="0"/>
        <w:autoSpaceDN w:val="0"/>
        <w:adjustRightInd w:val="0"/>
        <w:rPr>
          <w:rFonts w:eastAsia="HelenPro-Bold"/>
          <w:b/>
          <w:bCs/>
        </w:rPr>
      </w:pPr>
      <w:r w:rsidRPr="00B30389">
        <w:rPr>
          <w:rFonts w:eastAsia="HelenPro-Bold"/>
          <w:b/>
          <w:bCs/>
        </w:rPr>
        <w:t>If proper specimen collection and preparation cannot be verified, or if samples have been disrupted due to transportation or sample handling, an additional centrifugation step is recommended. Centrifugation conditions should be sufficient to remove particulate matter. Aliquots poured versus pipetted from specimen tube types that do not include serum separators are at higher risk of including particulates and generating depressed results.</w:t>
      </w:r>
    </w:p>
    <w:p w:rsidR="008E2859" w:rsidRPr="00B30389" w:rsidRDefault="00B30389" w:rsidP="00B30389">
      <w:pPr>
        <w:pStyle w:val="ListParagraph"/>
        <w:numPr>
          <w:ilvl w:val="0"/>
          <w:numId w:val="45"/>
        </w:numPr>
        <w:autoSpaceDE w:val="0"/>
        <w:autoSpaceDN w:val="0"/>
        <w:adjustRightInd w:val="0"/>
        <w:rPr>
          <w:rFonts w:eastAsia="HelenPro-Bold"/>
          <w:b/>
          <w:bCs/>
        </w:rPr>
      </w:pPr>
      <w:r w:rsidRPr="00B30389">
        <w:rPr>
          <w:rFonts w:eastAsia="HelenPro-Bold"/>
          <w:b/>
          <w:bCs/>
        </w:rPr>
        <w:t>Failure to follow these instructions may result in depressed specimen results</w:t>
      </w:r>
      <w:r w:rsidRPr="00B30389">
        <w:rPr>
          <w:rFonts w:ascii="HelenPro-Bold" w:eastAsia="HelenPro-Bold" w:cs="HelenPro-Bold"/>
          <w:b/>
          <w:bCs/>
          <w:sz w:val="16"/>
          <w:szCs w:val="16"/>
        </w:rPr>
        <w:t>.</w:t>
      </w:r>
      <w:r w:rsidR="00DC69D8" w:rsidRPr="00B30389">
        <w:rPr>
          <w:rFonts w:ascii="HelenPro-Regular" w:eastAsia="HelenPro-Regular" w:cs="HelenPro-Regular"/>
          <w:sz w:val="16"/>
          <w:szCs w:val="16"/>
        </w:rPr>
        <w:t>.</w:t>
      </w:r>
    </w:p>
    <w:p w:rsidR="001C751A" w:rsidRPr="002531B2" w:rsidRDefault="001C751A" w:rsidP="001C751A">
      <w:pPr>
        <w:autoSpaceDE w:val="0"/>
        <w:autoSpaceDN w:val="0"/>
        <w:adjustRightInd w:val="0"/>
        <w:rPr>
          <w:rFonts w:eastAsia="HelenPro-Regular"/>
        </w:rPr>
      </w:pPr>
    </w:p>
    <w:p w:rsidR="001C751A" w:rsidRPr="002531B2" w:rsidRDefault="001C751A" w:rsidP="001C751A">
      <w:pPr>
        <w:autoSpaceDE w:val="0"/>
        <w:autoSpaceDN w:val="0"/>
        <w:adjustRightInd w:val="0"/>
        <w:rPr>
          <w:rFonts w:eastAsia="HelenPro-Regular"/>
        </w:rPr>
      </w:pPr>
      <w:r w:rsidRPr="002531B2">
        <w:rPr>
          <w:rFonts w:eastAsia="HelenPro-Regular"/>
        </w:rPr>
        <w:t>Do not use specimens with the following conditions:</w:t>
      </w:r>
    </w:p>
    <w:p w:rsidR="005765EB" w:rsidRPr="002531B2" w:rsidRDefault="001C751A" w:rsidP="005765EB">
      <w:pPr>
        <w:autoSpaceDE w:val="0"/>
        <w:autoSpaceDN w:val="0"/>
        <w:adjustRightInd w:val="0"/>
        <w:ind w:left="720"/>
        <w:rPr>
          <w:rFonts w:eastAsia="HelenPro-Regular"/>
        </w:rPr>
      </w:pPr>
      <w:r w:rsidRPr="002531B2">
        <w:rPr>
          <w:rFonts w:eastAsia="HelenPro-Bold"/>
          <w:b/>
          <w:bCs/>
        </w:rPr>
        <w:t xml:space="preserve">• </w:t>
      </w:r>
      <w:r w:rsidR="002531B2" w:rsidRPr="002531B2">
        <w:rPr>
          <w:rFonts w:eastAsia="HelenPro-Regular"/>
        </w:rPr>
        <w:t>heat inactivated</w:t>
      </w:r>
      <w:r w:rsidR="005765EB" w:rsidRPr="002531B2">
        <w:rPr>
          <w:rFonts w:eastAsia="HelenPro-Regular"/>
        </w:rPr>
        <w:t xml:space="preserve"> </w:t>
      </w:r>
    </w:p>
    <w:p w:rsidR="00C661EB" w:rsidRPr="002531B2" w:rsidRDefault="00C661EB" w:rsidP="002531B2">
      <w:pPr>
        <w:autoSpaceDE w:val="0"/>
        <w:autoSpaceDN w:val="0"/>
        <w:adjustRightInd w:val="0"/>
        <w:ind w:left="720"/>
        <w:rPr>
          <w:rFonts w:eastAsia="HelenPro-Regular"/>
        </w:rPr>
      </w:pPr>
    </w:p>
    <w:p w:rsidR="00C661EB" w:rsidRPr="002531B2" w:rsidRDefault="00C661EB" w:rsidP="00C661EB">
      <w:pPr>
        <w:autoSpaceDE w:val="0"/>
        <w:autoSpaceDN w:val="0"/>
        <w:adjustRightInd w:val="0"/>
        <w:rPr>
          <w:rFonts w:eastAsia="HelenPro-Bold"/>
          <w:b/>
          <w:bCs/>
        </w:rPr>
      </w:pPr>
      <w:r w:rsidRPr="002531B2">
        <w:rPr>
          <w:rFonts w:eastAsia="HelenPro-Bold"/>
          <w:b/>
          <w:bCs/>
        </w:rPr>
        <w:lastRenderedPageBreak/>
        <w:t>Storage</w:t>
      </w:r>
    </w:p>
    <w:p w:rsidR="00B30389" w:rsidRPr="00B30389" w:rsidRDefault="00B30389" w:rsidP="00B30389">
      <w:pPr>
        <w:autoSpaceDE w:val="0"/>
        <w:autoSpaceDN w:val="0"/>
        <w:adjustRightInd w:val="0"/>
        <w:rPr>
          <w:rFonts w:eastAsia="HelenPro-Regular"/>
        </w:rPr>
      </w:pPr>
      <w:r w:rsidRPr="00B30389">
        <w:rPr>
          <w:rFonts w:eastAsia="HelenPro-Regular"/>
        </w:rPr>
        <w:t>If testing will be delayed more than 24 hours, remove serum or</w:t>
      </w:r>
      <w:r>
        <w:rPr>
          <w:rFonts w:eastAsia="HelenPro-Regular"/>
        </w:rPr>
        <w:t xml:space="preserve"> </w:t>
      </w:r>
      <w:r w:rsidRPr="00B30389">
        <w:rPr>
          <w:rFonts w:eastAsia="HelenPro-Regular"/>
        </w:rPr>
        <w:t>plasma from the clot, serum separator or red blood cells. Specimens</w:t>
      </w:r>
      <w:r>
        <w:rPr>
          <w:rFonts w:eastAsia="HelenPro-Regular"/>
        </w:rPr>
        <w:t xml:space="preserve"> </w:t>
      </w:r>
      <w:r w:rsidRPr="00B30389">
        <w:rPr>
          <w:rFonts w:eastAsia="HelenPro-Regular"/>
        </w:rPr>
        <w:t>may be stored for up to 7 days at 2-8°C prior to being tested. If testing</w:t>
      </w:r>
      <w:r>
        <w:rPr>
          <w:rFonts w:eastAsia="HelenPro-Regular"/>
        </w:rPr>
        <w:t xml:space="preserve"> </w:t>
      </w:r>
      <w:r w:rsidRPr="00B30389">
        <w:rPr>
          <w:rFonts w:eastAsia="HelenPro-Regular"/>
        </w:rPr>
        <w:t>will be delayed more than 7 days, specimens should be frozen at</w:t>
      </w:r>
      <w:r>
        <w:rPr>
          <w:rFonts w:eastAsia="HelenPro-Regular"/>
        </w:rPr>
        <w:t xml:space="preserve"> </w:t>
      </w:r>
      <w:r w:rsidRPr="00B30389">
        <w:rPr>
          <w:rFonts w:eastAsia="HelenPro-Regular"/>
        </w:rPr>
        <w:t>-10°C or colder. Specimens stored frozen at -10°C or colder for 6</w:t>
      </w:r>
      <w:r>
        <w:rPr>
          <w:rFonts w:eastAsia="HelenPro-Regular"/>
        </w:rPr>
        <w:t xml:space="preserve"> </w:t>
      </w:r>
      <w:r w:rsidRPr="00B30389">
        <w:rPr>
          <w:rFonts w:eastAsia="HelenPro-Regular"/>
        </w:rPr>
        <w:t>months showed no performance difference</w:t>
      </w:r>
    </w:p>
    <w:p w:rsidR="00A54DD8" w:rsidRPr="00B30389" w:rsidRDefault="00B30389" w:rsidP="00B30389">
      <w:pPr>
        <w:pStyle w:val="ListParagraph"/>
        <w:numPr>
          <w:ilvl w:val="0"/>
          <w:numId w:val="41"/>
        </w:numPr>
        <w:autoSpaceDE w:val="0"/>
        <w:autoSpaceDN w:val="0"/>
        <w:adjustRightInd w:val="0"/>
        <w:rPr>
          <w:rFonts w:eastAsia="HelenPro-Regular"/>
        </w:rPr>
      </w:pPr>
      <w:r w:rsidRPr="00B30389">
        <w:rPr>
          <w:rFonts w:eastAsia="HelenPro-Regular"/>
        </w:rPr>
        <w:t>Multiple freeze-thaw cycles of specimens should be avoided.</w:t>
      </w:r>
      <w:r w:rsidR="002531B2" w:rsidRPr="00B30389">
        <w:rPr>
          <w:rFonts w:eastAsia="HelenPro-Regular"/>
        </w:rPr>
        <w:t>.</w:t>
      </w:r>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F411FB" w:rsidRDefault="00F411FB"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AE6139" w:rsidRPr="00B30389" w:rsidRDefault="00B30389" w:rsidP="00973EAF">
      <w:pPr>
        <w:ind w:firstLine="720"/>
        <w:rPr>
          <w:b/>
        </w:rPr>
      </w:pPr>
      <w:r w:rsidRPr="00B30389">
        <w:rPr>
          <w:rFonts w:eastAsia="HelenPro-Regular"/>
        </w:rPr>
        <w:t>7K62 ARCHITECT TSH Reagent Kit</w:t>
      </w:r>
    </w:p>
    <w:p w:rsidR="00B30389" w:rsidRDefault="00B30389"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t>
      </w:r>
      <w:r w:rsidR="001929DD">
        <w:rPr>
          <w:rFonts w:eastAsia="HelenPro-Regular"/>
        </w:rPr>
        <w:t xml:space="preserve">with </w:t>
      </w:r>
      <w:r w:rsidR="001929DD" w:rsidRPr="001929DD">
        <w:rPr>
          <w:rFonts w:eastAsia="HelenPro-Regular"/>
          <w:i/>
        </w:rPr>
        <w:t>STAT</w:t>
      </w:r>
      <w:r w:rsidR="001929DD">
        <w:rPr>
          <w:rFonts w:eastAsia="HelenPro-Regular"/>
        </w:rPr>
        <w:t xml:space="preserve"> protocol</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1929DD" w:rsidRPr="00B30389">
        <w:rPr>
          <w:rFonts w:eastAsia="HelenPro-Regular"/>
        </w:rPr>
        <w:t xml:space="preserve">TSH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B30389" w:rsidRPr="00B30389" w:rsidRDefault="005765EB" w:rsidP="00B30389">
      <w:pPr>
        <w:autoSpaceDE w:val="0"/>
        <w:autoSpaceDN w:val="0"/>
        <w:adjustRightInd w:val="0"/>
        <w:rPr>
          <w:rFonts w:eastAsia="HelenPro-Regular"/>
        </w:rPr>
      </w:pPr>
      <w:r w:rsidRPr="00B30389">
        <w:rPr>
          <w:rFonts w:eastAsia="HelenPro-Bold"/>
          <w:b/>
          <w:bCs/>
        </w:rPr>
        <w:t>•</w:t>
      </w:r>
      <w:r w:rsidRPr="00B30389">
        <w:rPr>
          <w:rFonts w:eastAsia="HelenPro-Regular"/>
        </w:rPr>
        <w:t xml:space="preserve"> </w:t>
      </w:r>
      <w:r w:rsidR="00B30389" w:rsidRPr="00B30389">
        <w:rPr>
          <w:rFonts w:eastAsia="HelenPro-Regular"/>
        </w:rPr>
        <w:t>7K62-01 ARCHITECT TSH Calibrators</w:t>
      </w:r>
    </w:p>
    <w:p w:rsidR="00B30389"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7K62-10 ARCHITECT TSH Controls</w:t>
      </w:r>
    </w:p>
    <w:p w:rsidR="00DC69D8"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 xml:space="preserve">7D82-50 ARCHITECT </w:t>
      </w:r>
      <w:proofErr w:type="spellStart"/>
      <w:r w:rsidRPr="00B30389">
        <w:rPr>
          <w:rFonts w:eastAsia="HelenPro-Regular"/>
          <w:i/>
          <w:iCs/>
        </w:rPr>
        <w:t>i</w:t>
      </w:r>
      <w:proofErr w:type="spellEnd"/>
      <w:r w:rsidRPr="00B30389">
        <w:rPr>
          <w:rFonts w:eastAsia="HelenPro-Regular"/>
          <w:i/>
          <w:iCs/>
        </w:rPr>
        <w:t xml:space="preserve"> </w:t>
      </w:r>
      <w:r w:rsidRPr="00B30389">
        <w:rPr>
          <w:rFonts w:eastAsia="HelenPro-Regular"/>
        </w:rPr>
        <w:t>Multi-Assay Manual Diluent</w:t>
      </w:r>
    </w:p>
    <w:p w:rsidR="008036AC" w:rsidRPr="00B54C79" w:rsidRDefault="00B54C79" w:rsidP="005765E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E66375" w:rsidRDefault="00E66375" w:rsidP="00507B0C">
      <w:pPr>
        <w:rPr>
          <w:b/>
          <w:sz w:val="28"/>
          <w:szCs w:val="28"/>
        </w:rPr>
      </w:pPr>
    </w:p>
    <w:p w:rsidR="00E66375" w:rsidRDefault="00E66375"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4E3937" w:rsidRDefault="00B30389" w:rsidP="0038442D">
      <w:pPr>
        <w:autoSpaceDE w:val="0"/>
        <w:autoSpaceDN w:val="0"/>
        <w:adjustRightInd w:val="0"/>
        <w:rPr>
          <w:rFonts w:eastAsia="HelenPro-Bold"/>
          <w:b/>
          <w:bCs/>
        </w:rPr>
      </w:pPr>
      <w:r>
        <w:rPr>
          <w:noProof/>
        </w:rPr>
        <w:lastRenderedPageBreak/>
        <w:drawing>
          <wp:inline distT="0" distB="0" distL="0" distR="0" wp14:anchorId="2505DAE9" wp14:editId="18AF0C2A">
            <wp:extent cx="3102807" cy="2052084"/>
            <wp:effectExtent l="0" t="0" r="2540" b="571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04119" cy="2052952"/>
                    </a:xfrm>
                    <a:prstGeom prst="rect">
                      <a:avLst/>
                    </a:prstGeom>
                  </pic:spPr>
                </pic:pic>
              </a:graphicData>
            </a:graphic>
          </wp:inline>
        </w:drawing>
      </w:r>
    </w:p>
    <w:p w:rsidR="00B30389" w:rsidRDefault="00B30389" w:rsidP="0038442D">
      <w:pPr>
        <w:autoSpaceDE w:val="0"/>
        <w:autoSpaceDN w:val="0"/>
        <w:adjustRightInd w:val="0"/>
        <w:rPr>
          <w:rFonts w:eastAsia="HelenPro-Bold"/>
          <w:b/>
          <w:bCs/>
        </w:rPr>
      </w:pPr>
      <w:r>
        <w:rPr>
          <w:noProof/>
        </w:rPr>
        <w:drawing>
          <wp:inline distT="0" distB="0" distL="0" distR="0" wp14:anchorId="4236C29D" wp14:editId="07AC603B">
            <wp:extent cx="2832341" cy="2817628"/>
            <wp:effectExtent l="0" t="0" r="6350" b="190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35422" cy="2820693"/>
                    </a:xfrm>
                    <a:prstGeom prst="rect">
                      <a:avLst/>
                    </a:prstGeom>
                  </pic:spPr>
                </pic:pic>
              </a:graphicData>
            </a:graphic>
          </wp:inline>
        </w:drawing>
      </w:r>
    </w:p>
    <w:p w:rsidR="002020F0" w:rsidRDefault="002020F0" w:rsidP="0038442D">
      <w:pPr>
        <w:autoSpaceDE w:val="0"/>
        <w:autoSpaceDN w:val="0"/>
        <w:adjustRightInd w:val="0"/>
        <w:rPr>
          <w:rFonts w:eastAsia="HelenPro-Bold"/>
          <w:b/>
          <w:bCs/>
        </w:rPr>
      </w:pPr>
    </w:p>
    <w:p w:rsidR="002020F0" w:rsidRDefault="002020F0"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44368A" w:rsidRPr="0044368A" w:rsidRDefault="0044368A" w:rsidP="0044368A">
      <w:pPr>
        <w:pStyle w:val="ListParagraph"/>
        <w:numPr>
          <w:ilvl w:val="0"/>
          <w:numId w:val="38"/>
        </w:numPr>
        <w:autoSpaceDE w:val="0"/>
        <w:autoSpaceDN w:val="0"/>
        <w:adjustRightInd w:val="0"/>
        <w:rPr>
          <w:rFonts w:eastAsia="HelenPro-Bold"/>
          <w:b/>
          <w:bCs/>
        </w:rPr>
      </w:pPr>
      <w:r w:rsidRPr="0044368A">
        <w:rPr>
          <w:rFonts w:eastAsia="HelenPro-Regular"/>
        </w:rPr>
        <w:t xml:space="preserve">The ARCHITECT </w:t>
      </w:r>
      <w:r w:rsidR="00B30389">
        <w:rPr>
          <w:rFonts w:eastAsia="HelenPro-Regular"/>
        </w:rPr>
        <w:t xml:space="preserve">TSH </w:t>
      </w:r>
      <w:r w:rsidRPr="0044368A">
        <w:rPr>
          <w:rFonts w:eastAsia="HelenPro-Regular"/>
        </w:rPr>
        <w:t>Reagent Kit must be stored at 2-8°C and may be used immediately after removal from 2</w:t>
      </w:r>
      <w:r w:rsidRPr="0044368A">
        <w:rPr>
          <w:rFonts w:ascii="MS Mincho" w:eastAsia="MS Mincho" w:hAnsi="MS Mincho" w:cs="MS Mincho" w:hint="eastAsia"/>
        </w:rPr>
        <w:t>‑</w:t>
      </w:r>
      <w:r w:rsidRPr="0044368A">
        <w:rPr>
          <w:rFonts w:eastAsia="HelenPro-Regular"/>
        </w:rPr>
        <w:t>8°C storage.</w:t>
      </w:r>
    </w:p>
    <w:p w:rsidR="0044368A" w:rsidRPr="0044368A" w:rsidRDefault="0044368A" w:rsidP="0044368A">
      <w:pPr>
        <w:pStyle w:val="ListParagraph"/>
        <w:numPr>
          <w:ilvl w:val="0"/>
          <w:numId w:val="38"/>
        </w:numPr>
        <w:autoSpaceDE w:val="0"/>
        <w:autoSpaceDN w:val="0"/>
        <w:adjustRightInd w:val="0"/>
        <w:rPr>
          <w:rFonts w:eastAsia="HelenPro-Regular"/>
        </w:rPr>
      </w:pPr>
      <w:r w:rsidRPr="0044368A">
        <w:rPr>
          <w:rFonts w:eastAsia="HelenPro-Regular"/>
        </w:rPr>
        <w:t>When stored and handled as directed, reagents are stable until the expiration date.</w:t>
      </w:r>
    </w:p>
    <w:p w:rsidR="005765EB" w:rsidRPr="00A54DD8" w:rsidRDefault="0044368A" w:rsidP="00A54DD8">
      <w:pPr>
        <w:pStyle w:val="ListParagraph"/>
        <w:numPr>
          <w:ilvl w:val="0"/>
          <w:numId w:val="38"/>
        </w:numPr>
        <w:autoSpaceDE w:val="0"/>
        <w:autoSpaceDN w:val="0"/>
        <w:adjustRightInd w:val="0"/>
        <w:rPr>
          <w:rFonts w:eastAsia="HelenPro-Regular"/>
        </w:rPr>
      </w:pPr>
      <w:r w:rsidRPr="0044368A">
        <w:rPr>
          <w:rFonts w:eastAsia="HelenPro-Regular"/>
        </w:rPr>
        <w:t xml:space="preserve">The ARCHITECT </w:t>
      </w:r>
      <w:r w:rsidR="00B30389">
        <w:rPr>
          <w:rFonts w:eastAsia="HelenPro-Regular"/>
        </w:rPr>
        <w:t xml:space="preserve">TSH </w:t>
      </w:r>
      <w:r w:rsidRPr="0044368A">
        <w:rPr>
          <w:rFonts w:eastAsia="HelenPro-Regular"/>
        </w:rPr>
        <w:t xml:space="preserve">Reagent Kit may be stored on-board the ARCHITECT </w:t>
      </w:r>
      <w:proofErr w:type="spellStart"/>
      <w:r w:rsidRPr="0044368A">
        <w:rPr>
          <w:rFonts w:eastAsia="HelenPro-Regular"/>
          <w:i/>
          <w:iCs/>
        </w:rPr>
        <w:t>i</w:t>
      </w:r>
      <w:proofErr w:type="spellEnd"/>
      <w:r w:rsidRPr="0044368A">
        <w:rPr>
          <w:rFonts w:eastAsia="HelenPro-Regular"/>
          <w:i/>
          <w:iCs/>
        </w:rPr>
        <w:t xml:space="preserve"> </w:t>
      </w:r>
      <w:r w:rsidRPr="0044368A">
        <w:rPr>
          <w:rFonts w:eastAsia="HelenPro-Regular"/>
        </w:rPr>
        <w:t>System for a maximum of 30 days. After 30 days, the reagent kit must be discarded. For information on tracking on</w:t>
      </w:r>
      <w:r w:rsidRPr="0044368A">
        <w:rPr>
          <w:rFonts w:ascii="MS Mincho" w:eastAsia="MS Mincho" w:hAnsi="MS Mincho" w:cs="MS Mincho" w:hint="eastAsia"/>
        </w:rPr>
        <w:t>‑</w:t>
      </w:r>
      <w:r w:rsidRPr="0044368A">
        <w:rPr>
          <w:rFonts w:eastAsia="HelenPro-Regular"/>
        </w:rPr>
        <w:t>board</w:t>
      </w:r>
      <w:r w:rsidR="00A54DD8">
        <w:rPr>
          <w:rFonts w:eastAsia="HelenPro-Regular"/>
        </w:rPr>
        <w:t xml:space="preserve"> </w:t>
      </w:r>
      <w:r w:rsidRPr="00A54DD8">
        <w:rPr>
          <w:rFonts w:eastAsia="HelenPro-Regular"/>
        </w:rPr>
        <w:t>time, refer to the ARCHITECT System Operations Manual, Section 5.</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BF1824" w:rsidRDefault="00BF1824"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E66375" w:rsidRDefault="00E66375"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lastRenderedPageBreak/>
        <w:t>R</w:t>
      </w:r>
      <w:r w:rsidR="00B54C79">
        <w:rPr>
          <w:rStyle w:val="BodyBold"/>
          <w:rFonts w:ascii="Times New Roman" w:hAnsi="Times New Roman"/>
          <w:sz w:val="24"/>
          <w:szCs w:val="24"/>
        </w:rPr>
        <w:t>eagents</w:t>
      </w:r>
    </w:p>
    <w:p w:rsidR="001C751A" w:rsidRPr="00B54C79" w:rsidRDefault="00B30389" w:rsidP="00B36577">
      <w:pPr>
        <w:spacing w:after="72"/>
      </w:pPr>
      <w:r>
        <w:rPr>
          <w:noProof/>
        </w:rPr>
        <w:drawing>
          <wp:inline distT="0" distB="0" distL="0" distR="0" wp14:anchorId="531C2815" wp14:editId="7A3A82D2">
            <wp:extent cx="428625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86250" cy="3276600"/>
                    </a:xfrm>
                    <a:prstGeom prst="rect">
                      <a:avLst/>
                    </a:prstGeom>
                  </pic:spPr>
                </pic:pic>
              </a:graphicData>
            </a:graphic>
          </wp:inline>
        </w:drawing>
      </w: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1C751A" w:rsidRPr="001C751A" w:rsidRDefault="00B36577" w:rsidP="001C751A">
      <w:pPr>
        <w:autoSpaceDE w:val="0"/>
        <w:autoSpaceDN w:val="0"/>
        <w:adjustRightInd w:val="0"/>
        <w:rPr>
          <w:rFonts w:eastAsia="HelenPro-Regular"/>
        </w:rPr>
      </w:pPr>
      <w:r w:rsidRPr="00100BF8">
        <w:rPr>
          <w:b/>
        </w:rPr>
        <w:t>Calibrator:</w:t>
      </w:r>
      <w:r w:rsidRPr="00100BF8">
        <w:t xml:space="preserve">  </w:t>
      </w:r>
      <w:r w:rsidR="00B30389" w:rsidRPr="00B30389">
        <w:rPr>
          <w:rFonts w:eastAsia="HelenPro-Regular"/>
        </w:rPr>
        <w:t>7K62-01 ARCHITECT TSH Calibrators</w:t>
      </w:r>
    </w:p>
    <w:p w:rsidR="004E3937" w:rsidRDefault="004E3937" w:rsidP="001C751A">
      <w:pPr>
        <w:spacing w:after="43"/>
        <w:rPr>
          <w:b/>
        </w:rPr>
      </w:pPr>
    </w:p>
    <w:p w:rsidR="0025031C" w:rsidRPr="00162EEA" w:rsidRDefault="00B36577" w:rsidP="001C751A">
      <w:pPr>
        <w:spacing w:after="43"/>
      </w:pPr>
      <w:r w:rsidRPr="00AA7423">
        <w:rPr>
          <w:b/>
        </w:rPr>
        <w:t>Quality Control:</w:t>
      </w:r>
      <w:r w:rsidR="00CA11D0" w:rsidRPr="00AA7423">
        <w:t xml:space="preserve">  </w:t>
      </w:r>
      <w:r w:rsidR="00B30389">
        <w:rPr>
          <w:rFonts w:eastAsia="HelenPro-Regular"/>
        </w:rPr>
        <w:t>7K62-</w:t>
      </w:r>
      <w:r w:rsidR="00B30389" w:rsidRPr="00B30389">
        <w:rPr>
          <w:rFonts w:eastAsia="HelenPro-Regular"/>
        </w:rPr>
        <w:t>1</w:t>
      </w:r>
      <w:r w:rsidR="00B30389">
        <w:rPr>
          <w:rFonts w:eastAsia="HelenPro-Regular"/>
        </w:rPr>
        <w:t>0</w:t>
      </w:r>
      <w:r w:rsidR="00B30389" w:rsidRPr="00B30389">
        <w:rPr>
          <w:rFonts w:eastAsia="HelenPro-Regular"/>
        </w:rPr>
        <w:t xml:space="preserve"> ARCHITECT TSH </w:t>
      </w:r>
      <w:r w:rsidR="00B30389">
        <w:rPr>
          <w:rFonts w:eastAsia="HelenPro-Regular"/>
        </w:rPr>
        <w:t>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F411FB" w:rsidRDefault="00B30389" w:rsidP="004F5F8A">
      <w:pPr>
        <w:ind w:firstLine="720"/>
        <w:rPr>
          <w:b/>
        </w:rPr>
      </w:pPr>
      <w:r w:rsidRPr="00B30389">
        <w:rPr>
          <w:rFonts w:eastAsia="HelenPro-Regular"/>
        </w:rPr>
        <w:t>7K62-01 ARCHITECT TSH Calibrators</w:t>
      </w:r>
    </w:p>
    <w:p w:rsidR="00B30389" w:rsidRDefault="00B30389" w:rsidP="004F5F8A">
      <w:pPr>
        <w:ind w:firstLine="720"/>
        <w:rPr>
          <w:b/>
        </w:rPr>
      </w:pPr>
    </w:p>
    <w:p w:rsidR="0025031C" w:rsidRPr="0025031C" w:rsidRDefault="0025031C" w:rsidP="004F5F8A">
      <w:pPr>
        <w:ind w:firstLine="720"/>
        <w:rPr>
          <w:b/>
        </w:rPr>
      </w:pPr>
      <w:r w:rsidRPr="0025031C">
        <w:rPr>
          <w:b/>
        </w:rPr>
        <w:t>Reagents:</w:t>
      </w:r>
    </w:p>
    <w:p w:rsidR="006706BD" w:rsidRPr="00E27850" w:rsidRDefault="00E27850" w:rsidP="00E27850">
      <w:pPr>
        <w:autoSpaceDE w:val="0"/>
        <w:autoSpaceDN w:val="0"/>
        <w:adjustRightInd w:val="0"/>
        <w:ind w:left="720"/>
        <w:rPr>
          <w:rFonts w:eastAsia="HelenPro-Regular"/>
        </w:rPr>
      </w:pPr>
      <w:r w:rsidRPr="00E27850">
        <w:rPr>
          <w:rFonts w:eastAsia="HelenPro-Regular"/>
        </w:rPr>
        <w:t>2 Bottles (4 mL each) of ARCHITECT TSH Calibrators. Calibrator 1</w:t>
      </w:r>
      <w:r>
        <w:rPr>
          <w:rFonts w:eastAsia="HelenPro-Regular"/>
        </w:rPr>
        <w:t xml:space="preserve"> </w:t>
      </w:r>
      <w:r w:rsidRPr="00E27850">
        <w:rPr>
          <w:rFonts w:eastAsia="HelenPro-Regular"/>
        </w:rPr>
        <w:t>contains TRIS buffer with protein (bovine) stabilizers; Calibrator 2</w:t>
      </w:r>
      <w:r>
        <w:rPr>
          <w:rFonts w:eastAsia="HelenPro-Regular"/>
        </w:rPr>
        <w:t xml:space="preserve"> </w:t>
      </w:r>
      <w:r w:rsidRPr="00E27850">
        <w:rPr>
          <w:rFonts w:eastAsia="HelenPro-Regular"/>
        </w:rPr>
        <w:t>contains TSH (recombinant) in TRIS buffer with protein (bovine)</w:t>
      </w:r>
      <w:r>
        <w:rPr>
          <w:rFonts w:eastAsia="HelenPro-Regular"/>
        </w:rPr>
        <w:t xml:space="preserve"> </w:t>
      </w:r>
      <w:r w:rsidRPr="00E27850">
        <w:rPr>
          <w:rFonts w:eastAsia="HelenPro-Regular"/>
        </w:rPr>
        <w:t xml:space="preserve">stabilizers. Preservative: sodium </w:t>
      </w:r>
      <w:proofErr w:type="spellStart"/>
      <w:r w:rsidRPr="00E27850">
        <w:rPr>
          <w:rFonts w:eastAsia="HelenPro-Regular"/>
        </w:rPr>
        <w:t>azide</w:t>
      </w:r>
      <w:proofErr w:type="spellEnd"/>
      <w:r w:rsidRPr="00E27850">
        <w:rPr>
          <w:rFonts w:eastAsia="HelenPro-Regular"/>
        </w:rPr>
        <w:t>.</w:t>
      </w:r>
    </w:p>
    <w:p w:rsidR="00E27850" w:rsidRDefault="00E27850" w:rsidP="00F3700B">
      <w:pPr>
        <w:ind w:left="720"/>
        <w:rPr>
          <w:b/>
        </w:rPr>
      </w:pPr>
    </w:p>
    <w:p w:rsidR="00F3700B" w:rsidRPr="00654386" w:rsidRDefault="0037463A" w:rsidP="00F3700B">
      <w:pPr>
        <w:ind w:left="720"/>
        <w:rPr>
          <w:b/>
        </w:rPr>
      </w:pPr>
      <w:r w:rsidRPr="00654386">
        <w:rPr>
          <w:b/>
        </w:rPr>
        <w:t xml:space="preserve">Calibrator Preparation: </w:t>
      </w:r>
    </w:p>
    <w:p w:rsidR="00E234B4" w:rsidRPr="00654386" w:rsidRDefault="0044368A" w:rsidP="00654386">
      <w:pPr>
        <w:autoSpaceDE w:val="0"/>
        <w:autoSpaceDN w:val="0"/>
        <w:adjustRightInd w:val="0"/>
        <w:ind w:left="720"/>
        <w:rPr>
          <w:rFonts w:eastAsia="HelenPro-Regular"/>
        </w:rPr>
      </w:pPr>
      <w:r>
        <w:rPr>
          <w:rFonts w:eastAsia="HelenPro-Regular"/>
        </w:rPr>
        <w:t>Ready to use.</w:t>
      </w:r>
    </w:p>
    <w:p w:rsidR="005A7374" w:rsidRPr="00DD06E2" w:rsidRDefault="005A7374"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B30389" w:rsidRPr="00B30389" w:rsidRDefault="00B30389" w:rsidP="00B30389">
      <w:pPr>
        <w:autoSpaceDE w:val="0"/>
        <w:autoSpaceDN w:val="0"/>
        <w:adjustRightInd w:val="0"/>
        <w:ind w:left="720"/>
        <w:rPr>
          <w:rFonts w:eastAsia="HelenPro-Regular"/>
        </w:rPr>
      </w:pPr>
      <w:r w:rsidRPr="00B30389">
        <w:rPr>
          <w:rFonts w:eastAsia="HelenPro-Regular"/>
        </w:rPr>
        <w:t>To perform an ARCHITECT TSH calibr</w:t>
      </w:r>
      <w:r>
        <w:rPr>
          <w:rFonts w:eastAsia="HelenPro-Regular"/>
        </w:rPr>
        <w:t xml:space="preserve">ation, test Calibrators 1 and 2 </w:t>
      </w:r>
      <w:r w:rsidRPr="00B30389">
        <w:rPr>
          <w:rFonts w:eastAsia="HelenPro-Regular"/>
        </w:rPr>
        <w:t>in duplicate. A single sample of all levels of TSH controls must be</w:t>
      </w:r>
      <w:r>
        <w:rPr>
          <w:rFonts w:eastAsia="HelenPro-Regular"/>
        </w:rPr>
        <w:t xml:space="preserve"> </w:t>
      </w:r>
      <w:r w:rsidRPr="00B30389">
        <w:rPr>
          <w:rFonts w:eastAsia="HelenPro-Regular"/>
        </w:rPr>
        <w:t>tested to evaluate the assay calibration. Ensure that assay control</w:t>
      </w:r>
      <w:r>
        <w:rPr>
          <w:rFonts w:eastAsia="HelenPro-Regular"/>
        </w:rPr>
        <w:t xml:space="preserve"> </w:t>
      </w:r>
      <w:r w:rsidRPr="00B30389">
        <w:rPr>
          <w:rFonts w:eastAsia="HelenPro-Regular"/>
        </w:rPr>
        <w:t>values are within the concentration ranges specified in the package</w:t>
      </w:r>
      <w:r>
        <w:rPr>
          <w:rFonts w:eastAsia="HelenPro-Regular"/>
        </w:rPr>
        <w:t xml:space="preserve"> </w:t>
      </w:r>
      <w:r w:rsidRPr="00B30389">
        <w:rPr>
          <w:rFonts w:eastAsia="HelenPro-Regular"/>
        </w:rPr>
        <w:t>insert. Calibrators should be priority loaded.</w:t>
      </w:r>
    </w:p>
    <w:p w:rsidR="00464ABD" w:rsidRPr="00B30389" w:rsidRDefault="00B30389" w:rsidP="00B30389">
      <w:pPr>
        <w:ind w:left="2160"/>
        <w:rPr>
          <w:b/>
          <w:bCs/>
        </w:rPr>
      </w:pPr>
      <w:r w:rsidRPr="00B30389">
        <w:rPr>
          <w:rFonts w:eastAsia="HelenPro-Bold"/>
          <w:b/>
          <w:bCs/>
        </w:rPr>
        <w:t xml:space="preserve">• </w:t>
      </w:r>
      <w:r w:rsidRPr="00B30389">
        <w:rPr>
          <w:rFonts w:eastAsia="HelenPro-Regular"/>
        </w:rPr>
        <w:t xml:space="preserve">Calibrator Range: 0.0000 - 100.0000 </w:t>
      </w:r>
      <w:proofErr w:type="spellStart"/>
      <w:r w:rsidRPr="00B30389">
        <w:rPr>
          <w:rFonts w:eastAsia="HelenPro-Regular"/>
        </w:rPr>
        <w:t>μIU</w:t>
      </w:r>
      <w:proofErr w:type="spellEnd"/>
      <w:r w:rsidRPr="00B30389">
        <w:rPr>
          <w:rFonts w:eastAsia="HelenPro-Regular"/>
        </w:rPr>
        <w:t>/</w:t>
      </w:r>
      <w:proofErr w:type="spellStart"/>
      <w:r w:rsidRPr="00B30389">
        <w:rPr>
          <w:rFonts w:eastAsia="HelenPro-Regular"/>
        </w:rPr>
        <w:t>mL.</w:t>
      </w:r>
      <w:proofErr w:type="spellEnd"/>
    </w:p>
    <w:p w:rsidR="00AE6139" w:rsidRDefault="00AE613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E66375">
        <w:rPr>
          <w:rFonts w:eastAsia="HelenPro-Regular"/>
        </w:rPr>
        <w:t>TSH</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00184D0E">
        <w:rPr>
          <w:rFonts w:eastAsia="HelenPro-Regular"/>
        </w:rPr>
        <w:t xml:space="preserve">System </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E66375">
        <w:rPr>
          <w:rFonts w:eastAsia="HelenPro-Regular"/>
        </w:rPr>
        <w:t>TSH</w:t>
      </w:r>
      <w:r w:rsidR="000C54F4" w:rsidRPr="003356DF">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1929DD">
        <w:rPr>
          <w:rFonts w:eastAsia="HelenPro-Regular"/>
        </w:rPr>
        <w:t xml:space="preserve">with </w:t>
      </w:r>
      <w:r w:rsidR="001929DD" w:rsidRPr="001929DD">
        <w:rPr>
          <w:rFonts w:eastAsia="HelenPro-Regular"/>
          <w:i/>
        </w:rPr>
        <w:t>STAT</w:t>
      </w:r>
      <w:r w:rsidR="001929DD">
        <w:rPr>
          <w:rFonts w:eastAsia="HelenPro-Regular"/>
        </w:rPr>
        <w:t xml:space="preserve"> protocol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lastRenderedPageBreak/>
        <w:t>For a detailed description of system procedures, refer to the ARCHITECT System Operations Manual.</w:t>
      </w:r>
    </w:p>
    <w:p w:rsidR="00E66375" w:rsidRDefault="00E66375"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drawing>
          <wp:inline distT="0" distB="0" distL="0" distR="0" wp14:anchorId="62E7EBC6" wp14:editId="764CFC4B">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3390900"/>
                    </a:xfrm>
                    <a:prstGeom prst="rect">
                      <a:avLst/>
                    </a:prstGeom>
                  </pic:spPr>
                </pic:pic>
              </a:graphicData>
            </a:graphic>
          </wp:inline>
        </w:drawing>
      </w:r>
    </w:p>
    <w:p w:rsidR="002E528E" w:rsidRDefault="002E528E" w:rsidP="002C7FD5">
      <w:pPr>
        <w:rPr>
          <w:b/>
        </w:rPr>
      </w:pPr>
      <w:r>
        <w:rPr>
          <w:noProof/>
        </w:rPr>
        <w:drawing>
          <wp:inline distT="0" distB="0" distL="0" distR="0" wp14:anchorId="1C7869E5" wp14:editId="52832D90">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Default="002E528E" w:rsidP="002C7FD5">
      <w:pPr>
        <w:rPr>
          <w:b/>
        </w:rPr>
      </w:pPr>
      <w:r>
        <w:rPr>
          <w:noProof/>
        </w:rPr>
        <w:drawing>
          <wp:inline distT="0" distB="0" distL="0" distR="0" wp14:anchorId="7E83E752" wp14:editId="254E3EA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133689" w:rsidRDefault="00B30389" w:rsidP="002C7FD5">
      <w:pPr>
        <w:rPr>
          <w:b/>
        </w:rPr>
      </w:pPr>
      <w:r>
        <w:rPr>
          <w:noProof/>
        </w:rPr>
        <w:lastRenderedPageBreak/>
        <w:drawing>
          <wp:inline distT="0" distB="0" distL="0" distR="0" wp14:anchorId="0C913627" wp14:editId="0D4BBD4A">
            <wp:extent cx="4248150" cy="18954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48150" cy="1895475"/>
                    </a:xfrm>
                    <a:prstGeom prst="rect">
                      <a:avLst/>
                    </a:prstGeom>
                  </pic:spPr>
                </pic:pic>
              </a:graphicData>
            </a:graphic>
          </wp:inline>
        </w:drawing>
      </w:r>
    </w:p>
    <w:p w:rsidR="00B30389" w:rsidRDefault="00B30389" w:rsidP="002C7FD5">
      <w:pPr>
        <w:rPr>
          <w:b/>
        </w:rPr>
      </w:pPr>
      <w:r>
        <w:rPr>
          <w:noProof/>
        </w:rPr>
        <w:drawing>
          <wp:inline distT="0" distB="0" distL="0" distR="0" wp14:anchorId="24739A39" wp14:editId="7B4C3501">
            <wp:extent cx="4238625" cy="40481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38625" cy="4048125"/>
                    </a:xfrm>
                    <a:prstGeom prst="rect">
                      <a:avLst/>
                    </a:prstGeom>
                  </pic:spPr>
                </pic:pic>
              </a:graphicData>
            </a:graphic>
          </wp:inline>
        </w:drawing>
      </w:r>
    </w:p>
    <w:p w:rsidR="003356DF" w:rsidRDefault="002E528E" w:rsidP="002C7FD5">
      <w:pPr>
        <w:rPr>
          <w:b/>
        </w:rPr>
      </w:pPr>
      <w:r>
        <w:rPr>
          <w:noProof/>
        </w:rPr>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Default="00F91971" w:rsidP="002C7FD5">
      <w:pPr>
        <w:rPr>
          <w:b/>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274DFC" w:rsidRPr="00B30389" w:rsidRDefault="00B30389" w:rsidP="00B30389">
      <w:pPr>
        <w:autoSpaceDE w:val="0"/>
        <w:autoSpaceDN w:val="0"/>
        <w:adjustRightInd w:val="0"/>
        <w:rPr>
          <w:rFonts w:eastAsia="HelenPro-Regular"/>
        </w:rPr>
      </w:pPr>
      <w:r w:rsidRPr="00B30389">
        <w:rPr>
          <w:rFonts w:eastAsia="HelenPro-Regular"/>
        </w:rPr>
        <w:t xml:space="preserve">The default result unit for the ARCHITECT TSH assay is </w:t>
      </w:r>
      <w:proofErr w:type="spellStart"/>
      <w:r w:rsidRPr="00B30389">
        <w:rPr>
          <w:rFonts w:eastAsia="HelenPro-Regular"/>
        </w:rPr>
        <w:t>μIU</w:t>
      </w:r>
      <w:proofErr w:type="spellEnd"/>
      <w:r w:rsidRPr="00B30389">
        <w:rPr>
          <w:rFonts w:eastAsia="HelenPro-Regular"/>
        </w:rPr>
        <w:t xml:space="preserve">/ </w:t>
      </w:r>
      <w:proofErr w:type="spellStart"/>
      <w:r w:rsidRPr="00B30389">
        <w:rPr>
          <w:rFonts w:eastAsia="HelenPro-Regular"/>
        </w:rPr>
        <w:t>mL.</w:t>
      </w:r>
      <w:proofErr w:type="spellEnd"/>
      <w:r w:rsidRPr="00B30389">
        <w:rPr>
          <w:rFonts w:eastAsia="HelenPro-Regular"/>
        </w:rPr>
        <w:t xml:space="preserve"> An</w:t>
      </w:r>
      <w:r>
        <w:rPr>
          <w:rFonts w:eastAsia="HelenPro-Regular"/>
        </w:rPr>
        <w:t xml:space="preserve"> </w:t>
      </w:r>
      <w:r w:rsidRPr="00B30389">
        <w:rPr>
          <w:rFonts w:eastAsia="HelenPro-Regular"/>
        </w:rPr>
        <w:t xml:space="preserve">alternate result unit, </w:t>
      </w:r>
      <w:proofErr w:type="spellStart"/>
      <w:r w:rsidRPr="00B30389">
        <w:rPr>
          <w:rFonts w:eastAsia="HelenPro-Regular"/>
        </w:rPr>
        <w:t>mIU</w:t>
      </w:r>
      <w:proofErr w:type="spellEnd"/>
      <w:r w:rsidRPr="00B30389">
        <w:rPr>
          <w:rFonts w:eastAsia="HelenPro-Regular"/>
        </w:rPr>
        <w:t>/L, may be selected for reporting results by</w:t>
      </w:r>
      <w:r>
        <w:rPr>
          <w:rFonts w:eastAsia="HelenPro-Regular"/>
        </w:rPr>
        <w:t xml:space="preserve"> </w:t>
      </w:r>
      <w:r w:rsidRPr="00B30389">
        <w:rPr>
          <w:rFonts w:eastAsia="HelenPro-Regular"/>
        </w:rPr>
        <w:t xml:space="preserve">editing assay parameter “Result concentration units”, to </w:t>
      </w:r>
      <w:proofErr w:type="spellStart"/>
      <w:r w:rsidRPr="00B30389">
        <w:rPr>
          <w:rFonts w:eastAsia="HelenPro-Regular"/>
        </w:rPr>
        <w:t>mIU</w:t>
      </w:r>
      <w:proofErr w:type="spellEnd"/>
      <w:r w:rsidRPr="00B30389">
        <w:rPr>
          <w:rFonts w:eastAsia="HelenPro-Regular"/>
        </w:rPr>
        <w:t>/L. The</w:t>
      </w:r>
      <w:r>
        <w:rPr>
          <w:rFonts w:eastAsia="HelenPro-Regular"/>
        </w:rPr>
        <w:t xml:space="preserve"> </w:t>
      </w:r>
      <w:r w:rsidRPr="00B30389">
        <w:rPr>
          <w:rFonts w:eastAsia="HelenPro-Regular"/>
        </w:rPr>
        <w:t>conversion factor used by the system is 1.</w:t>
      </w:r>
    </w:p>
    <w:p w:rsidR="00B30389" w:rsidRDefault="00B30389"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lastRenderedPageBreak/>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274DFC" w:rsidRDefault="00274DFC" w:rsidP="00274DFC">
      <w:pPr>
        <w:autoSpaceDE w:val="0"/>
        <w:autoSpaceDN w:val="0"/>
        <w:adjustRightInd w:val="0"/>
        <w:rPr>
          <w:rFonts w:eastAsia="HelenPro-Bold"/>
          <w:b/>
          <w:bCs/>
        </w:rPr>
      </w:pPr>
    </w:p>
    <w:p w:rsidR="00912FE4" w:rsidRPr="00912FE4" w:rsidRDefault="00912FE4" w:rsidP="00AB793D">
      <w:pPr>
        <w:rPr>
          <w:rFonts w:ascii="Arial" w:hAnsi="Arial" w:cs="Arial"/>
          <w:b/>
          <w:bCs/>
          <w:sz w:val="28"/>
          <w:szCs w:val="28"/>
        </w:rPr>
      </w:pPr>
      <w:r w:rsidRPr="00912FE4">
        <w:rPr>
          <w:rFonts w:ascii="Arial" w:hAnsi="Arial" w:cs="Arial"/>
          <w:b/>
          <w:bCs/>
          <w:sz w:val="28"/>
          <w:szCs w:val="28"/>
        </w:rPr>
        <w:t>Specific Performance Characteristics</w:t>
      </w:r>
      <w:r w:rsidR="00D60AFA">
        <w:rPr>
          <w:rFonts w:ascii="Arial" w:hAnsi="Arial" w:cs="Arial"/>
          <w:b/>
          <w:bCs/>
          <w:sz w:val="28"/>
          <w:szCs w:val="28"/>
        </w:rPr>
        <w:t xml:space="preserve"> </w:t>
      </w:r>
    </w:p>
    <w:p w:rsidR="00CE2DC7" w:rsidRDefault="002648A6" w:rsidP="00AB793D">
      <w:pPr>
        <w:rPr>
          <w:rFonts w:ascii="Arial" w:hAnsi="Arial" w:cs="Arial"/>
          <w:b/>
          <w:bCs/>
        </w:rPr>
      </w:pPr>
      <w:r>
        <w:rPr>
          <w:rFonts w:ascii="Arial" w:hAnsi="Arial" w:cs="Arial"/>
          <w:b/>
          <w:bCs/>
        </w:rPr>
        <w:t>Expected Values</w:t>
      </w:r>
      <w:r w:rsidR="00D60AFA">
        <w:rPr>
          <w:rFonts w:ascii="Arial" w:hAnsi="Arial" w:cs="Arial"/>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274DFC" w:rsidRDefault="00274DFC" w:rsidP="00AB793D">
      <w:pPr>
        <w:rPr>
          <w:rFonts w:ascii="Arial" w:hAnsi="Arial" w:cs="Arial"/>
          <w:b/>
          <w:bCs/>
        </w:rPr>
      </w:pPr>
    </w:p>
    <w:p w:rsidR="0055619E" w:rsidRPr="00884DD4" w:rsidRDefault="00884DD4" w:rsidP="00AB793D">
      <w:pPr>
        <w:rPr>
          <w:bCs/>
        </w:rPr>
      </w:pPr>
      <w:r>
        <w:rPr>
          <w:b/>
          <w:bCs/>
        </w:rPr>
        <w:t xml:space="preserve">Serum/Plasma: </w:t>
      </w:r>
      <w:r>
        <w:rPr>
          <w:bCs/>
        </w:rPr>
        <w:t xml:space="preserve">0.35 – 4.94 </w:t>
      </w:r>
      <w:proofErr w:type="spellStart"/>
      <w:r w:rsidRPr="00E27850">
        <w:rPr>
          <w:rFonts w:eastAsia="HelenPro-Regular"/>
        </w:rPr>
        <w:t>μlU</w:t>
      </w:r>
      <w:proofErr w:type="spellEnd"/>
      <w:r w:rsidRPr="00E27850">
        <w:rPr>
          <w:rFonts w:eastAsia="HelenPro-Regular"/>
        </w:rPr>
        <w:t>/mL</w:t>
      </w:r>
    </w:p>
    <w:p w:rsidR="00D64E39" w:rsidRPr="00835A84" w:rsidRDefault="00D64E39" w:rsidP="00AB793D">
      <w:pPr>
        <w:rPr>
          <w:bCs/>
        </w:rPr>
      </w:pPr>
    </w:p>
    <w:p w:rsidR="00B63E8F" w:rsidRPr="00884DD4" w:rsidRDefault="00B63E8F" w:rsidP="00623EFB">
      <w:pPr>
        <w:ind w:right="720"/>
        <w:jc w:val="both"/>
      </w:pPr>
      <w:r w:rsidRPr="00835A84">
        <w:rPr>
          <w:b/>
        </w:rPr>
        <w:t>Critical Values</w:t>
      </w:r>
      <w:r w:rsidR="00884DD4">
        <w:rPr>
          <w:b/>
        </w:rPr>
        <w:t xml:space="preserve">: </w:t>
      </w:r>
      <w:r w:rsidR="00884DD4">
        <w:t xml:space="preserve">&gt;40 </w:t>
      </w:r>
      <w:proofErr w:type="spellStart"/>
      <w:r w:rsidR="00884DD4" w:rsidRPr="00E27850">
        <w:rPr>
          <w:rFonts w:eastAsia="HelenPro-Regular"/>
        </w:rPr>
        <w:t>μlU</w:t>
      </w:r>
      <w:proofErr w:type="spellEnd"/>
      <w:r w:rsidR="00884DD4" w:rsidRPr="00E27850">
        <w:rPr>
          <w:rFonts w:eastAsia="HelenPro-Regular"/>
        </w:rPr>
        <w:t>/mL</w:t>
      </w:r>
    </w:p>
    <w:p w:rsidR="00705494" w:rsidRDefault="00705494" w:rsidP="00AB793D">
      <w:pPr>
        <w:rPr>
          <w:b/>
          <w:sz w:val="28"/>
          <w:szCs w:val="28"/>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126B1C" w:rsidRDefault="00126B1C" w:rsidP="002648A6">
      <w:pPr>
        <w:autoSpaceDE w:val="0"/>
        <w:autoSpaceDN w:val="0"/>
        <w:adjustRightInd w:val="0"/>
        <w:rPr>
          <w:rFonts w:eastAsia="HelenPro-Regular"/>
          <w:b/>
        </w:rPr>
      </w:pPr>
    </w:p>
    <w:p w:rsidR="009B11DE" w:rsidRDefault="009B11DE" w:rsidP="0060398E">
      <w:pPr>
        <w:autoSpaceDE w:val="0"/>
        <w:autoSpaceDN w:val="0"/>
        <w:adjustRightInd w:val="0"/>
        <w:rPr>
          <w:rFonts w:eastAsia="HelenPro-Bold"/>
          <w:b/>
          <w:bCs/>
        </w:rPr>
      </w:pPr>
      <w:r>
        <w:rPr>
          <w:rFonts w:eastAsia="HelenPro-Bold"/>
          <w:b/>
          <w:bCs/>
        </w:rPr>
        <w:t>Sensitivity</w:t>
      </w:r>
    </w:p>
    <w:p w:rsidR="009B11DE" w:rsidRPr="00E27850" w:rsidRDefault="00E27850" w:rsidP="00E27850">
      <w:pPr>
        <w:autoSpaceDE w:val="0"/>
        <w:autoSpaceDN w:val="0"/>
        <w:adjustRightInd w:val="0"/>
        <w:rPr>
          <w:rFonts w:eastAsia="HelenPro-Regular"/>
        </w:rPr>
      </w:pPr>
      <w:r>
        <w:rPr>
          <w:rFonts w:eastAsia="HelenPro-Regular"/>
        </w:rPr>
        <w:t xml:space="preserve">The ARCHITECT TSH assay is </w:t>
      </w:r>
      <w:r w:rsidRPr="00E27850">
        <w:rPr>
          <w:rFonts w:eastAsia="HelenPro-Regular"/>
        </w:rPr>
        <w:t xml:space="preserve">designed to have a functional sensitivity of ≤ 0.01 </w:t>
      </w:r>
      <w:proofErr w:type="spellStart"/>
      <w:r w:rsidRPr="00E27850">
        <w:rPr>
          <w:rFonts w:eastAsia="HelenPro-Regular"/>
        </w:rPr>
        <w:t>μlU</w:t>
      </w:r>
      <w:proofErr w:type="spellEnd"/>
      <w:r w:rsidRPr="00E27850">
        <w:rPr>
          <w:rFonts w:eastAsia="HelenPro-Regular"/>
        </w:rPr>
        <w:t>/mL, which meets</w:t>
      </w:r>
      <w:r>
        <w:rPr>
          <w:rFonts w:eastAsia="HelenPro-Regular"/>
        </w:rPr>
        <w:t xml:space="preserve"> </w:t>
      </w:r>
      <w:r w:rsidRPr="00E27850">
        <w:rPr>
          <w:rFonts w:eastAsia="HelenPro-Regular"/>
        </w:rPr>
        <w:t>the requirements of a third generation TSH assay.</w:t>
      </w:r>
    </w:p>
    <w:p w:rsidR="00E27850" w:rsidRPr="00E27850" w:rsidRDefault="00E27850" w:rsidP="00E27850">
      <w:pPr>
        <w:autoSpaceDE w:val="0"/>
        <w:autoSpaceDN w:val="0"/>
        <w:adjustRightInd w:val="0"/>
        <w:rPr>
          <w:rFonts w:eastAsia="HelenPro-Regular"/>
        </w:rPr>
      </w:pPr>
      <w:r w:rsidRPr="00E27850">
        <w:rPr>
          <w:rFonts w:eastAsia="HelenPro-Regular"/>
        </w:rPr>
        <w:t>The ARCHITECT TSH assay is designed to have an ana</w:t>
      </w:r>
      <w:r>
        <w:rPr>
          <w:rFonts w:eastAsia="HelenPro-Regular"/>
        </w:rPr>
        <w:t xml:space="preserve">lytical sensitivity </w:t>
      </w:r>
      <w:r w:rsidRPr="00E27850">
        <w:rPr>
          <w:rFonts w:eastAsia="HelenPro-Regular"/>
        </w:rPr>
        <w:t xml:space="preserve">of ≤ 0.0025 </w:t>
      </w:r>
      <w:proofErr w:type="spellStart"/>
      <w:r w:rsidRPr="00E27850">
        <w:rPr>
          <w:rFonts w:eastAsia="HelenPro-Regular"/>
        </w:rPr>
        <w:t>μIU</w:t>
      </w:r>
      <w:proofErr w:type="spellEnd"/>
      <w:r w:rsidRPr="00E27850">
        <w:rPr>
          <w:rFonts w:eastAsia="HelenPro-Regular"/>
        </w:rPr>
        <w:t>/</w:t>
      </w:r>
      <w:proofErr w:type="spellStart"/>
      <w:r w:rsidRPr="00E27850">
        <w:rPr>
          <w:rFonts w:eastAsia="HelenPro-Regular"/>
        </w:rPr>
        <w:t>mL.</w:t>
      </w:r>
      <w:proofErr w:type="spellEnd"/>
    </w:p>
    <w:p w:rsidR="00E27850" w:rsidRDefault="00E27850" w:rsidP="0060398E">
      <w:pPr>
        <w:autoSpaceDE w:val="0"/>
        <w:autoSpaceDN w:val="0"/>
        <w:adjustRightInd w:val="0"/>
        <w:rPr>
          <w:rFonts w:eastAsia="HelenPro-Regular"/>
          <w:b/>
        </w:rPr>
      </w:pPr>
    </w:p>
    <w:p w:rsidR="009B11DE" w:rsidRPr="009B11DE" w:rsidRDefault="009B11DE" w:rsidP="0060398E">
      <w:pPr>
        <w:autoSpaceDE w:val="0"/>
        <w:autoSpaceDN w:val="0"/>
        <w:adjustRightInd w:val="0"/>
        <w:rPr>
          <w:rFonts w:eastAsia="HelenPro-Regular"/>
          <w:b/>
        </w:rPr>
      </w:pPr>
      <w:r w:rsidRPr="009B11DE">
        <w:rPr>
          <w:rFonts w:eastAsia="HelenPro-Regular"/>
          <w:b/>
        </w:rPr>
        <w:t>Linearity</w:t>
      </w:r>
    </w:p>
    <w:p w:rsidR="009B11DE" w:rsidRPr="00E76310" w:rsidRDefault="00E76310" w:rsidP="00E76310">
      <w:pPr>
        <w:autoSpaceDE w:val="0"/>
        <w:autoSpaceDN w:val="0"/>
        <w:adjustRightInd w:val="0"/>
        <w:rPr>
          <w:rFonts w:eastAsia="HelenPro-Regular"/>
        </w:rPr>
      </w:pPr>
      <w:r>
        <w:rPr>
          <w:rFonts w:eastAsia="HelenPro-Regular"/>
        </w:rPr>
        <w:t>T</w:t>
      </w:r>
      <w:r w:rsidRPr="00E76310">
        <w:rPr>
          <w:rFonts w:eastAsia="HelenPro-Regular"/>
        </w:rPr>
        <w:t xml:space="preserve">he </w:t>
      </w:r>
      <w:r>
        <w:rPr>
          <w:rFonts w:eastAsia="HelenPro-Regular"/>
        </w:rPr>
        <w:t xml:space="preserve">assay is linear from </w:t>
      </w:r>
      <w:r w:rsidR="00E27850">
        <w:rPr>
          <w:rFonts w:eastAsia="HelenPro-Regular"/>
        </w:rPr>
        <w:t xml:space="preserve">0.0025 to 100 </w:t>
      </w:r>
      <w:proofErr w:type="spellStart"/>
      <w:r w:rsidR="001929DD" w:rsidRPr="00E27850">
        <w:rPr>
          <w:rFonts w:eastAsia="HelenPro-Regular"/>
        </w:rPr>
        <w:t>μIU</w:t>
      </w:r>
      <w:proofErr w:type="spellEnd"/>
      <w:r w:rsidR="001929DD" w:rsidRPr="00E27850">
        <w:rPr>
          <w:rFonts w:eastAsia="HelenPro-Regular"/>
        </w:rPr>
        <w:t>/mL</w:t>
      </w:r>
    </w:p>
    <w:p w:rsidR="00705494" w:rsidRDefault="00705494" w:rsidP="002C2F49">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B30389" w:rsidRPr="00B30389" w:rsidRDefault="00B30389" w:rsidP="00B30389">
      <w:pPr>
        <w:autoSpaceDE w:val="0"/>
        <w:autoSpaceDN w:val="0"/>
        <w:adjustRightInd w:val="0"/>
        <w:rPr>
          <w:rFonts w:eastAsia="HelenPro-Regular"/>
        </w:rPr>
      </w:pPr>
      <w:r w:rsidRPr="00B30389">
        <w:rPr>
          <w:rFonts w:eastAsia="HelenPro-Regular"/>
        </w:rPr>
        <w:t xml:space="preserve">Specimens with a TSH value exceeding 100.0000 </w:t>
      </w:r>
      <w:proofErr w:type="spellStart"/>
      <w:r w:rsidRPr="00B30389">
        <w:rPr>
          <w:rFonts w:eastAsia="HelenPro-Regular"/>
        </w:rPr>
        <w:t>μ</w:t>
      </w:r>
      <w:r>
        <w:rPr>
          <w:rFonts w:eastAsia="HelenPro-Regular"/>
        </w:rPr>
        <w:t>IU</w:t>
      </w:r>
      <w:proofErr w:type="spellEnd"/>
      <w:r>
        <w:rPr>
          <w:rFonts w:eastAsia="HelenPro-Regular"/>
        </w:rPr>
        <w:t xml:space="preserve">/mL, are flagged </w:t>
      </w:r>
      <w:r w:rsidRPr="00B30389">
        <w:rPr>
          <w:rFonts w:eastAsia="HelenPro-Regular"/>
        </w:rPr>
        <w:t>with the code “&gt;100.0000” and may be diluted with either the Automated</w:t>
      </w:r>
      <w:r>
        <w:rPr>
          <w:rFonts w:eastAsia="HelenPro-Regular"/>
        </w:rPr>
        <w:t xml:space="preserve"> </w:t>
      </w:r>
      <w:r w:rsidRPr="00B30389">
        <w:rPr>
          <w:rFonts w:eastAsia="HelenPro-Regular"/>
        </w:rPr>
        <w:t>Dilution Protocol or the Manual Dilution Procedure.</w:t>
      </w:r>
    </w:p>
    <w:p w:rsidR="00B30389"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If using the Automated Dilutio</w:t>
      </w:r>
      <w:r>
        <w:rPr>
          <w:rFonts w:eastAsia="HelenPro-Regular"/>
        </w:rPr>
        <w:t xml:space="preserve">n Protocol, the system performs </w:t>
      </w:r>
      <w:r w:rsidRPr="00B30389">
        <w:rPr>
          <w:rFonts w:eastAsia="HelenPro-Regular"/>
        </w:rPr>
        <w:t>a 1:5 dilution of the specimen and automatically calculates the</w:t>
      </w:r>
      <w:r>
        <w:rPr>
          <w:rFonts w:eastAsia="HelenPro-Regular"/>
        </w:rPr>
        <w:t xml:space="preserve"> </w:t>
      </w:r>
      <w:r w:rsidRPr="00B30389">
        <w:rPr>
          <w:rFonts w:eastAsia="HelenPro-Regular"/>
        </w:rPr>
        <w:t>concentration of the diluted specimen and reports the result.</w:t>
      </w:r>
    </w:p>
    <w:p w:rsidR="00B30389"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Manual dilutions should be performed as follows:</w:t>
      </w:r>
    </w:p>
    <w:p w:rsidR="00B30389"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The suggested dilution for</w:t>
      </w:r>
      <w:r>
        <w:rPr>
          <w:rFonts w:eastAsia="HelenPro-Regular"/>
        </w:rPr>
        <w:t xml:space="preserve"> TSH is 1:10. It is recommended </w:t>
      </w:r>
      <w:r w:rsidRPr="00B30389">
        <w:rPr>
          <w:rFonts w:eastAsia="HelenPro-Regular"/>
        </w:rPr>
        <w:t>dilutions not exceed 1:10.</w:t>
      </w:r>
    </w:p>
    <w:p w:rsidR="00B30389"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 xml:space="preserve">For example, to perform a 1:10 dilution, add 30 </w:t>
      </w:r>
      <w:proofErr w:type="spellStart"/>
      <w:r w:rsidRPr="00B30389">
        <w:rPr>
          <w:rFonts w:eastAsia="HelenPro-Regular"/>
        </w:rPr>
        <w:t>μL</w:t>
      </w:r>
      <w:proofErr w:type="spellEnd"/>
      <w:r w:rsidRPr="00B30389">
        <w:rPr>
          <w:rFonts w:eastAsia="HelenPro-Regular"/>
        </w:rPr>
        <w:t xml:space="preserve"> of the patient</w:t>
      </w:r>
      <w:r>
        <w:rPr>
          <w:rFonts w:eastAsia="HelenPro-Regular"/>
        </w:rPr>
        <w:t xml:space="preserve"> </w:t>
      </w:r>
      <w:r w:rsidRPr="00B30389">
        <w:rPr>
          <w:rFonts w:eastAsia="HelenPro-Regular"/>
        </w:rPr>
        <w:t xml:space="preserve">specimen to 270 </w:t>
      </w:r>
      <w:proofErr w:type="spellStart"/>
      <w:r w:rsidRPr="00B30389">
        <w:rPr>
          <w:rFonts w:eastAsia="HelenPro-Regular"/>
        </w:rPr>
        <w:t>μL</w:t>
      </w:r>
      <w:proofErr w:type="spellEnd"/>
      <w:r w:rsidRPr="00B30389">
        <w:rPr>
          <w:rFonts w:eastAsia="HelenPro-Regular"/>
        </w:rPr>
        <w:t xml:space="preserve"> of ARCHITECT </w:t>
      </w:r>
      <w:proofErr w:type="spellStart"/>
      <w:r w:rsidRPr="00B30389">
        <w:rPr>
          <w:rFonts w:eastAsia="HelenPro-Regular"/>
          <w:i/>
          <w:iCs/>
        </w:rPr>
        <w:t>i</w:t>
      </w:r>
      <w:proofErr w:type="spellEnd"/>
      <w:r w:rsidRPr="00B30389">
        <w:rPr>
          <w:rFonts w:eastAsia="HelenPro-Regular"/>
          <w:i/>
          <w:iCs/>
        </w:rPr>
        <w:t xml:space="preserve"> </w:t>
      </w:r>
      <w:r w:rsidRPr="00B30389">
        <w:rPr>
          <w:rFonts w:eastAsia="HelenPro-Regular"/>
        </w:rPr>
        <w:t>Multi-Assay Manual Diluent</w:t>
      </w:r>
      <w:r>
        <w:rPr>
          <w:rFonts w:eastAsia="HelenPro-Regular"/>
        </w:rPr>
        <w:t xml:space="preserve"> </w:t>
      </w:r>
      <w:r w:rsidRPr="00B30389">
        <w:rPr>
          <w:rFonts w:eastAsia="HelenPro-Regular"/>
        </w:rPr>
        <w:t>(7D82-50).</w:t>
      </w:r>
    </w:p>
    <w:p w:rsidR="00B30389"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The operator must enter the di</w:t>
      </w:r>
      <w:r>
        <w:rPr>
          <w:rFonts w:eastAsia="HelenPro-Regular"/>
        </w:rPr>
        <w:t xml:space="preserve">lution factor in the patient or </w:t>
      </w:r>
      <w:r w:rsidRPr="00B30389">
        <w:rPr>
          <w:rFonts w:eastAsia="HelenPro-Regular"/>
        </w:rPr>
        <w:t>control order screen. The system will use this dilution factor to</w:t>
      </w:r>
      <w:r>
        <w:rPr>
          <w:rFonts w:eastAsia="HelenPro-Regular"/>
        </w:rPr>
        <w:t xml:space="preserve"> </w:t>
      </w:r>
      <w:r w:rsidRPr="00B30389">
        <w:rPr>
          <w:rFonts w:eastAsia="HelenPro-Regular"/>
        </w:rPr>
        <w:t>automatically calculate the concentration of the sample before</w:t>
      </w:r>
      <w:r>
        <w:rPr>
          <w:rFonts w:eastAsia="HelenPro-Regular"/>
        </w:rPr>
        <w:t xml:space="preserve"> </w:t>
      </w:r>
      <w:r w:rsidRPr="00B30389">
        <w:rPr>
          <w:rFonts w:eastAsia="HelenPro-Regular"/>
        </w:rPr>
        <w:t>dilution. This will be the reported result. The result (before dilution</w:t>
      </w:r>
      <w:r>
        <w:rPr>
          <w:rFonts w:eastAsia="HelenPro-Regular"/>
        </w:rPr>
        <w:t xml:space="preserve"> </w:t>
      </w:r>
      <w:r w:rsidRPr="00B30389">
        <w:rPr>
          <w:rFonts w:eastAsia="HelenPro-Regular"/>
        </w:rPr>
        <w:t xml:space="preserve">factor is applied) should be greater than 0.0100 </w:t>
      </w:r>
      <w:proofErr w:type="spellStart"/>
      <w:r w:rsidRPr="00B30389">
        <w:rPr>
          <w:rFonts w:eastAsia="HelenPro-Regular"/>
        </w:rPr>
        <w:t>μIU</w:t>
      </w:r>
      <w:proofErr w:type="spellEnd"/>
      <w:r w:rsidRPr="00B30389">
        <w:rPr>
          <w:rFonts w:eastAsia="HelenPro-Regular"/>
        </w:rPr>
        <w:t>/</w:t>
      </w:r>
      <w:proofErr w:type="spellStart"/>
      <w:r w:rsidRPr="00B30389">
        <w:rPr>
          <w:rFonts w:eastAsia="HelenPro-Regular"/>
        </w:rPr>
        <w:t>mL.</w:t>
      </w:r>
      <w:proofErr w:type="spellEnd"/>
    </w:p>
    <w:p w:rsidR="00B30389"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If the operator does not enter th</w:t>
      </w:r>
      <w:r>
        <w:rPr>
          <w:rFonts w:eastAsia="HelenPro-Regular"/>
        </w:rPr>
        <w:t xml:space="preserve">e dilution factor, the reported </w:t>
      </w:r>
      <w:r w:rsidRPr="00B30389">
        <w:rPr>
          <w:rFonts w:eastAsia="HelenPro-Regular"/>
        </w:rPr>
        <w:t>result will be that of the diluted sample. This result (before dilution</w:t>
      </w:r>
      <w:r>
        <w:rPr>
          <w:rFonts w:eastAsia="HelenPro-Regular"/>
        </w:rPr>
        <w:t xml:space="preserve"> </w:t>
      </w:r>
      <w:r w:rsidRPr="00B30389">
        <w:rPr>
          <w:rFonts w:eastAsia="HelenPro-Regular"/>
        </w:rPr>
        <w:t xml:space="preserve">factor is applied) should be greater than 0.0100 </w:t>
      </w:r>
      <w:proofErr w:type="spellStart"/>
      <w:r w:rsidRPr="00B30389">
        <w:rPr>
          <w:rFonts w:eastAsia="HelenPro-Regular"/>
        </w:rPr>
        <w:t>μIU</w:t>
      </w:r>
      <w:proofErr w:type="spellEnd"/>
      <w:r w:rsidRPr="00B30389">
        <w:rPr>
          <w:rFonts w:eastAsia="HelenPro-Regular"/>
        </w:rPr>
        <w:t>/</w:t>
      </w:r>
      <w:proofErr w:type="spellStart"/>
      <w:r w:rsidRPr="00B30389">
        <w:rPr>
          <w:rFonts w:eastAsia="HelenPro-Regular"/>
        </w:rPr>
        <w:t>mL.</w:t>
      </w:r>
      <w:proofErr w:type="spellEnd"/>
    </w:p>
    <w:p w:rsidR="00DA0D83" w:rsidRPr="00B30389" w:rsidRDefault="00B30389" w:rsidP="00B30389">
      <w:pPr>
        <w:autoSpaceDE w:val="0"/>
        <w:autoSpaceDN w:val="0"/>
        <w:adjustRightInd w:val="0"/>
        <w:rPr>
          <w:rFonts w:eastAsia="HelenPro-Regular"/>
        </w:rPr>
      </w:pPr>
      <w:r w:rsidRPr="00B30389">
        <w:rPr>
          <w:rFonts w:eastAsia="HelenPro-Bold"/>
          <w:b/>
          <w:bCs/>
        </w:rPr>
        <w:t xml:space="preserve">• </w:t>
      </w:r>
      <w:r w:rsidRPr="00B30389">
        <w:rPr>
          <w:rFonts w:eastAsia="HelenPro-Regular"/>
        </w:rPr>
        <w:t>For detailed information on ordering di</w:t>
      </w:r>
      <w:r>
        <w:rPr>
          <w:rFonts w:eastAsia="HelenPro-Regular"/>
        </w:rPr>
        <w:t xml:space="preserve">lutions, refer to the ARCHITECT </w:t>
      </w:r>
      <w:r w:rsidRPr="00B30389">
        <w:rPr>
          <w:rFonts w:eastAsia="HelenPro-Regular"/>
        </w:rPr>
        <w:t>System Operations Manual, Section 5.</w:t>
      </w:r>
    </w:p>
    <w:p w:rsidR="00893A64" w:rsidRDefault="00893A64" w:rsidP="00F95946">
      <w:pPr>
        <w:rPr>
          <w:b/>
          <w:color w:val="000000"/>
        </w:rPr>
      </w:pPr>
    </w:p>
    <w:p w:rsidR="00912FE4" w:rsidRPr="005D76E9" w:rsidRDefault="00912FE4" w:rsidP="00F95946">
      <w:pPr>
        <w:rPr>
          <w:rFonts w:eastAsia="HelenPro-Regular"/>
        </w:rPr>
      </w:pPr>
      <w:r w:rsidRPr="005D76E9">
        <w:rPr>
          <w:b/>
          <w:color w:val="000000"/>
        </w:rPr>
        <w:t>Precision:</w:t>
      </w:r>
      <w:r w:rsidR="0038442D" w:rsidRPr="005D76E9">
        <w:rPr>
          <w:b/>
          <w:color w:val="000000"/>
        </w:rPr>
        <w:t xml:space="preserve"> </w:t>
      </w:r>
    </w:p>
    <w:p w:rsidR="0060398E" w:rsidRPr="00E27850" w:rsidRDefault="00E27850" w:rsidP="00E27850">
      <w:pPr>
        <w:autoSpaceDE w:val="0"/>
        <w:autoSpaceDN w:val="0"/>
        <w:adjustRightInd w:val="0"/>
        <w:rPr>
          <w:rFonts w:eastAsia="HelenPro-Regular"/>
        </w:rPr>
      </w:pPr>
      <w:r w:rsidRPr="00E27850">
        <w:rPr>
          <w:rFonts w:eastAsia="HelenPro-Regular"/>
        </w:rPr>
        <w:t>The ARCHITECT TSH assay is designed to have a precision of ≤</w:t>
      </w:r>
      <w:r>
        <w:rPr>
          <w:rFonts w:eastAsia="HelenPro-Regular"/>
        </w:rPr>
        <w:t xml:space="preserve"> 10% </w:t>
      </w:r>
      <w:r w:rsidRPr="00E27850">
        <w:rPr>
          <w:rFonts w:eastAsia="HelenPro-Regular"/>
        </w:rPr>
        <w:t>(total CV).</w:t>
      </w:r>
    </w:p>
    <w:p w:rsidR="00E76310" w:rsidRPr="0060398E" w:rsidRDefault="00E27850" w:rsidP="0060398E">
      <w:pPr>
        <w:autoSpaceDE w:val="0"/>
        <w:autoSpaceDN w:val="0"/>
        <w:adjustRightInd w:val="0"/>
        <w:rPr>
          <w:rFonts w:eastAsia="HelenPro-Regular"/>
        </w:rPr>
      </w:pPr>
      <w:r>
        <w:rPr>
          <w:noProof/>
        </w:rPr>
        <w:lastRenderedPageBreak/>
        <w:drawing>
          <wp:inline distT="0" distB="0" distL="0" distR="0" wp14:anchorId="2D3504D8" wp14:editId="4CA14472">
            <wp:extent cx="3646968" cy="4423144"/>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51437" cy="4428564"/>
                    </a:xfrm>
                    <a:prstGeom prst="rect">
                      <a:avLst/>
                    </a:prstGeom>
                  </pic:spPr>
                </pic:pic>
              </a:graphicData>
            </a:graphic>
          </wp:inline>
        </w:drawing>
      </w: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E27850"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Specimens from patients who have</w:t>
      </w:r>
      <w:r>
        <w:rPr>
          <w:rFonts w:eastAsia="HelenPro-Regular"/>
        </w:rPr>
        <w:t xml:space="preserve"> received preparations of mouse </w:t>
      </w:r>
      <w:r w:rsidRPr="00E27850">
        <w:rPr>
          <w:rFonts w:eastAsia="HelenPro-Regular"/>
        </w:rPr>
        <w:t>monoclonal antibodies for diagnosis or therapy may contain human</w:t>
      </w:r>
      <w:r>
        <w:rPr>
          <w:rFonts w:eastAsia="HelenPro-Regular"/>
        </w:rPr>
        <w:t xml:space="preserve"> </w:t>
      </w:r>
      <w:r w:rsidRPr="00E27850">
        <w:rPr>
          <w:rFonts w:eastAsia="HelenPro-Regular"/>
        </w:rPr>
        <w:t>anti-mouse antibodies (HAMA). Such specimens may show either</w:t>
      </w:r>
      <w:r>
        <w:rPr>
          <w:rFonts w:eastAsia="HelenPro-Regular"/>
        </w:rPr>
        <w:t xml:space="preserve"> </w:t>
      </w:r>
      <w:r w:rsidRPr="00E27850">
        <w:rPr>
          <w:rFonts w:eastAsia="HelenPro-Regular"/>
        </w:rPr>
        <w:t>falsely elevated or depressed values when tested with assay</w:t>
      </w:r>
      <w:r>
        <w:rPr>
          <w:rFonts w:eastAsia="HelenPro-Regular"/>
        </w:rPr>
        <w:t xml:space="preserve"> </w:t>
      </w:r>
      <w:r w:rsidRPr="00E27850">
        <w:rPr>
          <w:rFonts w:eastAsia="HelenPro-Regular"/>
        </w:rPr>
        <w:t>kits which employ mouse monoclonal antibodies. Additional</w:t>
      </w:r>
      <w:r>
        <w:rPr>
          <w:rFonts w:eastAsia="HelenPro-Regular"/>
        </w:rPr>
        <w:t xml:space="preserve"> </w:t>
      </w:r>
      <w:r w:rsidRPr="00E27850">
        <w:rPr>
          <w:rFonts w:eastAsia="HelenPro-Regular"/>
        </w:rPr>
        <w:t>information may be required for diagnosis.</w:t>
      </w:r>
    </w:p>
    <w:p w:rsidR="00274DFC" w:rsidRDefault="00E27850" w:rsidP="00E27850">
      <w:pPr>
        <w:autoSpaceDE w:val="0"/>
        <w:autoSpaceDN w:val="0"/>
        <w:adjustRightInd w:val="0"/>
        <w:rPr>
          <w:rFonts w:eastAsia="HelenPro-Regular"/>
        </w:rPr>
      </w:pPr>
      <w:r w:rsidRPr="00E27850">
        <w:rPr>
          <w:rFonts w:eastAsia="HelenPro-Bold"/>
          <w:b/>
          <w:bCs/>
        </w:rPr>
        <w:t xml:space="preserve">• </w:t>
      </w:r>
      <w:proofErr w:type="spellStart"/>
      <w:r w:rsidRPr="00E27850">
        <w:rPr>
          <w:rFonts w:eastAsia="HelenPro-Regular"/>
        </w:rPr>
        <w:t>Heterophilic</w:t>
      </w:r>
      <w:proofErr w:type="spellEnd"/>
      <w:r w:rsidRPr="00E27850">
        <w:rPr>
          <w:rFonts w:eastAsia="HelenPro-Regular"/>
        </w:rPr>
        <w:t xml:space="preserve"> antibodies in hum</w:t>
      </w:r>
      <w:r>
        <w:rPr>
          <w:rFonts w:eastAsia="HelenPro-Regular"/>
        </w:rPr>
        <w:t xml:space="preserve">an serum can react with reagent </w:t>
      </w:r>
      <w:proofErr w:type="spellStart"/>
      <w:r w:rsidRPr="00E27850">
        <w:rPr>
          <w:rFonts w:eastAsia="HelenPro-Regular"/>
        </w:rPr>
        <w:t>immunoglobulins</w:t>
      </w:r>
      <w:proofErr w:type="spellEnd"/>
      <w:r w:rsidRPr="00E27850">
        <w:rPr>
          <w:rFonts w:eastAsia="HelenPro-Regular"/>
        </w:rPr>
        <w:t xml:space="preserve">, interfering with </w:t>
      </w:r>
      <w:r w:rsidRPr="00E27850">
        <w:rPr>
          <w:rFonts w:eastAsia="HelenPro-Regular"/>
          <w:i/>
          <w:iCs/>
        </w:rPr>
        <w:t xml:space="preserve">in vitro </w:t>
      </w:r>
      <w:r w:rsidRPr="00E27850">
        <w:rPr>
          <w:rFonts w:eastAsia="HelenPro-Regular"/>
        </w:rPr>
        <w:t>immunoassays. Patients</w:t>
      </w:r>
      <w:r>
        <w:rPr>
          <w:rFonts w:eastAsia="HelenPro-Regular"/>
        </w:rPr>
        <w:t xml:space="preserve"> </w:t>
      </w:r>
      <w:r w:rsidRPr="00E27850">
        <w:rPr>
          <w:rFonts w:eastAsia="HelenPro-Regular"/>
        </w:rPr>
        <w:t>routinely exposed to animals or animal serum products can be</w:t>
      </w:r>
      <w:r>
        <w:rPr>
          <w:rFonts w:eastAsia="HelenPro-Regular"/>
        </w:rPr>
        <w:t xml:space="preserve"> </w:t>
      </w:r>
      <w:r w:rsidRPr="00E27850">
        <w:rPr>
          <w:rFonts w:eastAsia="HelenPro-Regular"/>
        </w:rPr>
        <w:t>prone to this interference and anomalous values may be observed.</w:t>
      </w:r>
      <w:r>
        <w:rPr>
          <w:rFonts w:eastAsia="HelenPro-Regular"/>
        </w:rPr>
        <w:t xml:space="preserve"> </w:t>
      </w:r>
      <w:r w:rsidRPr="00E27850">
        <w:rPr>
          <w:rFonts w:eastAsia="HelenPro-Regular"/>
        </w:rPr>
        <w:t>Additional information may be required for diagnosis.</w:t>
      </w:r>
    </w:p>
    <w:p w:rsidR="00E27850"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Suspected hyperthyroidism based on low or undetectable TSH levels</w:t>
      </w:r>
      <w:r>
        <w:rPr>
          <w:rFonts w:eastAsia="HelenPro-Regular"/>
        </w:rPr>
        <w:t xml:space="preserve"> </w:t>
      </w:r>
      <w:r w:rsidRPr="00E27850">
        <w:rPr>
          <w:rFonts w:eastAsia="HelenPro-Regular"/>
        </w:rPr>
        <w:t>should be confirmed with additional thyroid function testing along with</w:t>
      </w:r>
      <w:r>
        <w:rPr>
          <w:rFonts w:eastAsia="HelenPro-Regular"/>
        </w:rPr>
        <w:t xml:space="preserve"> </w:t>
      </w:r>
      <w:r w:rsidRPr="00E27850">
        <w:rPr>
          <w:rFonts w:eastAsia="HelenPro-Regular"/>
        </w:rPr>
        <w:t>other clinical information.</w:t>
      </w:r>
    </w:p>
    <w:p w:rsidR="009B11DE" w:rsidRDefault="009B11DE" w:rsidP="002578A2">
      <w:pPr>
        <w:autoSpaceDE w:val="0"/>
        <w:autoSpaceDN w:val="0"/>
        <w:adjustRightInd w:val="0"/>
        <w:rPr>
          <w:rFonts w:eastAsia="HelenPro-Bold"/>
          <w:b/>
          <w:bCs/>
        </w:rPr>
      </w:pPr>
    </w:p>
    <w:p w:rsidR="00887473" w:rsidRPr="002578A2" w:rsidRDefault="002578A2" w:rsidP="002578A2">
      <w:pPr>
        <w:autoSpaceDE w:val="0"/>
        <w:autoSpaceDN w:val="0"/>
        <w:adjustRightInd w:val="0"/>
        <w:rPr>
          <w:rFonts w:eastAsia="HelenPro-Regular"/>
          <w:b/>
        </w:rPr>
      </w:pPr>
      <w:r w:rsidRPr="002578A2">
        <w:rPr>
          <w:rFonts w:eastAsia="HelenPro-Regular"/>
          <w:b/>
        </w:rPr>
        <w:t>Specificity</w:t>
      </w:r>
    </w:p>
    <w:p w:rsidR="00E27850" w:rsidRPr="00E27850" w:rsidRDefault="00E27850" w:rsidP="00E27850">
      <w:pPr>
        <w:autoSpaceDE w:val="0"/>
        <w:autoSpaceDN w:val="0"/>
        <w:adjustRightInd w:val="0"/>
        <w:rPr>
          <w:rFonts w:eastAsia="HelenPro-Regular"/>
        </w:rPr>
      </w:pPr>
      <w:r w:rsidRPr="00E27850">
        <w:rPr>
          <w:rFonts w:eastAsia="HelenPro-Regular"/>
        </w:rPr>
        <w:t>The ARCHITECT TSH assay is designed to ha</w:t>
      </w:r>
      <w:r>
        <w:rPr>
          <w:rFonts w:eastAsia="HelenPro-Regular"/>
        </w:rPr>
        <w:t xml:space="preserve">ve an analytical specificity of </w:t>
      </w:r>
      <w:r w:rsidRPr="00E27850">
        <w:rPr>
          <w:rFonts w:eastAsia="HelenPro-Regular"/>
        </w:rPr>
        <w:t>&lt; 10% cross reactivity with the following substances, at the concentration</w:t>
      </w:r>
      <w:r>
        <w:rPr>
          <w:rFonts w:eastAsia="HelenPro-Regular"/>
        </w:rPr>
        <w:t xml:space="preserve"> </w:t>
      </w:r>
      <w:r w:rsidRPr="00E27850">
        <w:rPr>
          <w:rFonts w:eastAsia="HelenPro-Regular"/>
        </w:rPr>
        <w:t>levels listed, in human serum samples containing TSH in the normal</w:t>
      </w:r>
      <w:r>
        <w:rPr>
          <w:rFonts w:eastAsia="HelenPro-Regular"/>
        </w:rPr>
        <w:t xml:space="preserve"> </w:t>
      </w:r>
      <w:r w:rsidRPr="00E27850">
        <w:rPr>
          <w:rFonts w:eastAsia="HelenPro-Regular"/>
        </w:rPr>
        <w:t>range.</w:t>
      </w:r>
    </w:p>
    <w:p w:rsidR="00E27850"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 xml:space="preserve">FSH - </w:t>
      </w:r>
      <w:r>
        <w:rPr>
          <w:rFonts w:eastAsia="HelenPro-Regular"/>
        </w:rPr>
        <w:tab/>
      </w:r>
      <w:r>
        <w:rPr>
          <w:rFonts w:eastAsia="HelenPro-Regular"/>
        </w:rPr>
        <w:tab/>
      </w:r>
      <w:r>
        <w:rPr>
          <w:rFonts w:eastAsia="HelenPro-Regular"/>
        </w:rPr>
        <w:tab/>
      </w:r>
      <w:r>
        <w:rPr>
          <w:rFonts w:eastAsia="HelenPro-Regular"/>
        </w:rPr>
        <w:tab/>
      </w:r>
      <w:r w:rsidRPr="00E27850">
        <w:rPr>
          <w:rFonts w:eastAsia="HelenPro-Regular"/>
        </w:rPr>
        <w:t xml:space="preserve">≤ 500 </w:t>
      </w:r>
      <w:proofErr w:type="spellStart"/>
      <w:r w:rsidRPr="00E27850">
        <w:rPr>
          <w:rFonts w:eastAsia="HelenPro-Regular"/>
        </w:rPr>
        <w:t>mIU</w:t>
      </w:r>
      <w:proofErr w:type="spellEnd"/>
      <w:r w:rsidRPr="00E27850">
        <w:rPr>
          <w:rFonts w:eastAsia="HelenPro-Regular"/>
        </w:rPr>
        <w:t>/mL</w:t>
      </w:r>
    </w:p>
    <w:p w:rsidR="00E27850"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 xml:space="preserve">LH -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E27850">
        <w:rPr>
          <w:rFonts w:eastAsia="HelenPro-Regular"/>
        </w:rPr>
        <w:t xml:space="preserve">≤500 </w:t>
      </w:r>
      <w:proofErr w:type="spellStart"/>
      <w:r w:rsidRPr="00E27850">
        <w:rPr>
          <w:rFonts w:eastAsia="HelenPro-Regular"/>
        </w:rPr>
        <w:t>mIU</w:t>
      </w:r>
      <w:proofErr w:type="spellEnd"/>
      <w:r w:rsidRPr="00E27850">
        <w:rPr>
          <w:rFonts w:eastAsia="HelenPro-Regular"/>
        </w:rPr>
        <w:t>/mL</w:t>
      </w:r>
    </w:p>
    <w:p w:rsidR="00E76310" w:rsidRPr="00E27850" w:rsidRDefault="00E27850" w:rsidP="00E27850">
      <w:pPr>
        <w:autoSpaceDE w:val="0"/>
        <w:autoSpaceDN w:val="0"/>
        <w:adjustRightInd w:val="0"/>
        <w:rPr>
          <w:rFonts w:eastAsia="HelenPro-Regular"/>
        </w:rPr>
      </w:pPr>
      <w:r w:rsidRPr="00E27850">
        <w:rPr>
          <w:rFonts w:eastAsia="HelenPro-Bold"/>
          <w:b/>
          <w:bCs/>
        </w:rPr>
        <w:t xml:space="preserve">• </w:t>
      </w:r>
      <w:proofErr w:type="spellStart"/>
      <w:r w:rsidRPr="00E27850">
        <w:rPr>
          <w:rFonts w:eastAsia="HelenPro-Regular"/>
        </w:rPr>
        <w:t>hCG</w:t>
      </w:r>
      <w:proofErr w:type="spellEnd"/>
      <w:r w:rsidRPr="00E27850">
        <w:rPr>
          <w:rFonts w:eastAsia="HelenPro-Regular"/>
        </w:rPr>
        <w:t xml:space="preserve"> - </w:t>
      </w:r>
      <w:r>
        <w:rPr>
          <w:rFonts w:eastAsia="HelenPro-Regular"/>
        </w:rPr>
        <w:tab/>
      </w:r>
      <w:r>
        <w:rPr>
          <w:rFonts w:eastAsia="HelenPro-Regular"/>
        </w:rPr>
        <w:tab/>
      </w:r>
      <w:r>
        <w:rPr>
          <w:rFonts w:eastAsia="HelenPro-Regular"/>
        </w:rPr>
        <w:tab/>
      </w:r>
      <w:r>
        <w:rPr>
          <w:rFonts w:eastAsia="HelenPro-Regular"/>
        </w:rPr>
        <w:tab/>
      </w:r>
      <w:r w:rsidRPr="00E27850">
        <w:rPr>
          <w:rFonts w:eastAsia="HelenPro-Regular"/>
        </w:rPr>
        <w:t xml:space="preserve">≤ 200,000 </w:t>
      </w:r>
      <w:proofErr w:type="spellStart"/>
      <w:r w:rsidRPr="00E27850">
        <w:rPr>
          <w:rFonts w:eastAsia="HelenPro-Regular"/>
        </w:rPr>
        <w:t>mIU</w:t>
      </w:r>
      <w:proofErr w:type="spellEnd"/>
      <w:r w:rsidRPr="00E27850">
        <w:rPr>
          <w:rFonts w:eastAsia="HelenPro-Regular"/>
        </w:rPr>
        <w:t>/</w:t>
      </w:r>
      <w:proofErr w:type="spellStart"/>
      <w:r w:rsidRPr="00E27850">
        <w:rPr>
          <w:rFonts w:eastAsia="HelenPro-Regular"/>
        </w:rPr>
        <w:t>mL</w:t>
      </w:r>
      <w:r w:rsidR="00464ABD" w:rsidRPr="00E27850">
        <w:rPr>
          <w:rFonts w:eastAsia="HelenPro-Regular"/>
        </w:rPr>
        <w:t>.</w:t>
      </w:r>
      <w:proofErr w:type="spellEnd"/>
      <w:r w:rsidR="00133689" w:rsidRPr="00E27850">
        <w:rPr>
          <w:noProof/>
        </w:rPr>
        <w:t xml:space="preserve"> </w:t>
      </w:r>
    </w:p>
    <w:p w:rsidR="009B11DE" w:rsidRPr="00E27850" w:rsidRDefault="009B11DE" w:rsidP="009B11DE">
      <w:pPr>
        <w:autoSpaceDE w:val="0"/>
        <w:autoSpaceDN w:val="0"/>
        <w:adjustRightInd w:val="0"/>
        <w:rPr>
          <w:rFonts w:eastAsia="HelenPro-Bold"/>
          <w:b/>
          <w:bCs/>
        </w:rPr>
      </w:pPr>
    </w:p>
    <w:p w:rsidR="00133689" w:rsidRPr="00E27850" w:rsidRDefault="00133689" w:rsidP="00133689">
      <w:pPr>
        <w:autoSpaceDE w:val="0"/>
        <w:autoSpaceDN w:val="0"/>
        <w:adjustRightInd w:val="0"/>
        <w:rPr>
          <w:rFonts w:eastAsia="HelenPro-Bold"/>
          <w:b/>
          <w:bCs/>
        </w:rPr>
      </w:pPr>
      <w:r w:rsidRPr="00E27850">
        <w:rPr>
          <w:rFonts w:eastAsia="HelenPro-Bold"/>
          <w:b/>
          <w:bCs/>
        </w:rPr>
        <w:lastRenderedPageBreak/>
        <w:t>Interference</w:t>
      </w:r>
    </w:p>
    <w:p w:rsidR="00E27850" w:rsidRPr="00E27850" w:rsidRDefault="00E27850" w:rsidP="00E27850">
      <w:pPr>
        <w:autoSpaceDE w:val="0"/>
        <w:autoSpaceDN w:val="0"/>
        <w:adjustRightInd w:val="0"/>
        <w:rPr>
          <w:rFonts w:eastAsia="HelenPro-Regular"/>
        </w:rPr>
      </w:pPr>
      <w:r w:rsidRPr="00E27850">
        <w:rPr>
          <w:rFonts w:eastAsia="HelenPro-Regular"/>
        </w:rPr>
        <w:t>The ARCHITECT TSH assay is designed t</w:t>
      </w:r>
      <w:r>
        <w:rPr>
          <w:rFonts w:eastAsia="HelenPro-Regular"/>
        </w:rPr>
        <w:t xml:space="preserve">o have a potential interference </w:t>
      </w:r>
      <w:r w:rsidRPr="00E27850">
        <w:rPr>
          <w:rFonts w:eastAsia="HelenPro-Regular"/>
        </w:rPr>
        <w:t>from hemoglobin, bilirubin, triglycerides and protein of ≤ 10% at the levels</w:t>
      </w:r>
      <w:r>
        <w:rPr>
          <w:rFonts w:eastAsia="HelenPro-Regular"/>
        </w:rPr>
        <w:t xml:space="preserve"> </w:t>
      </w:r>
      <w:r w:rsidRPr="00E27850">
        <w:rPr>
          <w:rFonts w:eastAsia="HelenPro-Regular"/>
        </w:rPr>
        <w:t>indicated below.</w:t>
      </w:r>
    </w:p>
    <w:p w:rsidR="00E27850"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 xml:space="preserve">Hemoglobin - </w:t>
      </w:r>
      <w:r>
        <w:rPr>
          <w:rFonts w:eastAsia="HelenPro-Regular"/>
        </w:rPr>
        <w:tab/>
      </w:r>
      <w:r>
        <w:rPr>
          <w:rFonts w:eastAsia="HelenPro-Regular"/>
        </w:rPr>
        <w:tab/>
      </w:r>
      <w:r>
        <w:rPr>
          <w:rFonts w:eastAsia="HelenPro-Regular"/>
        </w:rPr>
        <w:tab/>
      </w:r>
      <w:r w:rsidRPr="00E27850">
        <w:rPr>
          <w:rFonts w:eastAsia="HelenPro-Regular"/>
        </w:rPr>
        <w:t>≤ 500 mg/</w:t>
      </w:r>
      <w:proofErr w:type="spellStart"/>
      <w:r w:rsidRPr="00E27850">
        <w:rPr>
          <w:rFonts w:eastAsia="HelenPro-Regular"/>
        </w:rPr>
        <w:t>dL</w:t>
      </w:r>
      <w:proofErr w:type="spellEnd"/>
    </w:p>
    <w:p w:rsidR="00E27850"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Bilirubin -</w:t>
      </w:r>
      <w:r>
        <w:rPr>
          <w:rFonts w:eastAsia="HelenPro-Regular"/>
        </w:rPr>
        <w:tab/>
      </w:r>
      <w:r>
        <w:rPr>
          <w:rFonts w:eastAsia="HelenPro-Regular"/>
        </w:rPr>
        <w:tab/>
      </w:r>
      <w:r>
        <w:rPr>
          <w:rFonts w:eastAsia="HelenPro-Regular"/>
        </w:rPr>
        <w:tab/>
      </w:r>
      <w:r>
        <w:rPr>
          <w:rFonts w:eastAsia="HelenPro-Regular"/>
        </w:rPr>
        <w:tab/>
      </w:r>
      <w:r w:rsidRPr="00E27850">
        <w:rPr>
          <w:rFonts w:eastAsia="HelenPro-Regular"/>
        </w:rPr>
        <w:t xml:space="preserve"> ≤ 20 mg/</w:t>
      </w:r>
      <w:proofErr w:type="spellStart"/>
      <w:r w:rsidRPr="00E27850">
        <w:rPr>
          <w:rFonts w:eastAsia="HelenPro-Regular"/>
        </w:rPr>
        <w:t>dL</w:t>
      </w:r>
      <w:proofErr w:type="spellEnd"/>
    </w:p>
    <w:p w:rsidR="00E27850"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 xml:space="preserve">Triglycerides - </w:t>
      </w:r>
      <w:r>
        <w:rPr>
          <w:rFonts w:eastAsia="HelenPro-Regular"/>
        </w:rPr>
        <w:tab/>
      </w:r>
      <w:r>
        <w:rPr>
          <w:rFonts w:eastAsia="HelenPro-Regular"/>
        </w:rPr>
        <w:tab/>
      </w:r>
      <w:r>
        <w:rPr>
          <w:rFonts w:eastAsia="HelenPro-Regular"/>
        </w:rPr>
        <w:tab/>
      </w:r>
      <w:r w:rsidRPr="00E27850">
        <w:rPr>
          <w:rFonts w:eastAsia="HelenPro-Regular"/>
        </w:rPr>
        <w:t>≤ 3000 mg/</w:t>
      </w:r>
      <w:proofErr w:type="spellStart"/>
      <w:r w:rsidRPr="00E27850">
        <w:rPr>
          <w:rFonts w:eastAsia="HelenPro-Regular"/>
        </w:rPr>
        <w:t>dL</w:t>
      </w:r>
      <w:proofErr w:type="spellEnd"/>
    </w:p>
    <w:p w:rsidR="006B6078" w:rsidRPr="00E27850" w:rsidRDefault="00E27850" w:rsidP="00E27850">
      <w:pPr>
        <w:autoSpaceDE w:val="0"/>
        <w:autoSpaceDN w:val="0"/>
        <w:adjustRightInd w:val="0"/>
        <w:rPr>
          <w:rFonts w:eastAsia="HelenPro-Regular"/>
        </w:rPr>
      </w:pPr>
      <w:r w:rsidRPr="00E27850">
        <w:rPr>
          <w:rFonts w:eastAsia="HelenPro-Bold"/>
          <w:b/>
          <w:bCs/>
        </w:rPr>
        <w:t xml:space="preserve">• </w:t>
      </w:r>
      <w:r w:rsidRPr="00E27850">
        <w:rPr>
          <w:rFonts w:eastAsia="HelenPro-Regular"/>
        </w:rPr>
        <w:t>Protein -</w:t>
      </w:r>
      <w:r>
        <w:rPr>
          <w:rFonts w:eastAsia="HelenPro-Regular"/>
        </w:rPr>
        <w:tab/>
      </w:r>
      <w:r>
        <w:rPr>
          <w:rFonts w:eastAsia="HelenPro-Regular"/>
        </w:rPr>
        <w:tab/>
      </w:r>
      <w:r>
        <w:rPr>
          <w:rFonts w:eastAsia="HelenPro-Regular"/>
        </w:rPr>
        <w:tab/>
      </w:r>
      <w:r>
        <w:rPr>
          <w:rFonts w:eastAsia="HelenPro-Regular"/>
        </w:rPr>
        <w:tab/>
      </w:r>
      <w:r w:rsidRPr="00E27850">
        <w:rPr>
          <w:rFonts w:eastAsia="HelenPro-Regular"/>
        </w:rPr>
        <w:t xml:space="preserve"> ≤ 2 g/</w:t>
      </w:r>
      <w:proofErr w:type="spellStart"/>
      <w:r w:rsidRPr="00E27850">
        <w:rPr>
          <w:rFonts w:eastAsia="HelenPro-Regular"/>
        </w:rPr>
        <w:t>dL</w:t>
      </w:r>
      <w:proofErr w:type="spellEnd"/>
      <w:r w:rsidRPr="00E27850">
        <w:rPr>
          <w:rFonts w:eastAsia="HelenPro-Regular"/>
        </w:rPr>
        <w:t xml:space="preserve"> and 12 g/</w:t>
      </w:r>
      <w:proofErr w:type="spellStart"/>
      <w:r w:rsidRPr="00E27850">
        <w:rPr>
          <w:rFonts w:eastAsia="HelenPro-Regular"/>
        </w:rPr>
        <w:t>dL</w:t>
      </w:r>
      <w:proofErr w:type="spellEnd"/>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887473" w:rsidRDefault="00887473" w:rsidP="00041A33">
      <w:pPr>
        <w:autoSpaceDE w:val="0"/>
        <w:autoSpaceDN w:val="0"/>
        <w:adjustRightInd w:val="0"/>
        <w:ind w:left="720"/>
        <w:rPr>
          <w:rFonts w:eastAsia="HelenPro-Regular"/>
        </w:rPr>
      </w:pPr>
    </w:p>
    <w:p w:rsidR="00D16B69" w:rsidRDefault="00D16B69" w:rsidP="00D16B69">
      <w:pPr>
        <w:jc w:val="both"/>
        <w:rPr>
          <w:b/>
        </w:rPr>
      </w:pPr>
      <w:r w:rsidRPr="00470DF1">
        <w:rPr>
          <w:b/>
        </w:rPr>
        <w:t>References</w:t>
      </w:r>
      <w:r>
        <w:rPr>
          <w:b/>
        </w:rPr>
        <w:t>:</w:t>
      </w:r>
      <w:r w:rsidR="00973EAF">
        <w:rPr>
          <w:b/>
        </w:rPr>
        <w:t xml:space="preserve"> </w:t>
      </w:r>
    </w:p>
    <w:p w:rsidR="000A13F2" w:rsidRPr="00884DD4" w:rsidRDefault="000A13F2" w:rsidP="00030CDD">
      <w:pPr>
        <w:pStyle w:val="ListParagraph"/>
        <w:numPr>
          <w:ilvl w:val="0"/>
          <w:numId w:val="4"/>
        </w:numPr>
        <w:rPr>
          <w:sz w:val="22"/>
          <w:szCs w:val="22"/>
        </w:rPr>
      </w:pPr>
      <w:r w:rsidRPr="00884DD4">
        <w:rPr>
          <w:sz w:val="22"/>
          <w:szCs w:val="22"/>
        </w:rPr>
        <w:t xml:space="preserve">ABBOTT ARCHITECT </w:t>
      </w:r>
      <w:r w:rsidR="008047A0" w:rsidRPr="00884DD4">
        <w:rPr>
          <w:sz w:val="22"/>
          <w:szCs w:val="22"/>
        </w:rPr>
        <w:t>TSH</w:t>
      </w:r>
      <w:r w:rsidRPr="00884DD4">
        <w:rPr>
          <w:sz w:val="22"/>
          <w:szCs w:val="22"/>
        </w:rPr>
        <w:t xml:space="preserve"> package insert</w:t>
      </w:r>
    </w:p>
    <w:p w:rsidR="000A13F2" w:rsidRPr="00884DD4" w:rsidRDefault="000A13F2" w:rsidP="000A13F2">
      <w:pPr>
        <w:pStyle w:val="ListParagraph"/>
        <w:rPr>
          <w:sz w:val="22"/>
          <w:szCs w:val="22"/>
        </w:rPr>
      </w:pPr>
      <w:r w:rsidRPr="00884DD4">
        <w:rPr>
          <w:sz w:val="22"/>
          <w:szCs w:val="22"/>
        </w:rPr>
        <w:t>Abbott Laboratories</w:t>
      </w:r>
    </w:p>
    <w:p w:rsidR="000A13F2" w:rsidRPr="00884DD4" w:rsidRDefault="000A13F2" w:rsidP="000A13F2">
      <w:pPr>
        <w:pStyle w:val="ListParagraph"/>
        <w:rPr>
          <w:sz w:val="22"/>
          <w:szCs w:val="22"/>
        </w:rPr>
      </w:pPr>
      <w:r w:rsidRPr="00884DD4">
        <w:rPr>
          <w:sz w:val="22"/>
          <w:szCs w:val="22"/>
        </w:rPr>
        <w:t>Diagnostics Division</w:t>
      </w:r>
    </w:p>
    <w:p w:rsidR="000A13F2" w:rsidRPr="00884DD4" w:rsidRDefault="000A13F2" w:rsidP="000A13F2">
      <w:pPr>
        <w:pStyle w:val="ListParagraph"/>
        <w:rPr>
          <w:sz w:val="22"/>
          <w:szCs w:val="22"/>
        </w:rPr>
      </w:pPr>
      <w:r w:rsidRPr="00884DD4">
        <w:rPr>
          <w:sz w:val="22"/>
          <w:szCs w:val="22"/>
        </w:rPr>
        <w:t>Abbott Park, IL  60064</w:t>
      </w:r>
    </w:p>
    <w:p w:rsidR="00425BA0" w:rsidRPr="00884DD4" w:rsidRDefault="008047A0" w:rsidP="00425BA0">
      <w:pPr>
        <w:pStyle w:val="ListParagraph"/>
        <w:rPr>
          <w:rFonts w:eastAsia="HelenPro-Bold"/>
          <w:b/>
          <w:bCs/>
          <w:sz w:val="20"/>
          <w:szCs w:val="20"/>
        </w:rPr>
      </w:pPr>
      <w:r w:rsidRPr="00884DD4">
        <w:rPr>
          <w:bCs/>
          <w:sz w:val="22"/>
          <w:szCs w:val="22"/>
        </w:rPr>
        <w:t>Jan</w:t>
      </w:r>
      <w:r w:rsidR="00BB5E83" w:rsidRPr="00884DD4">
        <w:rPr>
          <w:bCs/>
          <w:sz w:val="22"/>
          <w:szCs w:val="22"/>
        </w:rPr>
        <w:t xml:space="preserve"> 201</w:t>
      </w:r>
      <w:r w:rsidRPr="00884DD4">
        <w:rPr>
          <w:bCs/>
          <w:sz w:val="22"/>
          <w:szCs w:val="22"/>
        </w:rPr>
        <w:t>4</w:t>
      </w:r>
      <w:r w:rsidR="000A13F2" w:rsidRPr="00884DD4">
        <w:rPr>
          <w:bCs/>
          <w:sz w:val="22"/>
          <w:szCs w:val="22"/>
        </w:rPr>
        <w:t xml:space="preserve"> </w:t>
      </w:r>
      <w:r w:rsidRPr="00884DD4">
        <w:rPr>
          <w:rFonts w:eastAsia="HelenPro-Bold"/>
          <w:bCs/>
        </w:rPr>
        <w:t>G4-5947/R05</w:t>
      </w:r>
    </w:p>
    <w:p w:rsidR="000A13F2" w:rsidRPr="00884DD4" w:rsidRDefault="000A13F2" w:rsidP="00425BA0">
      <w:pPr>
        <w:pStyle w:val="ListParagraph"/>
        <w:numPr>
          <w:ilvl w:val="0"/>
          <w:numId w:val="4"/>
        </w:numPr>
        <w:rPr>
          <w:rFonts w:eastAsia="HelenPro-Bold"/>
          <w:b/>
          <w:bCs/>
          <w:sz w:val="20"/>
          <w:szCs w:val="20"/>
        </w:rPr>
      </w:pPr>
      <w:r w:rsidRPr="00884DD4">
        <w:rPr>
          <w:sz w:val="22"/>
          <w:szCs w:val="22"/>
        </w:rPr>
        <w:t xml:space="preserve">ABBOTT ARCHITECT </w:t>
      </w:r>
      <w:r w:rsidR="008047A0" w:rsidRPr="00884DD4">
        <w:rPr>
          <w:sz w:val="22"/>
          <w:szCs w:val="22"/>
        </w:rPr>
        <w:t>TSH</w:t>
      </w:r>
      <w:r w:rsidR="003974C4" w:rsidRPr="00884DD4">
        <w:rPr>
          <w:sz w:val="22"/>
          <w:szCs w:val="22"/>
        </w:rPr>
        <w:t xml:space="preserve"> </w:t>
      </w:r>
      <w:r w:rsidRPr="00884DD4">
        <w:rPr>
          <w:sz w:val="22"/>
          <w:szCs w:val="22"/>
        </w:rPr>
        <w:t>Calibrator package insert</w:t>
      </w:r>
    </w:p>
    <w:p w:rsidR="000A13F2" w:rsidRPr="00884DD4" w:rsidRDefault="000A13F2" w:rsidP="000A13F2">
      <w:pPr>
        <w:pStyle w:val="ListParagraph"/>
        <w:rPr>
          <w:sz w:val="22"/>
          <w:szCs w:val="22"/>
        </w:rPr>
      </w:pPr>
      <w:r w:rsidRPr="00884DD4">
        <w:rPr>
          <w:sz w:val="22"/>
          <w:szCs w:val="22"/>
        </w:rPr>
        <w:t>Abbott Laboratories</w:t>
      </w:r>
    </w:p>
    <w:p w:rsidR="000A13F2" w:rsidRPr="00884DD4" w:rsidRDefault="000A13F2" w:rsidP="000A13F2">
      <w:pPr>
        <w:pStyle w:val="ListParagraph"/>
        <w:rPr>
          <w:sz w:val="22"/>
          <w:szCs w:val="22"/>
        </w:rPr>
      </w:pPr>
      <w:r w:rsidRPr="00884DD4">
        <w:rPr>
          <w:sz w:val="22"/>
          <w:szCs w:val="22"/>
        </w:rPr>
        <w:t>Diagnostics Division</w:t>
      </w:r>
    </w:p>
    <w:p w:rsidR="000A13F2" w:rsidRPr="00884DD4" w:rsidRDefault="000A13F2" w:rsidP="000A13F2">
      <w:pPr>
        <w:pStyle w:val="ListParagraph"/>
        <w:rPr>
          <w:sz w:val="22"/>
          <w:szCs w:val="22"/>
        </w:rPr>
      </w:pPr>
      <w:r w:rsidRPr="00884DD4">
        <w:rPr>
          <w:sz w:val="22"/>
          <w:szCs w:val="22"/>
        </w:rPr>
        <w:t>Abbott Park, IL  60064</w:t>
      </w:r>
    </w:p>
    <w:p w:rsidR="00173EA4" w:rsidRPr="00884DD4" w:rsidRDefault="000A13F2" w:rsidP="00246FA8">
      <w:pPr>
        <w:pStyle w:val="ListParagraph"/>
        <w:numPr>
          <w:ilvl w:val="0"/>
          <w:numId w:val="4"/>
        </w:numPr>
        <w:spacing w:after="72"/>
        <w:jc w:val="both"/>
      </w:pPr>
      <w:r w:rsidRPr="00884DD4">
        <w:t>Abbott ARCHITECT</w:t>
      </w:r>
      <w:r w:rsidR="00941AE5" w:rsidRPr="00884DD4">
        <w:rPr>
          <w:lang w:val="ru-RU"/>
        </w:rPr>
        <w:t xml:space="preserve"> Operator’s Guid</w:t>
      </w:r>
      <w:r w:rsidR="00941AE5" w:rsidRPr="00884DD4">
        <w:t>e</w:t>
      </w:r>
    </w:p>
    <w:p w:rsidR="00941AE5" w:rsidRPr="00884DD4" w:rsidRDefault="00941AE5" w:rsidP="00941AE5">
      <w:pPr>
        <w:spacing w:after="72"/>
        <w:jc w:val="both"/>
      </w:pPr>
    </w:p>
    <w:p w:rsidR="00941AE5" w:rsidRDefault="00941AE5" w:rsidP="00941AE5">
      <w:pPr>
        <w:spacing w:after="72"/>
        <w:jc w:val="both"/>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bookmarkStart w:id="0" w:name="_GoBack"/>
      <w:bookmarkEnd w:id="0"/>
    </w:p>
    <w:sectPr w:rsidR="00D16B69" w:rsidSect="00507B0C">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48" w:rsidRDefault="008D2448">
      <w:r>
        <w:separator/>
      </w:r>
    </w:p>
  </w:endnote>
  <w:endnote w:type="continuationSeparator" w:id="0">
    <w:p w:rsidR="008D2448" w:rsidRDefault="008D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D9" w:rsidRDefault="004C5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884DD4">
      <w:rPr>
        <w:noProof/>
        <w:sz w:val="20"/>
        <w:szCs w:val="20"/>
      </w:rPr>
      <w:t>12</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884DD4">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D9" w:rsidRDefault="004C5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48" w:rsidRDefault="008D2448">
      <w:r>
        <w:separator/>
      </w:r>
    </w:p>
  </w:footnote>
  <w:footnote w:type="continuationSeparator" w:id="0">
    <w:p w:rsidR="008D2448" w:rsidRDefault="008D2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D9" w:rsidRDefault="004C5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4C50D9">
      <w:rPr>
        <w:b/>
        <w:sz w:val="20"/>
        <w:szCs w:val="20"/>
      </w:rPr>
      <w:t xml:space="preserve"> 4840-CH</w:t>
    </w:r>
    <w:r w:rsidR="00985D7A">
      <w:rPr>
        <w:b/>
        <w:sz w:val="20"/>
        <w:szCs w:val="20"/>
      </w:rPr>
      <w:t>-</w:t>
    </w:r>
    <w:r w:rsidR="004C50D9">
      <w:rPr>
        <w:b/>
        <w:sz w:val="20"/>
        <w:szCs w:val="20"/>
      </w:rPr>
      <w:t>156</w:t>
    </w:r>
  </w:p>
  <w:p w:rsidR="00B54C79" w:rsidRDefault="00B54C79" w:rsidP="00100BF8">
    <w:pPr>
      <w:jc w:val="right"/>
      <w:rPr>
        <w:sz w:val="20"/>
        <w:szCs w:val="20"/>
      </w:rPr>
    </w:pPr>
    <w:r>
      <w:rPr>
        <w:sz w:val="20"/>
        <w:szCs w:val="20"/>
      </w:rPr>
      <w:t xml:space="preserve">ARCHITECT </w:t>
    </w:r>
    <w:r w:rsidR="002262DA">
      <w:rPr>
        <w:sz w:val="20"/>
        <w:szCs w:val="20"/>
      </w:rPr>
      <w:t>TSH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D9" w:rsidRDefault="004C5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13872"/>
    <w:multiLevelType w:val="hybridMultilevel"/>
    <w:tmpl w:val="896C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453BDF"/>
    <w:multiLevelType w:val="hybridMultilevel"/>
    <w:tmpl w:val="4E2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00B03"/>
    <w:multiLevelType w:val="hybridMultilevel"/>
    <w:tmpl w:val="54CE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42D3F"/>
    <w:multiLevelType w:val="hybridMultilevel"/>
    <w:tmpl w:val="308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0">
    <w:nsid w:val="69081BDF"/>
    <w:multiLevelType w:val="hybridMultilevel"/>
    <w:tmpl w:val="C30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5">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3655B"/>
    <w:multiLevelType w:val="hybridMultilevel"/>
    <w:tmpl w:val="F494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A77BE"/>
    <w:multiLevelType w:val="hybridMultilevel"/>
    <w:tmpl w:val="E6C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CA24DC"/>
    <w:multiLevelType w:val="hybridMultilevel"/>
    <w:tmpl w:val="779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42"/>
  </w:num>
  <w:num w:numId="4">
    <w:abstractNumId w:val="1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1"/>
  </w:num>
  <w:num w:numId="8">
    <w:abstractNumId w:val="0"/>
  </w:num>
  <w:num w:numId="9">
    <w:abstractNumId w:val="29"/>
  </w:num>
  <w:num w:numId="10">
    <w:abstractNumId w:val="22"/>
  </w:num>
  <w:num w:numId="11">
    <w:abstractNumId w:val="28"/>
  </w:num>
  <w:num w:numId="12">
    <w:abstractNumId w:val="4"/>
  </w:num>
  <w:num w:numId="13">
    <w:abstractNumId w:val="13"/>
  </w:num>
  <w:num w:numId="14">
    <w:abstractNumId w:val="17"/>
  </w:num>
  <w:num w:numId="15">
    <w:abstractNumId w:val="43"/>
  </w:num>
  <w:num w:numId="16">
    <w:abstractNumId w:val="24"/>
  </w:num>
  <w:num w:numId="17">
    <w:abstractNumId w:val="6"/>
  </w:num>
  <w:num w:numId="18">
    <w:abstractNumId w:val="32"/>
  </w:num>
  <w:num w:numId="19">
    <w:abstractNumId w:val="10"/>
  </w:num>
  <w:num w:numId="20">
    <w:abstractNumId w:val="14"/>
  </w:num>
  <w:num w:numId="21">
    <w:abstractNumId w:val="7"/>
  </w:num>
  <w:num w:numId="22">
    <w:abstractNumId w:val="25"/>
  </w:num>
  <w:num w:numId="23">
    <w:abstractNumId w:val="5"/>
  </w:num>
  <w:num w:numId="24">
    <w:abstractNumId w:val="33"/>
  </w:num>
  <w:num w:numId="25">
    <w:abstractNumId w:val="37"/>
  </w:num>
  <w:num w:numId="26">
    <w:abstractNumId w:val="16"/>
  </w:num>
  <w:num w:numId="27">
    <w:abstractNumId w:val="38"/>
  </w:num>
  <w:num w:numId="28">
    <w:abstractNumId w:val="18"/>
  </w:num>
  <w:num w:numId="29">
    <w:abstractNumId w:val="3"/>
  </w:num>
  <w:num w:numId="30">
    <w:abstractNumId w:val="8"/>
  </w:num>
  <w:num w:numId="31">
    <w:abstractNumId w:val="9"/>
  </w:num>
  <w:num w:numId="32">
    <w:abstractNumId w:val="31"/>
  </w:num>
  <w:num w:numId="33">
    <w:abstractNumId w:val="12"/>
  </w:num>
  <w:num w:numId="34">
    <w:abstractNumId w:val="20"/>
  </w:num>
  <w:num w:numId="35">
    <w:abstractNumId w:val="21"/>
  </w:num>
  <w:num w:numId="36">
    <w:abstractNumId w:val="2"/>
  </w:num>
  <w:num w:numId="37">
    <w:abstractNumId w:val="40"/>
  </w:num>
  <w:num w:numId="38">
    <w:abstractNumId w:val="36"/>
  </w:num>
  <w:num w:numId="39">
    <w:abstractNumId w:val="1"/>
  </w:num>
  <w:num w:numId="40">
    <w:abstractNumId w:val="30"/>
  </w:num>
  <w:num w:numId="41">
    <w:abstractNumId w:val="23"/>
  </w:num>
  <w:num w:numId="42">
    <w:abstractNumId w:val="39"/>
  </w:num>
  <w:num w:numId="43">
    <w:abstractNumId w:val="27"/>
  </w:num>
  <w:num w:numId="44">
    <w:abstractNumId w:val="26"/>
  </w:num>
  <w:num w:numId="45">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DE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C54F4"/>
    <w:rsid w:val="000E3328"/>
    <w:rsid w:val="000F49B2"/>
    <w:rsid w:val="00100BF8"/>
    <w:rsid w:val="0010358F"/>
    <w:rsid w:val="00107444"/>
    <w:rsid w:val="00126B1C"/>
    <w:rsid w:val="001318C3"/>
    <w:rsid w:val="00132081"/>
    <w:rsid w:val="00133689"/>
    <w:rsid w:val="00133F38"/>
    <w:rsid w:val="0014554C"/>
    <w:rsid w:val="001528ED"/>
    <w:rsid w:val="00155687"/>
    <w:rsid w:val="00157696"/>
    <w:rsid w:val="0016247C"/>
    <w:rsid w:val="00167572"/>
    <w:rsid w:val="00172CF7"/>
    <w:rsid w:val="00173EA4"/>
    <w:rsid w:val="001756AB"/>
    <w:rsid w:val="00184D0E"/>
    <w:rsid w:val="00191F12"/>
    <w:rsid w:val="00192502"/>
    <w:rsid w:val="001929DD"/>
    <w:rsid w:val="0019760C"/>
    <w:rsid w:val="001A639E"/>
    <w:rsid w:val="001B29A7"/>
    <w:rsid w:val="001B4267"/>
    <w:rsid w:val="001B5868"/>
    <w:rsid w:val="001C48DA"/>
    <w:rsid w:val="001C751A"/>
    <w:rsid w:val="001D3841"/>
    <w:rsid w:val="001D6AE0"/>
    <w:rsid w:val="001E079E"/>
    <w:rsid w:val="001E2474"/>
    <w:rsid w:val="001E74F9"/>
    <w:rsid w:val="001F32A9"/>
    <w:rsid w:val="001F6B7B"/>
    <w:rsid w:val="002020F0"/>
    <w:rsid w:val="00211DD8"/>
    <w:rsid w:val="00216888"/>
    <w:rsid w:val="002262DA"/>
    <w:rsid w:val="00246FA8"/>
    <w:rsid w:val="00247AF5"/>
    <w:rsid w:val="0025031C"/>
    <w:rsid w:val="002531B2"/>
    <w:rsid w:val="00253C1F"/>
    <w:rsid w:val="00255C54"/>
    <w:rsid w:val="002578A2"/>
    <w:rsid w:val="0026243F"/>
    <w:rsid w:val="002648A6"/>
    <w:rsid w:val="002649AA"/>
    <w:rsid w:val="002746A8"/>
    <w:rsid w:val="00274DFC"/>
    <w:rsid w:val="00294A08"/>
    <w:rsid w:val="002B0D2A"/>
    <w:rsid w:val="002B1993"/>
    <w:rsid w:val="002C0E55"/>
    <w:rsid w:val="002C2F49"/>
    <w:rsid w:val="002C7FD5"/>
    <w:rsid w:val="002D18CA"/>
    <w:rsid w:val="002D2075"/>
    <w:rsid w:val="002D370D"/>
    <w:rsid w:val="002D38DF"/>
    <w:rsid w:val="002D3E53"/>
    <w:rsid w:val="002D70E2"/>
    <w:rsid w:val="002E528E"/>
    <w:rsid w:val="002E679B"/>
    <w:rsid w:val="002F52E0"/>
    <w:rsid w:val="003056A7"/>
    <w:rsid w:val="00317056"/>
    <w:rsid w:val="003356DF"/>
    <w:rsid w:val="00347BEC"/>
    <w:rsid w:val="00353FD5"/>
    <w:rsid w:val="0037463A"/>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68A"/>
    <w:rsid w:val="00443DB3"/>
    <w:rsid w:val="00452D5E"/>
    <w:rsid w:val="0045570E"/>
    <w:rsid w:val="00456575"/>
    <w:rsid w:val="00460600"/>
    <w:rsid w:val="00461686"/>
    <w:rsid w:val="0046271A"/>
    <w:rsid w:val="00464ABD"/>
    <w:rsid w:val="004708FA"/>
    <w:rsid w:val="00470CE6"/>
    <w:rsid w:val="004773D3"/>
    <w:rsid w:val="00493DD1"/>
    <w:rsid w:val="00496605"/>
    <w:rsid w:val="004A03BD"/>
    <w:rsid w:val="004A2AA3"/>
    <w:rsid w:val="004C05F8"/>
    <w:rsid w:val="004C104D"/>
    <w:rsid w:val="004C20DC"/>
    <w:rsid w:val="004C2C23"/>
    <w:rsid w:val="004C37CB"/>
    <w:rsid w:val="004C50D9"/>
    <w:rsid w:val="004C73AF"/>
    <w:rsid w:val="004E0AFF"/>
    <w:rsid w:val="004E3937"/>
    <w:rsid w:val="004F5F8A"/>
    <w:rsid w:val="0050716A"/>
    <w:rsid w:val="00507B0C"/>
    <w:rsid w:val="005169F4"/>
    <w:rsid w:val="00523858"/>
    <w:rsid w:val="00533CE1"/>
    <w:rsid w:val="00551335"/>
    <w:rsid w:val="0055619E"/>
    <w:rsid w:val="0056023B"/>
    <w:rsid w:val="00570113"/>
    <w:rsid w:val="00574309"/>
    <w:rsid w:val="005765EB"/>
    <w:rsid w:val="005806E5"/>
    <w:rsid w:val="005824BA"/>
    <w:rsid w:val="0058304A"/>
    <w:rsid w:val="005902C0"/>
    <w:rsid w:val="005A1D53"/>
    <w:rsid w:val="005A4739"/>
    <w:rsid w:val="005A7348"/>
    <w:rsid w:val="005A7374"/>
    <w:rsid w:val="005B0D1C"/>
    <w:rsid w:val="005B1BF7"/>
    <w:rsid w:val="005C4292"/>
    <w:rsid w:val="005D76E9"/>
    <w:rsid w:val="005E3AB5"/>
    <w:rsid w:val="005E3D52"/>
    <w:rsid w:val="005E48EE"/>
    <w:rsid w:val="005F3E81"/>
    <w:rsid w:val="0060398E"/>
    <w:rsid w:val="00607638"/>
    <w:rsid w:val="00610572"/>
    <w:rsid w:val="006107A2"/>
    <w:rsid w:val="0061553C"/>
    <w:rsid w:val="00621ABB"/>
    <w:rsid w:val="00623EFB"/>
    <w:rsid w:val="0063150E"/>
    <w:rsid w:val="00644800"/>
    <w:rsid w:val="00654386"/>
    <w:rsid w:val="006559EB"/>
    <w:rsid w:val="00656BB9"/>
    <w:rsid w:val="006706BD"/>
    <w:rsid w:val="00671812"/>
    <w:rsid w:val="00674186"/>
    <w:rsid w:val="00682038"/>
    <w:rsid w:val="00687C2F"/>
    <w:rsid w:val="006A15AE"/>
    <w:rsid w:val="006A5580"/>
    <w:rsid w:val="006A5AAE"/>
    <w:rsid w:val="006B0A70"/>
    <w:rsid w:val="006B3C65"/>
    <w:rsid w:val="006B6078"/>
    <w:rsid w:val="006D28ED"/>
    <w:rsid w:val="006D40ED"/>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703C0"/>
    <w:rsid w:val="007840DD"/>
    <w:rsid w:val="00794A6F"/>
    <w:rsid w:val="007B09E3"/>
    <w:rsid w:val="007B0CCE"/>
    <w:rsid w:val="007B247B"/>
    <w:rsid w:val="007E4CE6"/>
    <w:rsid w:val="007E6C3C"/>
    <w:rsid w:val="0080146D"/>
    <w:rsid w:val="008036AC"/>
    <w:rsid w:val="008047A0"/>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4DD4"/>
    <w:rsid w:val="00887139"/>
    <w:rsid w:val="00887473"/>
    <w:rsid w:val="00893A64"/>
    <w:rsid w:val="00893E5B"/>
    <w:rsid w:val="008A1AF7"/>
    <w:rsid w:val="008A1CED"/>
    <w:rsid w:val="008A7551"/>
    <w:rsid w:val="008A7F96"/>
    <w:rsid w:val="008B590F"/>
    <w:rsid w:val="008C0AEF"/>
    <w:rsid w:val="008C4A98"/>
    <w:rsid w:val="008D06FF"/>
    <w:rsid w:val="008D2448"/>
    <w:rsid w:val="008D30BD"/>
    <w:rsid w:val="008D49F7"/>
    <w:rsid w:val="008D4DF4"/>
    <w:rsid w:val="008E00E3"/>
    <w:rsid w:val="008E2859"/>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85D7A"/>
    <w:rsid w:val="009A4991"/>
    <w:rsid w:val="009B11DE"/>
    <w:rsid w:val="009B4C90"/>
    <w:rsid w:val="009D1D61"/>
    <w:rsid w:val="009D498B"/>
    <w:rsid w:val="009E0FF1"/>
    <w:rsid w:val="009E2662"/>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4DD8"/>
    <w:rsid w:val="00A554D4"/>
    <w:rsid w:val="00A67673"/>
    <w:rsid w:val="00A71728"/>
    <w:rsid w:val="00A71D1D"/>
    <w:rsid w:val="00A72EC0"/>
    <w:rsid w:val="00A81234"/>
    <w:rsid w:val="00A82E30"/>
    <w:rsid w:val="00A92E30"/>
    <w:rsid w:val="00A94552"/>
    <w:rsid w:val="00AA119D"/>
    <w:rsid w:val="00AA271B"/>
    <w:rsid w:val="00AA50C1"/>
    <w:rsid w:val="00AA7423"/>
    <w:rsid w:val="00AA7B6F"/>
    <w:rsid w:val="00AB5354"/>
    <w:rsid w:val="00AB793D"/>
    <w:rsid w:val="00AC0E64"/>
    <w:rsid w:val="00AC64AF"/>
    <w:rsid w:val="00AD402C"/>
    <w:rsid w:val="00AD66A2"/>
    <w:rsid w:val="00AE6139"/>
    <w:rsid w:val="00AE6F5B"/>
    <w:rsid w:val="00AF3FF7"/>
    <w:rsid w:val="00AF597C"/>
    <w:rsid w:val="00B11C38"/>
    <w:rsid w:val="00B13AB5"/>
    <w:rsid w:val="00B24260"/>
    <w:rsid w:val="00B30389"/>
    <w:rsid w:val="00B30875"/>
    <w:rsid w:val="00B36577"/>
    <w:rsid w:val="00B434E9"/>
    <w:rsid w:val="00B438DB"/>
    <w:rsid w:val="00B44054"/>
    <w:rsid w:val="00B45FE2"/>
    <w:rsid w:val="00B46687"/>
    <w:rsid w:val="00B50C75"/>
    <w:rsid w:val="00B54C79"/>
    <w:rsid w:val="00B63263"/>
    <w:rsid w:val="00B63E8F"/>
    <w:rsid w:val="00B70AAC"/>
    <w:rsid w:val="00B712B1"/>
    <w:rsid w:val="00B72271"/>
    <w:rsid w:val="00B94EE2"/>
    <w:rsid w:val="00BA0054"/>
    <w:rsid w:val="00BA3154"/>
    <w:rsid w:val="00BB5E83"/>
    <w:rsid w:val="00BB7014"/>
    <w:rsid w:val="00BC1EC4"/>
    <w:rsid w:val="00BC76E2"/>
    <w:rsid w:val="00BE40A6"/>
    <w:rsid w:val="00BF1824"/>
    <w:rsid w:val="00BF32B2"/>
    <w:rsid w:val="00BF4A58"/>
    <w:rsid w:val="00C10F06"/>
    <w:rsid w:val="00C12B0A"/>
    <w:rsid w:val="00C32412"/>
    <w:rsid w:val="00C3571A"/>
    <w:rsid w:val="00C44099"/>
    <w:rsid w:val="00C46D5D"/>
    <w:rsid w:val="00C53E37"/>
    <w:rsid w:val="00C61A99"/>
    <w:rsid w:val="00C63D0C"/>
    <w:rsid w:val="00C63D9F"/>
    <w:rsid w:val="00C661EB"/>
    <w:rsid w:val="00C90E57"/>
    <w:rsid w:val="00C912E2"/>
    <w:rsid w:val="00C967D5"/>
    <w:rsid w:val="00CA11D0"/>
    <w:rsid w:val="00CA5058"/>
    <w:rsid w:val="00CB66ED"/>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0A1"/>
    <w:rsid w:val="00D73BF8"/>
    <w:rsid w:val="00D77B64"/>
    <w:rsid w:val="00D80968"/>
    <w:rsid w:val="00D84ADA"/>
    <w:rsid w:val="00D94BB8"/>
    <w:rsid w:val="00D97908"/>
    <w:rsid w:val="00DA040A"/>
    <w:rsid w:val="00DA0D83"/>
    <w:rsid w:val="00DA6C6A"/>
    <w:rsid w:val="00DB3051"/>
    <w:rsid w:val="00DB49D0"/>
    <w:rsid w:val="00DC16C5"/>
    <w:rsid w:val="00DC56D1"/>
    <w:rsid w:val="00DC69D8"/>
    <w:rsid w:val="00DD0481"/>
    <w:rsid w:val="00DD06E2"/>
    <w:rsid w:val="00DE1362"/>
    <w:rsid w:val="00DE6C4E"/>
    <w:rsid w:val="00DF01DC"/>
    <w:rsid w:val="00DF022C"/>
    <w:rsid w:val="00E03B3D"/>
    <w:rsid w:val="00E07C43"/>
    <w:rsid w:val="00E12522"/>
    <w:rsid w:val="00E12AF4"/>
    <w:rsid w:val="00E234B4"/>
    <w:rsid w:val="00E27850"/>
    <w:rsid w:val="00E30C56"/>
    <w:rsid w:val="00E36B73"/>
    <w:rsid w:val="00E40388"/>
    <w:rsid w:val="00E438CD"/>
    <w:rsid w:val="00E4458F"/>
    <w:rsid w:val="00E44BED"/>
    <w:rsid w:val="00E4787B"/>
    <w:rsid w:val="00E50643"/>
    <w:rsid w:val="00E66375"/>
    <w:rsid w:val="00E76310"/>
    <w:rsid w:val="00E97A8C"/>
    <w:rsid w:val="00EA1269"/>
    <w:rsid w:val="00EA713D"/>
    <w:rsid w:val="00EB2F9F"/>
    <w:rsid w:val="00EB33FE"/>
    <w:rsid w:val="00EB72AA"/>
    <w:rsid w:val="00EC002B"/>
    <w:rsid w:val="00EC352F"/>
    <w:rsid w:val="00EC7B32"/>
    <w:rsid w:val="00ED2343"/>
    <w:rsid w:val="00ED4BBB"/>
    <w:rsid w:val="00ED5374"/>
    <w:rsid w:val="00ED5787"/>
    <w:rsid w:val="00EF4170"/>
    <w:rsid w:val="00EF7315"/>
    <w:rsid w:val="00F05CCD"/>
    <w:rsid w:val="00F13523"/>
    <w:rsid w:val="00F175CB"/>
    <w:rsid w:val="00F1787A"/>
    <w:rsid w:val="00F17F45"/>
    <w:rsid w:val="00F20C64"/>
    <w:rsid w:val="00F2292E"/>
    <w:rsid w:val="00F23218"/>
    <w:rsid w:val="00F25293"/>
    <w:rsid w:val="00F32BBD"/>
    <w:rsid w:val="00F3700B"/>
    <w:rsid w:val="00F411FB"/>
    <w:rsid w:val="00F5016C"/>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39C4-4889-41FF-930B-01D9440A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2612</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17759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5</cp:revision>
  <cp:lastPrinted>2012-02-10T12:42:00Z</cp:lastPrinted>
  <dcterms:created xsi:type="dcterms:W3CDTF">2018-09-05T17:34:00Z</dcterms:created>
  <dcterms:modified xsi:type="dcterms:W3CDTF">2018-10-22T14:25:00Z</dcterms:modified>
</cp:coreProperties>
</file>