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9E5B66">
      <w:pPr>
        <w:rPr>
          <w:b/>
        </w:rPr>
      </w:pPr>
      <w:r>
        <w:rPr>
          <w:noProof/>
        </w:rPr>
        <w:drawing>
          <wp:inline distT="0" distB="0" distL="0" distR="0" wp14:anchorId="3627DFD1" wp14:editId="32C2251A">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9E5B66" w:rsidRPr="007E4CE6" w:rsidRDefault="009E5B66">
      <w:pPr>
        <w:rPr>
          <w:b/>
        </w:rPr>
      </w:pPr>
    </w:p>
    <w:p w:rsidR="00D006C7" w:rsidRPr="00523858" w:rsidRDefault="00523858" w:rsidP="006107A2">
      <w:pPr>
        <w:jc w:val="center"/>
        <w:rPr>
          <w:rFonts w:eastAsia="HelenPro-Regular"/>
          <w:b/>
          <w:sz w:val="28"/>
          <w:szCs w:val="28"/>
        </w:rPr>
      </w:pPr>
      <w:r w:rsidRPr="00523858">
        <w:rPr>
          <w:rFonts w:eastAsia="HelenPro-Regular"/>
          <w:b/>
          <w:sz w:val="28"/>
          <w:szCs w:val="28"/>
        </w:rPr>
        <w:t>CEA</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6A5580" w:rsidRPr="006A5580" w:rsidRDefault="006A5580" w:rsidP="006A5580">
      <w:pPr>
        <w:autoSpaceDE w:val="0"/>
        <w:autoSpaceDN w:val="0"/>
        <w:adjustRightInd w:val="0"/>
        <w:rPr>
          <w:rFonts w:eastAsia="HelenPro-Regular"/>
        </w:rPr>
      </w:pPr>
      <w:r w:rsidRPr="006A5580">
        <w:rPr>
          <w:rFonts w:eastAsia="HelenPro-Regular"/>
        </w:rPr>
        <w:t>The ARCHITECT CEA assay is a</w:t>
      </w:r>
      <w:r>
        <w:rPr>
          <w:rFonts w:eastAsia="HelenPro-Regular"/>
        </w:rPr>
        <w:t xml:space="preserve"> </w:t>
      </w:r>
      <w:proofErr w:type="spellStart"/>
      <w:r>
        <w:rPr>
          <w:rFonts w:eastAsia="HelenPro-Regular"/>
        </w:rPr>
        <w:t>Chemiluminescent</w:t>
      </w:r>
      <w:proofErr w:type="spellEnd"/>
      <w:r>
        <w:rPr>
          <w:rFonts w:eastAsia="HelenPro-Regular"/>
        </w:rPr>
        <w:t xml:space="preserve"> </w:t>
      </w:r>
      <w:proofErr w:type="spellStart"/>
      <w:r>
        <w:rPr>
          <w:rFonts w:eastAsia="HelenPro-Regular"/>
        </w:rPr>
        <w:t>Microparticle</w:t>
      </w:r>
      <w:proofErr w:type="spellEnd"/>
      <w:r>
        <w:rPr>
          <w:rFonts w:eastAsia="HelenPro-Regular"/>
        </w:rPr>
        <w:t xml:space="preserve"> </w:t>
      </w:r>
      <w:r w:rsidRPr="006A5580">
        <w:rPr>
          <w:rFonts w:eastAsia="HelenPro-Regular"/>
        </w:rPr>
        <w:t>Immunoassay (CMIA) for the quantitative determination of</w:t>
      </w:r>
      <w:r>
        <w:rPr>
          <w:rFonts w:eastAsia="HelenPro-Regular"/>
        </w:rPr>
        <w:t xml:space="preserve"> </w:t>
      </w:r>
      <w:proofErr w:type="spellStart"/>
      <w:r w:rsidRPr="006A5580">
        <w:rPr>
          <w:rFonts w:eastAsia="HelenPro-Regular"/>
        </w:rPr>
        <w:t>Carcinoembryonic</w:t>
      </w:r>
      <w:proofErr w:type="spellEnd"/>
      <w:r w:rsidRPr="006A5580">
        <w:rPr>
          <w:rFonts w:eastAsia="HelenPro-Regular"/>
        </w:rPr>
        <w:t xml:space="preserve"> Antigen (CEA) in human serum and plasma. The</w:t>
      </w:r>
    </w:p>
    <w:p w:rsidR="004A03BD" w:rsidRPr="00920353" w:rsidRDefault="006A5580" w:rsidP="006A5580">
      <w:pPr>
        <w:autoSpaceDE w:val="0"/>
        <w:autoSpaceDN w:val="0"/>
        <w:adjustRightInd w:val="0"/>
        <w:rPr>
          <w:rFonts w:eastAsia="HelenPro-Regular"/>
        </w:rPr>
      </w:pPr>
      <w:r w:rsidRPr="006A5580">
        <w:rPr>
          <w:rFonts w:eastAsia="HelenPro-Regular"/>
        </w:rPr>
        <w:t>ARCHITECT CEA assay is to be used</w:t>
      </w:r>
      <w:r>
        <w:rPr>
          <w:rFonts w:eastAsia="HelenPro-Regular"/>
        </w:rPr>
        <w:t xml:space="preserve"> as an aid in the prognosis and </w:t>
      </w:r>
      <w:r w:rsidRPr="006A5580">
        <w:rPr>
          <w:rFonts w:eastAsia="HelenPro-Regular"/>
        </w:rPr>
        <w:t>management of cancer patients in whom changing concentrations of CEA</w:t>
      </w:r>
      <w:r>
        <w:rPr>
          <w:rFonts w:eastAsia="HelenPro-Regular"/>
        </w:rPr>
        <w:t xml:space="preserve"> </w:t>
      </w:r>
      <w:r w:rsidRPr="006A5580">
        <w:rPr>
          <w:rFonts w:eastAsia="HelenPro-Regular"/>
        </w:rPr>
        <w:t>are observed.</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6A5580" w:rsidRPr="006A5580" w:rsidRDefault="006A5580" w:rsidP="006A5580">
      <w:pPr>
        <w:autoSpaceDE w:val="0"/>
        <w:autoSpaceDN w:val="0"/>
        <w:adjustRightInd w:val="0"/>
        <w:rPr>
          <w:rFonts w:eastAsia="HelenPro-Regular"/>
        </w:rPr>
      </w:pPr>
      <w:proofErr w:type="spellStart"/>
      <w:r w:rsidRPr="006A5580">
        <w:rPr>
          <w:rFonts w:eastAsia="HelenPro-Regular"/>
        </w:rPr>
        <w:t>Carcinoembryonic</w:t>
      </w:r>
      <w:proofErr w:type="spellEnd"/>
      <w:r w:rsidRPr="006A5580">
        <w:rPr>
          <w:rFonts w:eastAsia="HelenPro-Regular"/>
        </w:rPr>
        <w:t xml:space="preserve"> antigen (C</w:t>
      </w:r>
      <w:r>
        <w:rPr>
          <w:rFonts w:eastAsia="HelenPro-Regular"/>
        </w:rPr>
        <w:t xml:space="preserve">EA), first described in 1965 by </w:t>
      </w:r>
      <w:r w:rsidRPr="006A5580">
        <w:rPr>
          <w:rFonts w:eastAsia="HelenPro-Regular"/>
        </w:rPr>
        <w:t>Gold and Freedman, is a tumor associated antigen. CEA was</w:t>
      </w:r>
      <w:r>
        <w:rPr>
          <w:rFonts w:eastAsia="HelenPro-Regular"/>
        </w:rPr>
        <w:t xml:space="preserve"> </w:t>
      </w:r>
      <w:r w:rsidRPr="006A5580">
        <w:rPr>
          <w:rFonts w:eastAsia="HelenPro-Regular"/>
        </w:rPr>
        <w:t>characterized as a glycoprotein of approximately 200,000 molecular</w:t>
      </w:r>
      <w:r>
        <w:rPr>
          <w:rFonts w:eastAsia="HelenPro-Regular"/>
        </w:rPr>
        <w:t xml:space="preserve"> </w:t>
      </w:r>
      <w:r w:rsidRPr="006A5580">
        <w:rPr>
          <w:rFonts w:eastAsia="HelenPro-Regular"/>
        </w:rPr>
        <w:t>weight with a β-electrophoretic mobility. Subsequent development of a</w:t>
      </w:r>
      <w:r>
        <w:rPr>
          <w:rFonts w:eastAsia="HelenPro-Regular"/>
        </w:rPr>
        <w:t xml:space="preserve"> </w:t>
      </w:r>
      <w:r w:rsidRPr="006A5580">
        <w:rPr>
          <w:rFonts w:eastAsia="HelenPro-Regular"/>
        </w:rPr>
        <w:t xml:space="preserve">radioimmunoassay (RIA) by Thomson, </w:t>
      </w:r>
      <w:r w:rsidRPr="006A5580">
        <w:rPr>
          <w:rFonts w:eastAsia="HelenPro-Regular"/>
          <w:i/>
          <w:iCs/>
        </w:rPr>
        <w:t xml:space="preserve">et al </w:t>
      </w:r>
      <w:r w:rsidRPr="006A5580">
        <w:rPr>
          <w:rFonts w:eastAsia="HelenPro-Regular"/>
        </w:rPr>
        <w:t>made it possible to detect</w:t>
      </w:r>
      <w:r>
        <w:rPr>
          <w:rFonts w:eastAsia="HelenPro-Regular"/>
        </w:rPr>
        <w:t xml:space="preserve"> </w:t>
      </w:r>
      <w:r w:rsidRPr="006A5580">
        <w:rPr>
          <w:rFonts w:eastAsia="HelenPro-Regular"/>
        </w:rPr>
        <w:t>the very low concentrations of CEA in blood, other body fluids, and also in</w:t>
      </w:r>
      <w:r>
        <w:rPr>
          <w:rFonts w:eastAsia="HelenPro-Regular"/>
        </w:rPr>
        <w:t xml:space="preserve"> </w:t>
      </w:r>
      <w:r w:rsidRPr="006A5580">
        <w:rPr>
          <w:rFonts w:eastAsia="HelenPro-Regular"/>
        </w:rPr>
        <w:t xml:space="preserve">normal and diseased tissues. Two years later, Hansen, </w:t>
      </w:r>
      <w:r w:rsidRPr="006A5580">
        <w:rPr>
          <w:rFonts w:eastAsia="HelenPro-Regular"/>
          <w:i/>
          <w:iCs/>
        </w:rPr>
        <w:t xml:space="preserve">et al </w:t>
      </w:r>
      <w:r w:rsidRPr="006A5580">
        <w:rPr>
          <w:rFonts w:eastAsia="HelenPro-Regular"/>
        </w:rPr>
        <w:t>developed</w:t>
      </w:r>
      <w:r>
        <w:rPr>
          <w:rFonts w:eastAsia="HelenPro-Regular"/>
        </w:rPr>
        <w:t xml:space="preserve"> </w:t>
      </w:r>
      <w:r w:rsidRPr="006A5580">
        <w:rPr>
          <w:rFonts w:eastAsia="HelenPro-Regular"/>
        </w:rPr>
        <w:t>a modified RIA for CEA.</w:t>
      </w:r>
    </w:p>
    <w:p w:rsidR="006A5580" w:rsidRPr="006A5580" w:rsidRDefault="006A5580" w:rsidP="006A5580">
      <w:pPr>
        <w:autoSpaceDE w:val="0"/>
        <w:autoSpaceDN w:val="0"/>
        <w:adjustRightInd w:val="0"/>
        <w:rPr>
          <w:rFonts w:eastAsia="HelenPro-Regular"/>
        </w:rPr>
      </w:pPr>
      <w:r w:rsidRPr="006A5580">
        <w:rPr>
          <w:rFonts w:eastAsia="HelenPro-Regular"/>
        </w:rPr>
        <w:t>The result of clinical studies to date indicat</w:t>
      </w:r>
      <w:r>
        <w:rPr>
          <w:rFonts w:eastAsia="HelenPro-Regular"/>
        </w:rPr>
        <w:t xml:space="preserve">e that CEA, although originally </w:t>
      </w:r>
      <w:r w:rsidRPr="006A5580">
        <w:rPr>
          <w:rFonts w:eastAsia="HelenPro-Regular"/>
        </w:rPr>
        <w:t>thought to be specific for digestive tract cancers, may also be elevated in</w:t>
      </w:r>
      <w:r>
        <w:rPr>
          <w:rFonts w:eastAsia="HelenPro-Regular"/>
        </w:rPr>
        <w:t xml:space="preserve"> </w:t>
      </w:r>
      <w:r w:rsidRPr="006A5580">
        <w:rPr>
          <w:rFonts w:eastAsia="HelenPro-Regular"/>
        </w:rPr>
        <w:t>other malignancies and in some nonmalignant disorders.</w:t>
      </w:r>
    </w:p>
    <w:p w:rsidR="006A5580" w:rsidRPr="006A5580" w:rsidRDefault="006A5580" w:rsidP="006A5580">
      <w:pPr>
        <w:autoSpaceDE w:val="0"/>
        <w:autoSpaceDN w:val="0"/>
        <w:adjustRightInd w:val="0"/>
        <w:rPr>
          <w:rFonts w:eastAsia="HelenPro-Regular"/>
        </w:rPr>
      </w:pPr>
      <w:r w:rsidRPr="006A5580">
        <w:rPr>
          <w:rFonts w:eastAsia="HelenPro-Regular"/>
        </w:rPr>
        <w:t>CEA testing can have significant value in the monit</w:t>
      </w:r>
      <w:r>
        <w:rPr>
          <w:rFonts w:eastAsia="HelenPro-Regular"/>
        </w:rPr>
        <w:t xml:space="preserve">oring of patients with </w:t>
      </w:r>
      <w:r w:rsidRPr="006A5580">
        <w:rPr>
          <w:rFonts w:eastAsia="HelenPro-Regular"/>
        </w:rPr>
        <w:t>diagnosed malignancies in whom changing concentrations of CEA are</w:t>
      </w:r>
      <w:r>
        <w:rPr>
          <w:rFonts w:eastAsia="HelenPro-Regular"/>
        </w:rPr>
        <w:t xml:space="preserve"> </w:t>
      </w:r>
      <w:r w:rsidRPr="006A5580">
        <w:rPr>
          <w:rFonts w:eastAsia="HelenPro-Regular"/>
        </w:rPr>
        <w:t>observed. A persistent elevation in circulating CEA following treatment is</w:t>
      </w:r>
      <w:r>
        <w:rPr>
          <w:rFonts w:eastAsia="HelenPro-Regular"/>
        </w:rPr>
        <w:t xml:space="preserve"> </w:t>
      </w:r>
      <w:r w:rsidRPr="006A5580">
        <w:rPr>
          <w:rFonts w:eastAsia="HelenPro-Regular"/>
        </w:rPr>
        <w:t>strongly indicative of occult metastatic and/or residual disease.</w:t>
      </w:r>
    </w:p>
    <w:p w:rsidR="006A5580" w:rsidRPr="006A5580" w:rsidRDefault="006A5580" w:rsidP="006A5580">
      <w:pPr>
        <w:autoSpaceDE w:val="0"/>
        <w:autoSpaceDN w:val="0"/>
        <w:adjustRightInd w:val="0"/>
        <w:rPr>
          <w:rFonts w:eastAsia="HelenPro-Regular"/>
        </w:rPr>
      </w:pPr>
      <w:r w:rsidRPr="006A5580">
        <w:rPr>
          <w:rFonts w:eastAsia="HelenPro-Regular"/>
        </w:rPr>
        <w:t>A persistently rising CEA value may</w:t>
      </w:r>
      <w:r>
        <w:rPr>
          <w:rFonts w:eastAsia="HelenPro-Regular"/>
        </w:rPr>
        <w:t xml:space="preserve"> be associated with progressive </w:t>
      </w:r>
      <w:r w:rsidRPr="006A5580">
        <w:rPr>
          <w:rFonts w:eastAsia="HelenPro-Regular"/>
        </w:rPr>
        <w:t>malignant disease and a poor therapeutic response. A declining CEA</w:t>
      </w:r>
      <w:r>
        <w:rPr>
          <w:rFonts w:eastAsia="HelenPro-Regular"/>
        </w:rPr>
        <w:t xml:space="preserve"> </w:t>
      </w:r>
      <w:r w:rsidRPr="006A5580">
        <w:rPr>
          <w:rFonts w:eastAsia="HelenPro-Regular"/>
        </w:rPr>
        <w:t>value is generally indicative of a favorable prognosis and a good response</w:t>
      </w:r>
      <w:r>
        <w:rPr>
          <w:rFonts w:eastAsia="HelenPro-Regular"/>
        </w:rPr>
        <w:t xml:space="preserve"> </w:t>
      </w:r>
      <w:r w:rsidRPr="006A5580">
        <w:rPr>
          <w:rFonts w:eastAsia="HelenPro-Regular"/>
        </w:rPr>
        <w:t xml:space="preserve">to treatment. Patients who have low </w:t>
      </w:r>
      <w:proofErr w:type="spellStart"/>
      <w:r w:rsidRPr="006A5580">
        <w:rPr>
          <w:rFonts w:eastAsia="HelenPro-Regular"/>
        </w:rPr>
        <w:t>pretherapy</w:t>
      </w:r>
      <w:proofErr w:type="spellEnd"/>
      <w:r w:rsidRPr="006A5580">
        <w:rPr>
          <w:rFonts w:eastAsia="HelenPro-Regular"/>
        </w:rPr>
        <w:t xml:space="preserve"> CEA levels may</w:t>
      </w:r>
      <w:r>
        <w:rPr>
          <w:rFonts w:eastAsia="HelenPro-Regular"/>
        </w:rPr>
        <w:t xml:space="preserve"> </w:t>
      </w:r>
      <w:r w:rsidRPr="006A5580">
        <w:rPr>
          <w:rFonts w:eastAsia="HelenPro-Regular"/>
        </w:rPr>
        <w:t>later show elevations in the CEA level as an indication of progressive</w:t>
      </w:r>
      <w:r>
        <w:rPr>
          <w:rFonts w:eastAsia="HelenPro-Regular"/>
        </w:rPr>
        <w:t xml:space="preserve"> </w:t>
      </w:r>
      <w:r w:rsidRPr="006A5580">
        <w:rPr>
          <w:rFonts w:eastAsia="HelenPro-Regular"/>
        </w:rPr>
        <w:t>disease.</w:t>
      </w:r>
    </w:p>
    <w:p w:rsidR="006A5580" w:rsidRPr="006A5580" w:rsidRDefault="006A5580" w:rsidP="006A5580">
      <w:pPr>
        <w:autoSpaceDE w:val="0"/>
        <w:autoSpaceDN w:val="0"/>
        <w:adjustRightInd w:val="0"/>
        <w:rPr>
          <w:rFonts w:eastAsia="HelenPro-Regular"/>
        </w:rPr>
      </w:pPr>
      <w:r w:rsidRPr="006A5580">
        <w:rPr>
          <w:rFonts w:eastAsia="HelenPro-Regular"/>
        </w:rPr>
        <w:t xml:space="preserve">Clinical relevance of the CEA assay </w:t>
      </w:r>
      <w:r>
        <w:rPr>
          <w:rFonts w:eastAsia="HelenPro-Regular"/>
        </w:rPr>
        <w:t xml:space="preserve">has been shown in the follow-up </w:t>
      </w:r>
      <w:r w:rsidRPr="006A5580">
        <w:rPr>
          <w:rFonts w:eastAsia="HelenPro-Regular"/>
        </w:rPr>
        <w:t>management of patients with colorectal, gastric, breast, lung, prostatic,</w:t>
      </w:r>
      <w:r>
        <w:rPr>
          <w:rFonts w:eastAsia="HelenPro-Regular"/>
        </w:rPr>
        <w:t xml:space="preserve"> </w:t>
      </w:r>
      <w:r w:rsidRPr="006A5580">
        <w:rPr>
          <w:rFonts w:eastAsia="HelenPro-Regular"/>
        </w:rPr>
        <w:t>pancreatic, and ovarian carcinoma. Follow-up studies of patients</w:t>
      </w:r>
      <w:r>
        <w:rPr>
          <w:rFonts w:eastAsia="HelenPro-Regular"/>
        </w:rPr>
        <w:t xml:space="preserve"> </w:t>
      </w:r>
      <w:r w:rsidRPr="006A5580">
        <w:rPr>
          <w:rFonts w:eastAsia="HelenPro-Regular"/>
        </w:rPr>
        <w:t>with colorectal, breast, and lung carcinoma suggest that the preoperative</w:t>
      </w:r>
      <w:r>
        <w:rPr>
          <w:rFonts w:eastAsia="HelenPro-Regular"/>
        </w:rPr>
        <w:t xml:space="preserve"> </w:t>
      </w:r>
      <w:r w:rsidRPr="006A5580">
        <w:rPr>
          <w:rFonts w:eastAsia="HelenPro-Regular"/>
        </w:rPr>
        <w:t>CEA level has prognostic significance.</w:t>
      </w:r>
    </w:p>
    <w:p w:rsidR="00D84ADA" w:rsidRPr="00C61A99" w:rsidRDefault="006A5580" w:rsidP="006A5580">
      <w:pPr>
        <w:autoSpaceDE w:val="0"/>
        <w:autoSpaceDN w:val="0"/>
        <w:adjustRightInd w:val="0"/>
        <w:rPr>
          <w:rFonts w:eastAsia="HelenPro-Regular"/>
        </w:rPr>
      </w:pPr>
      <w:r w:rsidRPr="006A5580">
        <w:rPr>
          <w:rFonts w:eastAsia="HelenPro-Regular"/>
        </w:rPr>
        <w:t xml:space="preserve">CEA testing is not recommended as </w:t>
      </w:r>
      <w:r>
        <w:rPr>
          <w:rFonts w:eastAsia="HelenPro-Regular"/>
        </w:rPr>
        <w:t xml:space="preserve">a screening procedure to detect </w:t>
      </w:r>
      <w:r w:rsidRPr="006A5580">
        <w:rPr>
          <w:rFonts w:eastAsia="HelenPro-Regular"/>
        </w:rPr>
        <w:t>cancer in the general population; however, use of the CEA test as an</w:t>
      </w:r>
      <w:r>
        <w:rPr>
          <w:rFonts w:eastAsia="HelenPro-Regular"/>
        </w:rPr>
        <w:t xml:space="preserve"> </w:t>
      </w:r>
      <w:r w:rsidRPr="006A5580">
        <w:rPr>
          <w:rFonts w:eastAsia="HelenPro-Regular"/>
        </w:rPr>
        <w:t>adjunctive test in predicting prognosis and as an aid in the management</w:t>
      </w:r>
      <w:r>
        <w:rPr>
          <w:rFonts w:eastAsia="HelenPro-Regular"/>
        </w:rPr>
        <w:t xml:space="preserve"> </w:t>
      </w:r>
      <w:r w:rsidRPr="006A5580">
        <w:rPr>
          <w:rFonts w:eastAsia="HelenPro-Regular"/>
        </w:rPr>
        <w:t>of cancer patients has been widely accepted.</w:t>
      </w:r>
    </w:p>
    <w:p w:rsidR="006A5580" w:rsidRDefault="006A5580" w:rsidP="008A7F96">
      <w:pPr>
        <w:jc w:val="both"/>
        <w:rPr>
          <w:b/>
          <w:sz w:val="28"/>
          <w:szCs w:val="28"/>
        </w:rPr>
      </w:pPr>
    </w:p>
    <w:p w:rsidR="006A5580" w:rsidRDefault="006A5580" w:rsidP="008A7F96">
      <w:pPr>
        <w:jc w:val="both"/>
        <w:rPr>
          <w:b/>
          <w:sz w:val="28"/>
          <w:szCs w:val="28"/>
        </w:rPr>
      </w:pPr>
    </w:p>
    <w:p w:rsidR="006A5580" w:rsidRDefault="006A5580" w:rsidP="008A7F96">
      <w:pPr>
        <w:jc w:val="both"/>
        <w:rPr>
          <w:b/>
          <w:sz w:val="28"/>
          <w:szCs w:val="28"/>
        </w:rPr>
      </w:pPr>
    </w:p>
    <w:p w:rsidR="006A5580" w:rsidRDefault="006A5580"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6A5580" w:rsidRPr="006A5580" w:rsidRDefault="006A5580" w:rsidP="006A5580">
      <w:pPr>
        <w:autoSpaceDE w:val="0"/>
        <w:autoSpaceDN w:val="0"/>
        <w:adjustRightInd w:val="0"/>
        <w:rPr>
          <w:rFonts w:eastAsia="HelenPro-Regular"/>
        </w:rPr>
      </w:pPr>
      <w:r>
        <w:rPr>
          <w:rFonts w:eastAsia="HelenPro-Regular"/>
        </w:rPr>
        <w:t>T</w:t>
      </w:r>
      <w:r w:rsidRPr="006A5580">
        <w:rPr>
          <w:rFonts w:eastAsia="HelenPro-Regular"/>
        </w:rPr>
        <w:t>he ARCHITECT CEA assay is a two-st</w:t>
      </w:r>
      <w:r>
        <w:rPr>
          <w:rFonts w:eastAsia="HelenPro-Regular"/>
        </w:rPr>
        <w:t xml:space="preserve">ep immunoassay to determine the </w:t>
      </w:r>
      <w:r w:rsidRPr="006A5580">
        <w:rPr>
          <w:rFonts w:eastAsia="HelenPro-Regular"/>
        </w:rPr>
        <w:t xml:space="preserve">presence of CEA in human serum and plasma, using </w:t>
      </w:r>
      <w:proofErr w:type="spellStart"/>
      <w:r w:rsidRPr="006A5580">
        <w:rPr>
          <w:rFonts w:eastAsia="HelenPro-Regular"/>
        </w:rPr>
        <w:t>Chemiluminescent</w:t>
      </w:r>
      <w:proofErr w:type="spellEnd"/>
      <w:r>
        <w:rPr>
          <w:rFonts w:eastAsia="HelenPro-Regular"/>
        </w:rPr>
        <w:t xml:space="preserve"> </w:t>
      </w:r>
      <w:proofErr w:type="spellStart"/>
      <w:r w:rsidRPr="006A5580">
        <w:rPr>
          <w:rFonts w:eastAsia="HelenPro-Regular"/>
        </w:rPr>
        <w:t>Microparticle</w:t>
      </w:r>
      <w:proofErr w:type="spellEnd"/>
      <w:r w:rsidRPr="006A5580">
        <w:rPr>
          <w:rFonts w:eastAsia="HelenPro-Regular"/>
        </w:rPr>
        <w:t xml:space="preserve"> Immunoassay (CMIA) technology with flexible assay</w:t>
      </w:r>
      <w:r>
        <w:rPr>
          <w:rFonts w:eastAsia="HelenPro-Regular"/>
        </w:rPr>
        <w:t xml:space="preserve"> </w:t>
      </w:r>
      <w:r w:rsidRPr="006A5580">
        <w:rPr>
          <w:rFonts w:eastAsia="HelenPro-Regular"/>
        </w:rPr>
        <w:t xml:space="preserve">protocols, referred to as </w:t>
      </w:r>
      <w:proofErr w:type="spellStart"/>
      <w:r w:rsidRPr="006A5580">
        <w:rPr>
          <w:rFonts w:eastAsia="HelenPro-Regular"/>
        </w:rPr>
        <w:t>Chemiflex</w:t>
      </w:r>
      <w:proofErr w:type="spellEnd"/>
      <w:r w:rsidRPr="006A5580">
        <w:rPr>
          <w:rFonts w:eastAsia="HelenPro-Regular"/>
        </w:rPr>
        <w:t>.</w:t>
      </w:r>
    </w:p>
    <w:p w:rsidR="006A5580" w:rsidRPr="006A5580" w:rsidRDefault="006A5580" w:rsidP="006A5580">
      <w:pPr>
        <w:autoSpaceDE w:val="0"/>
        <w:autoSpaceDN w:val="0"/>
        <w:adjustRightInd w:val="0"/>
        <w:rPr>
          <w:rFonts w:eastAsia="HelenPro-Regular"/>
        </w:rPr>
      </w:pPr>
      <w:r w:rsidRPr="006A5580">
        <w:rPr>
          <w:rFonts w:eastAsia="HelenPro-Regular"/>
        </w:rPr>
        <w:lastRenderedPageBreak/>
        <w:t>In the first step, sample and anti-CEA coa</w:t>
      </w:r>
      <w:r>
        <w:rPr>
          <w:rFonts w:eastAsia="HelenPro-Regular"/>
        </w:rPr>
        <w:t xml:space="preserve">ted paramagnetic </w:t>
      </w:r>
      <w:proofErr w:type="spellStart"/>
      <w:r>
        <w:rPr>
          <w:rFonts w:eastAsia="HelenPro-Regular"/>
        </w:rPr>
        <w:t>microparticles</w:t>
      </w:r>
      <w:proofErr w:type="spellEnd"/>
      <w:r>
        <w:rPr>
          <w:rFonts w:eastAsia="HelenPro-Regular"/>
        </w:rPr>
        <w:t xml:space="preserve"> </w:t>
      </w:r>
      <w:r w:rsidRPr="006A5580">
        <w:rPr>
          <w:rFonts w:eastAsia="HelenPro-Regular"/>
        </w:rPr>
        <w:t>are combined. CEA present in the sample binds to the anti-CEA coated</w:t>
      </w:r>
      <w:r>
        <w:rPr>
          <w:rFonts w:eastAsia="HelenPro-Regular"/>
        </w:rPr>
        <w:t xml:space="preserve"> </w:t>
      </w:r>
      <w:proofErr w:type="spellStart"/>
      <w:r w:rsidRPr="006A5580">
        <w:rPr>
          <w:rFonts w:eastAsia="HelenPro-Regular"/>
        </w:rPr>
        <w:t>microparticles</w:t>
      </w:r>
      <w:proofErr w:type="spellEnd"/>
      <w:r w:rsidRPr="006A5580">
        <w:rPr>
          <w:rFonts w:eastAsia="HelenPro-Regular"/>
        </w:rPr>
        <w:t xml:space="preserve">. After washing, anti-CEA </w:t>
      </w:r>
      <w:proofErr w:type="spellStart"/>
      <w:r w:rsidRPr="006A5580">
        <w:rPr>
          <w:rFonts w:eastAsia="HelenPro-Regular"/>
        </w:rPr>
        <w:t>acridinium</w:t>
      </w:r>
      <w:proofErr w:type="spellEnd"/>
      <w:r w:rsidRPr="006A5580">
        <w:rPr>
          <w:rFonts w:eastAsia="HelenPro-Regular"/>
        </w:rPr>
        <w:t>-labeled conjugate is</w:t>
      </w:r>
      <w:r>
        <w:rPr>
          <w:rFonts w:eastAsia="HelenPro-Regular"/>
        </w:rPr>
        <w:t xml:space="preserve"> </w:t>
      </w:r>
      <w:r w:rsidRPr="006A5580">
        <w:rPr>
          <w:rFonts w:eastAsia="HelenPro-Regular"/>
        </w:rPr>
        <w:t>added in the second step. Pre-Trigger and Trigger Solutions are then</w:t>
      </w:r>
      <w:r>
        <w:rPr>
          <w:rFonts w:eastAsia="HelenPro-Regular"/>
        </w:rPr>
        <w:t xml:space="preserve"> </w:t>
      </w:r>
      <w:r w:rsidRPr="006A5580">
        <w:rPr>
          <w:rFonts w:eastAsia="HelenPro-Regular"/>
        </w:rPr>
        <w:t xml:space="preserve">added to the reaction mixture; the resulting </w:t>
      </w:r>
      <w:proofErr w:type="spellStart"/>
      <w:r w:rsidRPr="006A5580">
        <w:rPr>
          <w:rFonts w:eastAsia="HelenPro-Regular"/>
        </w:rPr>
        <w:t>chemiluminescent</w:t>
      </w:r>
      <w:proofErr w:type="spellEnd"/>
      <w:r w:rsidRPr="006A5580">
        <w:rPr>
          <w:rFonts w:eastAsia="HelenPro-Regular"/>
        </w:rPr>
        <w:t xml:space="preserve"> reaction</w:t>
      </w:r>
      <w:r>
        <w:rPr>
          <w:rFonts w:eastAsia="HelenPro-Regular"/>
        </w:rPr>
        <w:t xml:space="preserve"> </w:t>
      </w:r>
      <w:r w:rsidRPr="006A5580">
        <w:rPr>
          <w:rFonts w:eastAsia="HelenPro-Regular"/>
        </w:rPr>
        <w:t>is measured as relative light units (RLUs). A direct relationship exists</w:t>
      </w:r>
      <w:r>
        <w:rPr>
          <w:rFonts w:eastAsia="HelenPro-Regular"/>
        </w:rPr>
        <w:t xml:space="preserve"> </w:t>
      </w:r>
      <w:r w:rsidRPr="006A5580">
        <w:rPr>
          <w:rFonts w:eastAsia="HelenPro-Regular"/>
        </w:rPr>
        <w:t>between the amount of CEA in the sample and the RLUs detected by the</w:t>
      </w:r>
    </w:p>
    <w:p w:rsidR="006A5580" w:rsidRPr="006A5580" w:rsidRDefault="006A5580" w:rsidP="006A5580">
      <w:pPr>
        <w:autoSpaceDE w:val="0"/>
        <w:autoSpaceDN w:val="0"/>
        <w:adjustRightInd w:val="0"/>
        <w:rPr>
          <w:rFonts w:eastAsia="HelenPro-Regular"/>
        </w:rPr>
      </w:pPr>
      <w:r w:rsidRPr="006A5580">
        <w:rPr>
          <w:rFonts w:eastAsia="HelenPro-Regular"/>
        </w:rPr>
        <w:t xml:space="preserve">ARCHITECT </w:t>
      </w:r>
      <w:proofErr w:type="spellStart"/>
      <w:r w:rsidRPr="006A5580">
        <w:rPr>
          <w:rFonts w:eastAsia="HelenPro-Regular"/>
          <w:i/>
          <w:iCs/>
        </w:rPr>
        <w:t>i</w:t>
      </w:r>
      <w:proofErr w:type="spellEnd"/>
      <w:r>
        <w:rPr>
          <w:rFonts w:eastAsia="HelenPro-Regular"/>
        </w:rPr>
        <w:t xml:space="preserve">* optical system. </w:t>
      </w:r>
      <w:r w:rsidRPr="006A5580">
        <w:rPr>
          <w:rFonts w:eastAsia="HelenPro-Regular"/>
        </w:rPr>
        <w:t>For additional information on system and assay technology refer to the</w:t>
      </w:r>
    </w:p>
    <w:p w:rsidR="006A5580" w:rsidRPr="006A5580" w:rsidRDefault="006A5580" w:rsidP="006A5580">
      <w:pPr>
        <w:autoSpaceDE w:val="0"/>
        <w:autoSpaceDN w:val="0"/>
        <w:adjustRightInd w:val="0"/>
        <w:rPr>
          <w:rFonts w:eastAsia="HelenPro-Regular"/>
        </w:rPr>
      </w:pPr>
      <w:r w:rsidRPr="006A5580">
        <w:rPr>
          <w:rFonts w:eastAsia="HelenPro-Regular"/>
        </w:rPr>
        <w:t>ARCHITECT System Operations Manual, Section 3.</w:t>
      </w:r>
    </w:p>
    <w:p w:rsidR="00C61A99" w:rsidRPr="006A5580" w:rsidRDefault="006A5580" w:rsidP="006A5580">
      <w:pPr>
        <w:autoSpaceDE w:val="0"/>
        <w:autoSpaceDN w:val="0"/>
        <w:adjustRightInd w:val="0"/>
        <w:rPr>
          <w:rFonts w:eastAsia="HelenPro-Regular"/>
        </w:rPr>
      </w:pPr>
      <w:r w:rsidRPr="006A5580">
        <w:rPr>
          <w:rFonts w:eastAsia="HelenPro-Regular"/>
        </w:rPr>
        <w:t xml:space="preserve">* </w:t>
      </w:r>
      <w:proofErr w:type="spellStart"/>
      <w:r w:rsidRPr="006A5580">
        <w:rPr>
          <w:rFonts w:eastAsia="HelenPro-Regular"/>
          <w:i/>
          <w:iCs/>
        </w:rPr>
        <w:t>i</w:t>
      </w:r>
      <w:proofErr w:type="spellEnd"/>
      <w:r w:rsidRPr="006A5580">
        <w:rPr>
          <w:rFonts w:eastAsia="HelenPro-Regular"/>
          <w:i/>
          <w:iCs/>
        </w:rPr>
        <w:t xml:space="preserve"> </w:t>
      </w:r>
      <w:r w:rsidRPr="006A5580">
        <w:rPr>
          <w:rFonts w:eastAsia="HelenPro-Regular"/>
        </w:rPr>
        <w:t>= immunoassay</w:t>
      </w:r>
    </w:p>
    <w:p w:rsidR="00C61A99" w:rsidRPr="00C61A99" w:rsidRDefault="00C61A99" w:rsidP="00C61A99">
      <w:pPr>
        <w:autoSpaceDE w:val="0"/>
        <w:autoSpaceDN w:val="0"/>
        <w:adjustRightInd w:val="0"/>
        <w:rPr>
          <w:rFonts w:eastAsia="HelenPro-Regular"/>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6A5580" w:rsidRPr="006A5580" w:rsidRDefault="006A5580" w:rsidP="006A5580">
      <w:pPr>
        <w:autoSpaceDE w:val="0"/>
        <w:autoSpaceDN w:val="0"/>
        <w:adjustRightInd w:val="0"/>
        <w:rPr>
          <w:rFonts w:eastAsia="HelenPro-Regular"/>
        </w:rPr>
      </w:pPr>
      <w:r w:rsidRPr="006A5580">
        <w:rPr>
          <w:rFonts w:eastAsia="HelenPro-Regular"/>
        </w:rPr>
        <w:t xml:space="preserve">Human serum and plasma collected </w:t>
      </w:r>
      <w:r>
        <w:rPr>
          <w:rFonts w:eastAsia="HelenPro-Regular"/>
        </w:rPr>
        <w:t xml:space="preserve">in heparin (sodium and lithium) </w:t>
      </w:r>
      <w:r w:rsidRPr="006A5580">
        <w:rPr>
          <w:rFonts w:eastAsia="HelenPro-Regular"/>
        </w:rPr>
        <w:t>or potassium EDTA may be used in the ARCHITECT CEA assay.</w:t>
      </w:r>
      <w:r>
        <w:rPr>
          <w:rFonts w:eastAsia="HelenPro-Regular"/>
        </w:rPr>
        <w:t xml:space="preserve"> </w:t>
      </w:r>
      <w:r w:rsidRPr="006A5580">
        <w:rPr>
          <w:rFonts w:eastAsia="HelenPro-Regular"/>
        </w:rPr>
        <w:t>Follow the tube manufacturer’s processing instructions for serum and</w:t>
      </w:r>
      <w:r>
        <w:rPr>
          <w:rFonts w:eastAsia="HelenPro-Regular"/>
        </w:rPr>
        <w:t xml:space="preserve"> </w:t>
      </w:r>
      <w:r w:rsidRPr="006A5580">
        <w:rPr>
          <w:rFonts w:eastAsia="HelenPro-Regular"/>
        </w:rPr>
        <w:t>plasma collection tubes.</w:t>
      </w:r>
    </w:p>
    <w:p w:rsidR="006A5580" w:rsidRPr="006A5580" w:rsidRDefault="006A5580" w:rsidP="006A5580">
      <w:pPr>
        <w:autoSpaceDE w:val="0"/>
        <w:autoSpaceDN w:val="0"/>
        <w:adjustRightInd w:val="0"/>
        <w:ind w:left="720"/>
        <w:rPr>
          <w:rFonts w:eastAsia="HelenPro-Regular"/>
        </w:rPr>
      </w:pPr>
      <w:r w:rsidRPr="006A5580">
        <w:rPr>
          <w:rFonts w:eastAsia="HelenPro-Bold"/>
          <w:b/>
          <w:bCs/>
        </w:rPr>
        <w:t xml:space="preserve">• </w:t>
      </w:r>
      <w:r w:rsidRPr="006A5580">
        <w:rPr>
          <w:rFonts w:eastAsia="HelenPro-Regular"/>
        </w:rPr>
        <w:t>Plasma specimens collected in lith</w:t>
      </w:r>
      <w:r>
        <w:rPr>
          <w:rFonts w:eastAsia="HelenPro-Regular"/>
        </w:rPr>
        <w:t xml:space="preserve">ium or sodium heparin have been </w:t>
      </w:r>
      <w:r w:rsidRPr="006A5580">
        <w:rPr>
          <w:rFonts w:eastAsia="HelenPro-Regular"/>
        </w:rPr>
        <w:t>shown to exhibit an average of 7% to 8% higher results compared to</w:t>
      </w:r>
      <w:r>
        <w:rPr>
          <w:rFonts w:eastAsia="HelenPro-Regular"/>
        </w:rPr>
        <w:t xml:space="preserve"> </w:t>
      </w:r>
      <w:r w:rsidRPr="006A5580">
        <w:rPr>
          <w:rFonts w:eastAsia="HelenPro-Regular"/>
        </w:rPr>
        <w:t>corresponding serum results.</w:t>
      </w:r>
    </w:p>
    <w:p w:rsidR="006A5580" w:rsidRPr="006A5580" w:rsidRDefault="006A5580" w:rsidP="006A5580">
      <w:pPr>
        <w:autoSpaceDE w:val="0"/>
        <w:autoSpaceDN w:val="0"/>
        <w:adjustRightInd w:val="0"/>
        <w:ind w:left="720"/>
        <w:rPr>
          <w:rFonts w:eastAsia="HelenPro-Regular"/>
        </w:rPr>
      </w:pPr>
      <w:r w:rsidRPr="006A5580">
        <w:rPr>
          <w:rFonts w:eastAsia="HelenPro-Bold"/>
          <w:b/>
          <w:bCs/>
        </w:rPr>
        <w:t xml:space="preserve">• </w:t>
      </w:r>
      <w:r w:rsidRPr="006A5580">
        <w:rPr>
          <w:rFonts w:eastAsia="HelenPro-Regular"/>
        </w:rPr>
        <w:t>When serial specimens are be</w:t>
      </w:r>
      <w:r>
        <w:rPr>
          <w:rFonts w:eastAsia="HelenPro-Regular"/>
        </w:rPr>
        <w:t xml:space="preserve">ing evaluated, the same type of </w:t>
      </w:r>
      <w:r w:rsidRPr="006A5580">
        <w:rPr>
          <w:rFonts w:eastAsia="HelenPro-Regular"/>
        </w:rPr>
        <w:t>specimen should be used throughout the study.</w:t>
      </w:r>
    </w:p>
    <w:p w:rsidR="006A5580" w:rsidRPr="006A5580" w:rsidRDefault="006A5580" w:rsidP="006A5580">
      <w:pPr>
        <w:autoSpaceDE w:val="0"/>
        <w:autoSpaceDN w:val="0"/>
        <w:adjustRightInd w:val="0"/>
        <w:ind w:left="720"/>
        <w:rPr>
          <w:rFonts w:eastAsia="HelenPro-Regular"/>
        </w:rPr>
      </w:pPr>
      <w:r w:rsidRPr="006A5580">
        <w:rPr>
          <w:rFonts w:eastAsia="HelenPro-Bold"/>
          <w:b/>
          <w:bCs/>
        </w:rPr>
        <w:t xml:space="preserve">• </w:t>
      </w:r>
      <w:r w:rsidRPr="006A5580">
        <w:rPr>
          <w:rFonts w:eastAsia="HelenPro-Regular"/>
        </w:rPr>
        <w:t xml:space="preserve">The ARCHITECT </w:t>
      </w:r>
      <w:proofErr w:type="spellStart"/>
      <w:r w:rsidRPr="006A5580">
        <w:rPr>
          <w:rFonts w:eastAsia="HelenPro-Regular"/>
          <w:i/>
          <w:iCs/>
        </w:rPr>
        <w:t>i</w:t>
      </w:r>
      <w:proofErr w:type="spellEnd"/>
      <w:r w:rsidRPr="006A5580">
        <w:rPr>
          <w:rFonts w:eastAsia="HelenPro-Regular"/>
          <w:i/>
          <w:iCs/>
        </w:rPr>
        <w:t xml:space="preserve"> </w:t>
      </w:r>
      <w:r w:rsidRPr="006A5580">
        <w:rPr>
          <w:rFonts w:eastAsia="HelenPro-Regular"/>
        </w:rPr>
        <w:t>System does not p</w:t>
      </w:r>
      <w:r>
        <w:rPr>
          <w:rFonts w:eastAsia="HelenPro-Regular"/>
        </w:rPr>
        <w:t xml:space="preserve">rovide the capability to verify </w:t>
      </w:r>
      <w:r w:rsidRPr="006A5580">
        <w:rPr>
          <w:rFonts w:eastAsia="HelenPro-Regular"/>
        </w:rPr>
        <w:t>the specimen type. It is the responsibility of the operator to verify</w:t>
      </w:r>
      <w:r>
        <w:rPr>
          <w:rFonts w:eastAsia="HelenPro-Regular"/>
        </w:rPr>
        <w:t xml:space="preserve"> </w:t>
      </w:r>
      <w:r w:rsidRPr="006A5580">
        <w:rPr>
          <w:rFonts w:eastAsia="HelenPro-Regular"/>
        </w:rPr>
        <w:t>the correct specimen types are used in the ARCHITECT CEA assay.</w:t>
      </w:r>
    </w:p>
    <w:p w:rsidR="006A5580" w:rsidRPr="006A5580" w:rsidRDefault="006A5580" w:rsidP="006A5580">
      <w:pPr>
        <w:autoSpaceDE w:val="0"/>
        <w:autoSpaceDN w:val="0"/>
        <w:adjustRightInd w:val="0"/>
        <w:ind w:left="720"/>
        <w:rPr>
          <w:rFonts w:eastAsia="HelenPro-Regular"/>
        </w:rPr>
      </w:pPr>
      <w:r w:rsidRPr="006A5580">
        <w:rPr>
          <w:rFonts w:eastAsia="HelenPro-Bold"/>
          <w:b/>
          <w:bCs/>
        </w:rPr>
        <w:t xml:space="preserve">• </w:t>
      </w:r>
      <w:r w:rsidRPr="006A5580">
        <w:rPr>
          <w:rFonts w:eastAsia="HelenPro-Regular"/>
        </w:rPr>
        <w:t>Use caution when handling pat</w:t>
      </w:r>
      <w:r>
        <w:rPr>
          <w:rFonts w:eastAsia="HelenPro-Regular"/>
        </w:rPr>
        <w:t xml:space="preserve">ient specimens to prevent cross </w:t>
      </w:r>
      <w:r w:rsidRPr="006A5580">
        <w:rPr>
          <w:rFonts w:eastAsia="HelenPro-Regular"/>
        </w:rPr>
        <w:t>contamination. Use of disposable pipettes or pipette tips is</w:t>
      </w:r>
      <w:r>
        <w:rPr>
          <w:rFonts w:eastAsia="HelenPro-Regular"/>
        </w:rPr>
        <w:t xml:space="preserve"> </w:t>
      </w:r>
      <w:r w:rsidRPr="006A5580">
        <w:rPr>
          <w:rFonts w:eastAsia="HelenPro-Regular"/>
        </w:rPr>
        <w:t>recommended.</w:t>
      </w:r>
    </w:p>
    <w:p w:rsidR="002C2F49" w:rsidRPr="006A5580" w:rsidRDefault="006A5580" w:rsidP="006A5580">
      <w:pPr>
        <w:autoSpaceDE w:val="0"/>
        <w:autoSpaceDN w:val="0"/>
        <w:adjustRightInd w:val="0"/>
        <w:ind w:left="720"/>
        <w:rPr>
          <w:rFonts w:eastAsia="HelenPro-Regular"/>
          <w:b/>
        </w:rPr>
      </w:pPr>
      <w:r w:rsidRPr="006A5580">
        <w:rPr>
          <w:rFonts w:eastAsia="HelenPro-Bold"/>
          <w:b/>
          <w:bCs/>
        </w:rPr>
        <w:t xml:space="preserve">• </w:t>
      </w:r>
      <w:r w:rsidRPr="006A5580">
        <w:rPr>
          <w:rFonts w:eastAsia="HelenPro-Regular"/>
        </w:rPr>
        <w:t xml:space="preserve">Do not use grossly </w:t>
      </w:r>
      <w:proofErr w:type="spellStart"/>
      <w:r w:rsidRPr="006A5580">
        <w:rPr>
          <w:rFonts w:eastAsia="HelenPro-Regular"/>
        </w:rPr>
        <w:t>hemolyzed</w:t>
      </w:r>
      <w:proofErr w:type="spellEnd"/>
      <w:r w:rsidRPr="006A5580">
        <w:rPr>
          <w:rFonts w:eastAsia="HelenPro-Regular"/>
        </w:rPr>
        <w:t xml:space="preserve"> specimens.</w:t>
      </w:r>
    </w:p>
    <w:p w:rsidR="00DC16C5" w:rsidRPr="006A5580" w:rsidRDefault="00DC16C5" w:rsidP="00DC16C5">
      <w:pPr>
        <w:autoSpaceDE w:val="0"/>
        <w:autoSpaceDN w:val="0"/>
        <w:adjustRightInd w:val="0"/>
        <w:rPr>
          <w:rFonts w:eastAsia="HelenPro-Regular"/>
          <w:b/>
        </w:rPr>
      </w:pPr>
      <w:r w:rsidRPr="006A5580">
        <w:rPr>
          <w:rFonts w:eastAsia="HelenPro-Regular"/>
          <w:b/>
        </w:rPr>
        <w:t>Specimen Storage</w:t>
      </w:r>
    </w:p>
    <w:p w:rsidR="00BA3154" w:rsidRPr="006A5580" w:rsidRDefault="006A5580" w:rsidP="006A5580">
      <w:pPr>
        <w:autoSpaceDE w:val="0"/>
        <w:autoSpaceDN w:val="0"/>
        <w:adjustRightInd w:val="0"/>
        <w:rPr>
          <w:rFonts w:eastAsia="HelenPro-Regular"/>
        </w:rPr>
      </w:pPr>
      <w:r w:rsidRPr="006A5580">
        <w:rPr>
          <w:rFonts w:eastAsia="HelenPro-Regular"/>
        </w:rPr>
        <w:t>If testing will be delayed more</w:t>
      </w:r>
      <w:r>
        <w:rPr>
          <w:rFonts w:eastAsia="HelenPro-Regular"/>
        </w:rPr>
        <w:t xml:space="preserve"> than 24 hours, serum or plasma </w:t>
      </w:r>
      <w:r w:rsidRPr="006A5580">
        <w:rPr>
          <w:rFonts w:eastAsia="HelenPro-Regular"/>
        </w:rPr>
        <w:t>should be removed from the clot, serum separator, or red blood cells.</w:t>
      </w:r>
      <w:r>
        <w:rPr>
          <w:rFonts w:eastAsia="HelenPro-Regular"/>
        </w:rPr>
        <w:t xml:space="preserve"> </w:t>
      </w:r>
      <w:r w:rsidRPr="006A5580">
        <w:rPr>
          <w:rFonts w:eastAsia="HelenPro-Regular"/>
        </w:rPr>
        <w:t>Specimens may be stored for up to 7 days at 2-8°C prior to being</w:t>
      </w:r>
      <w:r>
        <w:rPr>
          <w:rFonts w:eastAsia="HelenPro-Regular"/>
        </w:rPr>
        <w:t xml:space="preserve"> </w:t>
      </w:r>
      <w:r w:rsidRPr="006A5580">
        <w:rPr>
          <w:rFonts w:eastAsia="HelenPro-Regular"/>
        </w:rPr>
        <w:t>tested. If testing will be delayed more than 7 days, specimens should</w:t>
      </w:r>
      <w:r>
        <w:rPr>
          <w:rFonts w:eastAsia="HelenPro-Regular"/>
        </w:rPr>
        <w:t xml:space="preserve"> </w:t>
      </w:r>
      <w:r w:rsidRPr="006A5580">
        <w:rPr>
          <w:rFonts w:eastAsia="HelenPro-Regular"/>
        </w:rPr>
        <w:t>be stored/frozen at - 20°C or colder.</w:t>
      </w:r>
    </w:p>
    <w:p w:rsidR="00920353" w:rsidRDefault="0092035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C61A99" w:rsidRPr="006A5580" w:rsidRDefault="006A5580" w:rsidP="00973EAF">
      <w:pPr>
        <w:ind w:firstLine="720"/>
        <w:rPr>
          <w:b/>
        </w:rPr>
      </w:pPr>
      <w:r w:rsidRPr="006A5580">
        <w:rPr>
          <w:rFonts w:eastAsia="HelenPro-Regular"/>
        </w:rPr>
        <w:t>7K68 ARCHITECT CEA Reagent Kit</w:t>
      </w: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C406ED" w:rsidRPr="006A5580">
        <w:rPr>
          <w:rFonts w:eastAsia="HelenPro-Regular"/>
        </w:rPr>
        <w:t xml:space="preserve">CEA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835A84" w:rsidRPr="006A5580" w:rsidRDefault="00835A84" w:rsidP="00835A84">
      <w:pPr>
        <w:autoSpaceDE w:val="0"/>
        <w:autoSpaceDN w:val="0"/>
        <w:adjustRightInd w:val="0"/>
        <w:rPr>
          <w:rFonts w:eastAsia="HelenPro-Regular"/>
        </w:rPr>
      </w:pPr>
      <w:r w:rsidRPr="00924391">
        <w:rPr>
          <w:rFonts w:eastAsia="HelenPro-Bold"/>
          <w:b/>
          <w:bCs/>
        </w:rPr>
        <w:t>•</w:t>
      </w:r>
      <w:r w:rsidRPr="00924391">
        <w:rPr>
          <w:rFonts w:eastAsia="HelenPro-Regular"/>
        </w:rPr>
        <w:t xml:space="preserve"> </w:t>
      </w:r>
      <w:r w:rsidR="006A5580" w:rsidRPr="006A5580">
        <w:rPr>
          <w:rFonts w:eastAsia="HelenPro-Regular"/>
        </w:rPr>
        <w:t>7K68-02 ARCHITECT CEA Calibrators</w:t>
      </w:r>
    </w:p>
    <w:p w:rsidR="00835A84" w:rsidRPr="00C61A99" w:rsidRDefault="00835A84" w:rsidP="00C61A99">
      <w:pPr>
        <w:autoSpaceDE w:val="0"/>
        <w:autoSpaceDN w:val="0"/>
        <w:adjustRightInd w:val="0"/>
        <w:rPr>
          <w:rFonts w:eastAsia="HelenPro-Regular"/>
        </w:rPr>
      </w:pPr>
      <w:r w:rsidRPr="006A5580">
        <w:rPr>
          <w:rFonts w:eastAsia="HelenPro-Bold"/>
          <w:b/>
          <w:bCs/>
        </w:rPr>
        <w:t>•</w:t>
      </w:r>
      <w:r w:rsidRPr="006A5580">
        <w:rPr>
          <w:rFonts w:eastAsia="HelenPro-Regular"/>
        </w:rPr>
        <w:t xml:space="preserve"> </w:t>
      </w:r>
      <w:r w:rsidR="006A5580" w:rsidRPr="006A5580">
        <w:rPr>
          <w:rFonts w:eastAsia="HelenPro-Regular"/>
        </w:rPr>
        <w:t>7K68-12 ARCHITECT CEA Controls</w:t>
      </w:r>
      <w:r w:rsidR="006A5580" w:rsidRPr="00C61A99">
        <w:rPr>
          <w:rFonts w:eastAsia="HelenPro-Regular"/>
        </w:rPr>
        <w:t xml:space="preserve"> </w:t>
      </w:r>
      <w:r w:rsidR="00C61A99" w:rsidRPr="00C61A99">
        <w:rPr>
          <w:rFonts w:eastAsia="HelenPro-Regular"/>
        </w:rPr>
        <w:t>or other co</w:t>
      </w:r>
      <w:r w:rsidR="00C61A99">
        <w:rPr>
          <w:rFonts w:eastAsia="HelenPro-Regular"/>
        </w:rPr>
        <w:t xml:space="preserve">mmercial </w:t>
      </w:r>
      <w:r w:rsidR="00C61A99" w:rsidRPr="00C61A99">
        <w:rPr>
          <w:rFonts w:eastAsia="HelenPro-Regular"/>
        </w:rPr>
        <w:t>controls</w:t>
      </w:r>
    </w:p>
    <w:p w:rsidR="008036AC" w:rsidRPr="00B54C79" w:rsidRDefault="00B54C79" w:rsidP="00835A84">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lastRenderedPageBreak/>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765A01" w:rsidRDefault="00765A01"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920353">
      <w:pPr>
        <w:autoSpaceDE w:val="0"/>
        <w:autoSpaceDN w:val="0"/>
        <w:adjustRightInd w:val="0"/>
        <w:ind w:firstLine="360"/>
        <w:rPr>
          <w:rFonts w:eastAsia="HelenPro-Bold"/>
          <w:b/>
          <w:bCs/>
        </w:rPr>
      </w:pPr>
      <w:r w:rsidRPr="00C32412">
        <w:rPr>
          <w:rFonts w:eastAsia="HelenPro-Bold"/>
          <w:b/>
          <w:bCs/>
        </w:rPr>
        <w:t>Reagent Storage</w:t>
      </w:r>
    </w:p>
    <w:p w:rsidR="006A5580" w:rsidRPr="006A5580" w:rsidRDefault="006A5580" w:rsidP="006A5580">
      <w:pPr>
        <w:pStyle w:val="ListParagraph"/>
        <w:numPr>
          <w:ilvl w:val="0"/>
          <w:numId w:val="31"/>
        </w:numPr>
        <w:autoSpaceDE w:val="0"/>
        <w:autoSpaceDN w:val="0"/>
        <w:adjustRightInd w:val="0"/>
        <w:rPr>
          <w:rFonts w:eastAsia="HelenPro-Regular"/>
        </w:rPr>
      </w:pPr>
      <w:r w:rsidRPr="006A5580">
        <w:rPr>
          <w:rFonts w:eastAsia="HelenPro-Regular"/>
        </w:rPr>
        <w:t>The ARCHITECT CEA Reagent Kit must be stored at 2-8°C and may be used immediately after removal from 2-8°C storage.</w:t>
      </w:r>
    </w:p>
    <w:p w:rsidR="006A5580" w:rsidRPr="006A5580" w:rsidRDefault="006A5580" w:rsidP="006A5580">
      <w:pPr>
        <w:pStyle w:val="ListParagraph"/>
        <w:numPr>
          <w:ilvl w:val="0"/>
          <w:numId w:val="31"/>
        </w:numPr>
        <w:autoSpaceDE w:val="0"/>
        <w:autoSpaceDN w:val="0"/>
        <w:adjustRightInd w:val="0"/>
        <w:rPr>
          <w:rFonts w:eastAsia="HelenPro-Regular"/>
        </w:rPr>
      </w:pPr>
      <w:r w:rsidRPr="006A5580">
        <w:rPr>
          <w:rFonts w:eastAsia="HelenPro-Regular"/>
        </w:rPr>
        <w:t>When stored and handled as directed, reagents are stable until the expiration date.</w:t>
      </w:r>
    </w:p>
    <w:p w:rsidR="00920353" w:rsidRPr="006A5580" w:rsidRDefault="006A5580" w:rsidP="006A5580">
      <w:pPr>
        <w:pStyle w:val="ListParagraph"/>
        <w:numPr>
          <w:ilvl w:val="0"/>
          <w:numId w:val="31"/>
        </w:numPr>
        <w:autoSpaceDE w:val="0"/>
        <w:autoSpaceDN w:val="0"/>
        <w:adjustRightInd w:val="0"/>
        <w:rPr>
          <w:rFonts w:eastAsia="HelenPro-Regular"/>
        </w:rPr>
      </w:pPr>
      <w:r w:rsidRPr="006A5580">
        <w:rPr>
          <w:rFonts w:eastAsia="HelenPro-Regular"/>
        </w:rPr>
        <w:t xml:space="preserve">The ARCHITECT CEA Reagent Kit may be stored on-board the ARCHITECT </w:t>
      </w:r>
      <w:proofErr w:type="spellStart"/>
      <w:r w:rsidRPr="006A5580">
        <w:rPr>
          <w:rFonts w:eastAsia="HelenPro-Regular"/>
          <w:i/>
          <w:iCs/>
        </w:rPr>
        <w:t>i</w:t>
      </w:r>
      <w:proofErr w:type="spellEnd"/>
      <w:r w:rsidRPr="006A5580">
        <w:rPr>
          <w:rFonts w:eastAsia="HelenPro-Regular"/>
          <w:i/>
          <w:iCs/>
        </w:rPr>
        <w:t xml:space="preserve"> </w:t>
      </w:r>
      <w:r w:rsidRPr="006A5580">
        <w:rPr>
          <w:rFonts w:eastAsia="HelenPro-Regular"/>
        </w:rPr>
        <w:t>System for a maximum of 30 days. After 30 days, the reagent kit must be discarded. For information on tracking on-board time, refer to the ARCHITECT System Operations Manual, Section 5.</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 xml:space="preserve">not remain upright (with </w:t>
      </w:r>
      <w:r w:rsidRPr="00B54C79">
        <w:rPr>
          <w:rFonts w:eastAsia="HelenPro-Bold"/>
          <w:b/>
          <w:bCs/>
        </w:rPr>
        <w:lastRenderedPageBreak/>
        <w:t>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184D0E" w:rsidP="009F648F">
      <w:pPr>
        <w:pStyle w:val="txt"/>
        <w:ind w:left="0"/>
        <w:rPr>
          <w:sz w:val="24"/>
          <w:szCs w:val="24"/>
        </w:rPr>
      </w:pPr>
      <w:r w:rsidRPr="00184D0E">
        <w:rPr>
          <w:noProof/>
        </w:rPr>
        <w:t xml:space="preserve"> </w:t>
      </w:r>
      <w:r w:rsidR="006A5580">
        <w:rPr>
          <w:noProof/>
        </w:rPr>
        <w:drawing>
          <wp:inline distT="0" distB="0" distL="0" distR="0" wp14:anchorId="78ECC37F" wp14:editId="6EEBDF41">
            <wp:extent cx="4229100" cy="29241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29100" cy="2924175"/>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0" cy="1590675"/>
                    </a:xfrm>
                    <a:prstGeom prst="rect">
                      <a:avLst/>
                    </a:prstGeom>
                  </pic:spPr>
                </pic:pic>
              </a:graphicData>
            </a:graphic>
          </wp:inline>
        </w:drawing>
      </w:r>
    </w:p>
    <w:p w:rsidR="00507B0C" w:rsidRPr="00BA3154" w:rsidRDefault="00B36577" w:rsidP="00BA3154">
      <w:pPr>
        <w:autoSpaceDE w:val="0"/>
        <w:autoSpaceDN w:val="0"/>
        <w:adjustRightInd w:val="0"/>
      </w:pPr>
      <w:r w:rsidRPr="00100BF8">
        <w:rPr>
          <w:b/>
        </w:rPr>
        <w:t>Calibrator:</w:t>
      </w:r>
      <w:r w:rsidRPr="00100BF8">
        <w:t xml:space="preserve">  </w:t>
      </w:r>
      <w:r w:rsidR="006A5580" w:rsidRPr="006A5580">
        <w:rPr>
          <w:rFonts w:eastAsia="HelenPro-Regular"/>
        </w:rPr>
        <w:t>7K68-02 ARCHITECT CEA Calibrators</w:t>
      </w:r>
    </w:p>
    <w:p w:rsidR="00BA3154" w:rsidRDefault="00BA3154" w:rsidP="00973EAF">
      <w:pPr>
        <w:spacing w:after="43"/>
        <w:rPr>
          <w:b/>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6A5580">
        <w:rPr>
          <w:rFonts w:eastAsia="HelenPro-Regular"/>
        </w:rPr>
        <w:t>7K68-1</w:t>
      </w:r>
      <w:r w:rsidR="006A5580" w:rsidRPr="006A5580">
        <w:rPr>
          <w:rFonts w:eastAsia="HelenPro-Regular"/>
        </w:rPr>
        <w:t xml:space="preserve">2 ARCHITECT CEA </w:t>
      </w:r>
      <w:r w:rsidR="006A5580">
        <w:rPr>
          <w:rFonts w:eastAsia="HelenPro-Regular"/>
        </w:rPr>
        <w:t>Controls</w:t>
      </w:r>
      <w:r w:rsidR="006A5580" w:rsidRPr="00C61A99">
        <w:rPr>
          <w:rFonts w:eastAsia="HelenPro-Regular"/>
        </w:rPr>
        <w:t xml:space="preserve"> </w:t>
      </w:r>
      <w:r w:rsidR="00C61A99" w:rsidRPr="00C61A99">
        <w:rPr>
          <w:rFonts w:eastAsia="HelenPro-Regular"/>
        </w:rPr>
        <w:t>or other co</w:t>
      </w:r>
      <w:r w:rsidR="00C61A99">
        <w:rPr>
          <w:rFonts w:eastAsia="HelenPro-Regular"/>
        </w:rPr>
        <w:t xml:space="preserve">mmercial </w:t>
      </w:r>
      <w:r w:rsidR="00C61A99" w:rsidRPr="00C61A99">
        <w:rPr>
          <w:rFonts w:eastAsia="HelenPro-Regular"/>
        </w:rPr>
        <w:t>controls</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lastRenderedPageBreak/>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6A5580" w:rsidRDefault="006A5580" w:rsidP="004F5F8A">
      <w:pPr>
        <w:ind w:firstLine="720"/>
        <w:rPr>
          <w:b/>
        </w:rPr>
      </w:pPr>
      <w:r w:rsidRPr="006A5580">
        <w:rPr>
          <w:rFonts w:eastAsia="HelenPro-Regular"/>
        </w:rPr>
        <w:t>7K68-02 ARCHITECT CEA Calibrators</w:t>
      </w:r>
      <w:r w:rsidRPr="0025031C">
        <w:rPr>
          <w:b/>
        </w:rPr>
        <w:t xml:space="preserve"> </w:t>
      </w:r>
    </w:p>
    <w:p w:rsidR="006A5580" w:rsidRDefault="006A5580" w:rsidP="004F5F8A">
      <w:pPr>
        <w:ind w:firstLine="720"/>
        <w:rPr>
          <w:b/>
        </w:rPr>
      </w:pPr>
    </w:p>
    <w:p w:rsidR="0025031C" w:rsidRPr="0025031C" w:rsidRDefault="0025031C" w:rsidP="004F5F8A">
      <w:pPr>
        <w:ind w:firstLine="720"/>
        <w:rPr>
          <w:b/>
        </w:rPr>
      </w:pPr>
      <w:r w:rsidRPr="0025031C">
        <w:rPr>
          <w:b/>
        </w:rPr>
        <w:t>Reagents:</w:t>
      </w:r>
    </w:p>
    <w:p w:rsidR="001528ED" w:rsidRPr="00F91971" w:rsidRDefault="00F91971" w:rsidP="00F91971">
      <w:pPr>
        <w:autoSpaceDE w:val="0"/>
        <w:autoSpaceDN w:val="0"/>
        <w:adjustRightInd w:val="0"/>
        <w:ind w:left="720"/>
        <w:rPr>
          <w:rFonts w:eastAsia="HelenPro-Regular"/>
        </w:rPr>
      </w:pPr>
      <w:r w:rsidRPr="00F91971">
        <w:rPr>
          <w:rFonts w:eastAsia="HelenPro-Regular"/>
        </w:rPr>
        <w:t>2 Bottles (4.0 mL each) of ARCHITECT CEA Calibrators. Calibrator 1</w:t>
      </w:r>
      <w:r>
        <w:rPr>
          <w:rFonts w:eastAsia="HelenPro-Regular"/>
        </w:rPr>
        <w:t xml:space="preserve"> </w:t>
      </w:r>
      <w:r w:rsidRPr="00F91971">
        <w:rPr>
          <w:rFonts w:eastAsia="HelenPro-Regular"/>
        </w:rPr>
        <w:t>contains phosphate buffer with protein (bovine) stabilizer;</w:t>
      </w:r>
      <w:r>
        <w:rPr>
          <w:rFonts w:eastAsia="HelenPro-Regular"/>
        </w:rPr>
        <w:t xml:space="preserve"> Calibrator 2 </w:t>
      </w:r>
      <w:r w:rsidRPr="00F91971">
        <w:rPr>
          <w:rFonts w:eastAsia="HelenPro-Regular"/>
        </w:rPr>
        <w:t>contains CEA (human) prepared in phosphate buffer</w:t>
      </w:r>
      <w:r>
        <w:rPr>
          <w:rFonts w:eastAsia="HelenPro-Regular"/>
        </w:rPr>
        <w:t xml:space="preserve"> </w:t>
      </w:r>
      <w:r w:rsidRPr="00F91971">
        <w:rPr>
          <w:rFonts w:eastAsia="HelenPro-Regular"/>
        </w:rPr>
        <w:t>with protein (bovine) stabilizer. Preservative: Antimicrobial Agents.</w:t>
      </w:r>
    </w:p>
    <w:p w:rsidR="00765A01" w:rsidRDefault="00765A01" w:rsidP="00F3700B">
      <w:pPr>
        <w:ind w:left="720"/>
        <w:rPr>
          <w:b/>
        </w:rPr>
      </w:pPr>
    </w:p>
    <w:p w:rsidR="00F3700B" w:rsidRPr="00765A01" w:rsidRDefault="0037463A" w:rsidP="00F3700B">
      <w:pPr>
        <w:ind w:left="720"/>
        <w:rPr>
          <w:b/>
        </w:rPr>
      </w:pPr>
      <w:r w:rsidRPr="00765A01">
        <w:rPr>
          <w:b/>
        </w:rPr>
        <w:t xml:space="preserve">Calibrator Preparation: </w:t>
      </w:r>
    </w:p>
    <w:p w:rsidR="002578A2" w:rsidRPr="00765A01" w:rsidRDefault="00F91971" w:rsidP="00765A01">
      <w:pPr>
        <w:autoSpaceDE w:val="0"/>
        <w:autoSpaceDN w:val="0"/>
        <w:adjustRightInd w:val="0"/>
        <w:ind w:left="720"/>
        <w:rPr>
          <w:rFonts w:eastAsia="HelenPro-Regular"/>
        </w:rPr>
      </w:pPr>
      <w:r>
        <w:rPr>
          <w:rFonts w:eastAsia="HelenPro-Regular"/>
        </w:rPr>
        <w:t>Ready for use.</w:t>
      </w:r>
    </w:p>
    <w:p w:rsidR="00E234B4" w:rsidRPr="001528ED" w:rsidRDefault="00E234B4"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6A5580" w:rsidRPr="006A5580" w:rsidRDefault="006A5580" w:rsidP="006A5580">
      <w:pPr>
        <w:autoSpaceDE w:val="0"/>
        <w:autoSpaceDN w:val="0"/>
        <w:adjustRightInd w:val="0"/>
        <w:ind w:left="720"/>
        <w:rPr>
          <w:rFonts w:eastAsia="HelenPro-Regular"/>
        </w:rPr>
      </w:pPr>
      <w:r w:rsidRPr="006A5580">
        <w:rPr>
          <w:rFonts w:eastAsia="HelenPro-Regular"/>
        </w:rPr>
        <w:t>To perform an ARCHITECT CEA calibrati</w:t>
      </w:r>
      <w:r>
        <w:rPr>
          <w:rFonts w:eastAsia="HelenPro-Regular"/>
        </w:rPr>
        <w:t xml:space="preserve">on, test calibrators 1 and 2 in </w:t>
      </w:r>
      <w:r w:rsidRPr="006A5580">
        <w:rPr>
          <w:rFonts w:eastAsia="HelenPro-Regular"/>
        </w:rPr>
        <w:t>duplicate. A single sample of all levels of CEA controls must be tested</w:t>
      </w:r>
      <w:r>
        <w:rPr>
          <w:rFonts w:eastAsia="HelenPro-Regular"/>
        </w:rPr>
        <w:t xml:space="preserve"> </w:t>
      </w:r>
      <w:r w:rsidRPr="006A5580">
        <w:rPr>
          <w:rFonts w:eastAsia="HelenPro-Regular"/>
        </w:rPr>
        <w:t>to evaluate the assay calibration. Ensure that assay control values</w:t>
      </w:r>
      <w:r>
        <w:rPr>
          <w:rFonts w:eastAsia="HelenPro-Regular"/>
        </w:rPr>
        <w:t xml:space="preserve"> </w:t>
      </w:r>
      <w:r w:rsidRPr="006A5580">
        <w:rPr>
          <w:rFonts w:eastAsia="HelenPro-Regular"/>
        </w:rPr>
        <w:t>are within the concentration ranges specified in the control package</w:t>
      </w:r>
      <w:r>
        <w:rPr>
          <w:rFonts w:eastAsia="HelenPro-Regular"/>
        </w:rPr>
        <w:t xml:space="preserve"> </w:t>
      </w:r>
      <w:r w:rsidRPr="006A5580">
        <w:rPr>
          <w:rFonts w:eastAsia="HelenPro-Regular"/>
        </w:rPr>
        <w:t>insert. Calibrators should be priority loaded.</w:t>
      </w:r>
    </w:p>
    <w:p w:rsidR="006A5580" w:rsidRPr="006A5580" w:rsidRDefault="006A5580" w:rsidP="006A5580">
      <w:pPr>
        <w:autoSpaceDE w:val="0"/>
        <w:autoSpaceDN w:val="0"/>
        <w:adjustRightInd w:val="0"/>
        <w:ind w:left="1440"/>
        <w:rPr>
          <w:rFonts w:eastAsia="HelenPro-Regular"/>
        </w:rPr>
      </w:pPr>
      <w:r w:rsidRPr="006A5580">
        <w:rPr>
          <w:rFonts w:eastAsia="HelenPro-Bold"/>
          <w:b/>
          <w:bCs/>
        </w:rPr>
        <w:t xml:space="preserve">• </w:t>
      </w:r>
      <w:r w:rsidRPr="006A5580">
        <w:rPr>
          <w:rFonts w:eastAsia="HelenPro-Regular"/>
        </w:rPr>
        <w:t xml:space="preserve">Calibration range: 0 - 500 </w:t>
      </w:r>
      <w:proofErr w:type="spellStart"/>
      <w:r w:rsidRPr="006A5580">
        <w:rPr>
          <w:rFonts w:eastAsia="HelenPro-Regular"/>
        </w:rPr>
        <w:t>ng</w:t>
      </w:r>
      <w:proofErr w:type="spellEnd"/>
      <w:r w:rsidRPr="006A5580">
        <w:rPr>
          <w:rFonts w:eastAsia="HelenPro-Regular"/>
        </w:rPr>
        <w:t>/</w:t>
      </w:r>
      <w:proofErr w:type="spellStart"/>
      <w:r w:rsidRPr="006A5580">
        <w:rPr>
          <w:rFonts w:eastAsia="HelenPro-Regular"/>
        </w:rPr>
        <w:t>mL.</w:t>
      </w:r>
      <w:proofErr w:type="spellEnd"/>
    </w:p>
    <w:p w:rsidR="00470CE6" w:rsidRPr="006A5580" w:rsidRDefault="006A5580" w:rsidP="006A5580">
      <w:pPr>
        <w:ind w:left="1440"/>
        <w:rPr>
          <w:b/>
          <w:bCs/>
        </w:rPr>
      </w:pPr>
      <w:r w:rsidRPr="006A5580">
        <w:rPr>
          <w:rFonts w:eastAsia="HelenPro-Bold"/>
          <w:b/>
          <w:bCs/>
        </w:rPr>
        <w:t xml:space="preserve">• </w:t>
      </w:r>
      <w:r w:rsidRPr="006A5580">
        <w:rPr>
          <w:rFonts w:eastAsia="HelenPro-Regular"/>
        </w:rPr>
        <w:t xml:space="preserve">The assay protocol allows for the range to be extended to 1500 </w:t>
      </w:r>
      <w:proofErr w:type="spellStart"/>
      <w:r w:rsidRPr="006A5580">
        <w:rPr>
          <w:rFonts w:eastAsia="HelenPro-Regular"/>
        </w:rPr>
        <w:t>ng</w:t>
      </w:r>
      <w:proofErr w:type="spellEnd"/>
      <w:r w:rsidRPr="006A5580">
        <w:rPr>
          <w:rFonts w:eastAsia="HelenPro-Regular"/>
        </w:rPr>
        <w:t>/</w:t>
      </w:r>
      <w:proofErr w:type="spellStart"/>
      <w:r w:rsidRPr="006A5580">
        <w:rPr>
          <w:rFonts w:eastAsia="HelenPro-Regular"/>
        </w:rPr>
        <w:t>mL.</w:t>
      </w:r>
      <w:proofErr w:type="spellEnd"/>
    </w:p>
    <w:p w:rsidR="00C61A99" w:rsidRDefault="00C61A99"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F91971">
        <w:rPr>
          <w:rFonts w:eastAsia="HelenPro-Regular"/>
        </w:rPr>
        <w:t>CEA</w:t>
      </w:r>
      <w:r w:rsidRPr="003356DF">
        <w:rPr>
          <w:rFonts w:eastAsia="HelenPro-Regular"/>
        </w:rPr>
        <w:t xml:space="preserve"> assay is designed for use on the ARCHITECT </w:t>
      </w:r>
      <w:proofErr w:type="spellStart"/>
      <w:r w:rsidRPr="003356DF">
        <w:rPr>
          <w:rFonts w:eastAsia="HelenPro-Bold"/>
          <w:i/>
          <w:iCs/>
        </w:rPr>
        <w:t>i</w:t>
      </w:r>
      <w:proofErr w:type="spellEnd"/>
      <w:r w:rsidRPr="003356DF">
        <w:rPr>
          <w:rFonts w:eastAsia="HelenPro-Bold"/>
          <w:i/>
          <w:iCs/>
        </w:rPr>
        <w:t xml:space="preserve"> </w:t>
      </w:r>
      <w:r w:rsidR="00184D0E">
        <w:rPr>
          <w:rFonts w:eastAsia="HelenPro-Regular"/>
        </w:rPr>
        <w:t xml:space="preserve">System </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F91971">
        <w:rPr>
          <w:rFonts w:eastAsia="HelenPro-Regular"/>
        </w:rPr>
        <w:t>CEA</w:t>
      </w:r>
      <w:r w:rsidR="00126B1C" w:rsidRPr="003356DF">
        <w:rPr>
          <w:rFonts w:eastAsia="HelenPro-Regular"/>
        </w:rPr>
        <w:t xml:space="preserve">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lastRenderedPageBreak/>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91971" w:rsidP="002C7FD5">
      <w:pPr>
        <w:rPr>
          <w:b/>
        </w:rPr>
      </w:pPr>
      <w:r>
        <w:rPr>
          <w:noProof/>
        </w:rPr>
        <w:drawing>
          <wp:inline distT="0" distB="0" distL="0" distR="0" wp14:anchorId="6241860D" wp14:editId="20E89AF6">
            <wp:extent cx="4257675" cy="367665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57675" cy="3676650"/>
                    </a:xfrm>
                    <a:prstGeom prst="rect">
                      <a:avLst/>
                    </a:prstGeom>
                  </pic:spPr>
                </pic:pic>
              </a:graphicData>
            </a:graphic>
          </wp:inline>
        </w:drawing>
      </w:r>
    </w:p>
    <w:p w:rsidR="003356DF" w:rsidRDefault="00F91971" w:rsidP="002C7FD5">
      <w:pPr>
        <w:rPr>
          <w:b/>
        </w:rPr>
      </w:pPr>
      <w:r>
        <w:rPr>
          <w:noProof/>
        </w:rPr>
        <w:lastRenderedPageBreak/>
        <w:drawing>
          <wp:inline distT="0" distB="0" distL="0" distR="0" wp14:anchorId="452E3748" wp14:editId="6C4460CD">
            <wp:extent cx="4248150" cy="54578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48150" cy="5457825"/>
                    </a:xfrm>
                    <a:prstGeom prst="rect">
                      <a:avLst/>
                    </a:prstGeom>
                  </pic:spPr>
                </pic:pic>
              </a:graphicData>
            </a:graphic>
          </wp:inline>
        </w:drawing>
      </w:r>
    </w:p>
    <w:p w:rsidR="00F91971" w:rsidRDefault="00F91971" w:rsidP="002C7FD5">
      <w:pPr>
        <w:rPr>
          <w:b/>
        </w:rPr>
      </w:pPr>
      <w:r>
        <w:rPr>
          <w:noProof/>
        </w:rPr>
        <w:drawing>
          <wp:inline distT="0" distB="0" distL="0" distR="0" wp14:anchorId="23A10978" wp14:editId="19101385">
            <wp:extent cx="4257675" cy="11715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57675" cy="1171575"/>
                    </a:xfrm>
                    <a:prstGeom prst="rect">
                      <a:avLst/>
                    </a:prstGeom>
                  </pic:spPr>
                </pic:pic>
              </a:graphicData>
            </a:graphic>
          </wp:inline>
        </w:drawing>
      </w:r>
    </w:p>
    <w:p w:rsidR="00FA706C" w:rsidRDefault="00FA706C" w:rsidP="002C7FD5">
      <w:pPr>
        <w:rPr>
          <w:b/>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91971" w:rsidRPr="00F91971" w:rsidRDefault="00F91971" w:rsidP="00C3571A">
      <w:pPr>
        <w:autoSpaceDE w:val="0"/>
        <w:autoSpaceDN w:val="0"/>
        <w:adjustRightInd w:val="0"/>
        <w:rPr>
          <w:rFonts w:eastAsia="HelenPro-Regular"/>
          <w:b/>
        </w:rPr>
      </w:pPr>
      <w:r w:rsidRPr="00F91971">
        <w:rPr>
          <w:rFonts w:eastAsia="HelenPro-Regular"/>
        </w:rPr>
        <w:t xml:space="preserve">The default result unit for the ARCHITECT CEA assay is </w:t>
      </w:r>
      <w:proofErr w:type="spellStart"/>
      <w:r w:rsidRPr="00F91971">
        <w:rPr>
          <w:rFonts w:eastAsia="HelenPro-Regular"/>
        </w:rPr>
        <w:t>ng</w:t>
      </w:r>
      <w:proofErr w:type="spellEnd"/>
      <w:r w:rsidRPr="00F91971">
        <w:rPr>
          <w:rFonts w:eastAsia="HelenPro-Regular"/>
        </w:rPr>
        <w:t>/</w:t>
      </w:r>
      <w:proofErr w:type="spellStart"/>
      <w:r w:rsidRPr="00F91971">
        <w:rPr>
          <w:rFonts w:eastAsia="HelenPro-Regular"/>
        </w:rPr>
        <w:t>mL.</w:t>
      </w:r>
      <w:proofErr w:type="spellEnd"/>
      <w:r w:rsidRPr="00F91971">
        <w:rPr>
          <w:rFonts w:eastAsia="HelenPro-Regular"/>
          <w:b/>
        </w:rPr>
        <w:t xml:space="preserve"> </w:t>
      </w:r>
    </w:p>
    <w:p w:rsidR="00F91971" w:rsidRDefault="00F91971"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765A01" w:rsidRDefault="00765A01" w:rsidP="00AB793D">
      <w:pPr>
        <w:rPr>
          <w:rFonts w:ascii="Arial" w:hAnsi="Arial" w:cs="Arial"/>
          <w:b/>
          <w:bCs/>
          <w:sz w:val="28"/>
          <w:szCs w:val="28"/>
        </w:rPr>
      </w:pPr>
    </w:p>
    <w:p w:rsidR="00912FE4" w:rsidRPr="00912FE4" w:rsidRDefault="00912FE4" w:rsidP="00AB793D">
      <w:pPr>
        <w:rPr>
          <w:rFonts w:ascii="Arial" w:hAnsi="Arial" w:cs="Arial"/>
          <w:b/>
          <w:bCs/>
          <w:sz w:val="28"/>
          <w:szCs w:val="28"/>
        </w:rPr>
      </w:pPr>
      <w:r w:rsidRPr="00912FE4">
        <w:rPr>
          <w:rFonts w:ascii="Arial" w:hAnsi="Arial" w:cs="Arial"/>
          <w:b/>
          <w:bCs/>
          <w:sz w:val="28"/>
          <w:szCs w:val="28"/>
        </w:rPr>
        <w:lastRenderedPageBreak/>
        <w:t>Specific Performance Characteristics</w:t>
      </w:r>
      <w:r w:rsidR="00D60AFA">
        <w:rPr>
          <w:rFonts w:ascii="Arial" w:hAnsi="Arial" w:cs="Arial"/>
          <w:b/>
          <w:bCs/>
          <w:sz w:val="28"/>
          <w:szCs w:val="28"/>
        </w:rPr>
        <w:t xml:space="preserve"> </w:t>
      </w:r>
    </w:p>
    <w:p w:rsidR="00CE2DC7" w:rsidRDefault="002648A6" w:rsidP="00AB793D">
      <w:pPr>
        <w:rPr>
          <w:rFonts w:ascii="Arial" w:hAnsi="Arial" w:cs="Arial"/>
          <w:b/>
          <w:bCs/>
        </w:rPr>
      </w:pPr>
      <w:r>
        <w:rPr>
          <w:rFonts w:ascii="Arial" w:hAnsi="Arial" w:cs="Arial"/>
          <w:b/>
          <w:bCs/>
        </w:rPr>
        <w:t>Expected Values</w:t>
      </w:r>
      <w:r w:rsidR="00D60AFA">
        <w:rPr>
          <w:rFonts w:ascii="Arial" w:hAnsi="Arial" w:cs="Arial"/>
          <w:b/>
          <w:bCs/>
        </w:rPr>
        <w:t xml:space="preserve"> </w:t>
      </w:r>
    </w:p>
    <w:p w:rsidR="0055619E" w:rsidRDefault="006D40ED" w:rsidP="006D40ED">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317056" w:rsidRDefault="00317056" w:rsidP="00AB793D">
      <w:pPr>
        <w:rPr>
          <w:rFonts w:ascii="Arial" w:hAnsi="Arial" w:cs="Arial"/>
          <w:b/>
          <w:bCs/>
        </w:rPr>
      </w:pPr>
    </w:p>
    <w:p w:rsidR="00A554D4" w:rsidRDefault="00A554D4" w:rsidP="00AB793D">
      <w:pPr>
        <w:rPr>
          <w:rFonts w:ascii="Arial" w:hAnsi="Arial" w:cs="Arial"/>
          <w:b/>
          <w:bCs/>
        </w:rPr>
      </w:pPr>
      <w:r w:rsidRPr="00003750">
        <w:rPr>
          <w:rFonts w:ascii="Arial" w:hAnsi="Arial" w:cs="Arial"/>
          <w:b/>
          <w:bCs/>
        </w:rPr>
        <w:t>Serum/Plasma</w:t>
      </w:r>
      <w:r w:rsidR="0038442D">
        <w:rPr>
          <w:rFonts w:ascii="Arial" w:hAnsi="Arial" w:cs="Arial"/>
          <w:b/>
          <w:bCs/>
        </w:rPr>
        <w:t xml:space="preserve"> </w:t>
      </w:r>
      <w:r w:rsidR="00246FA8">
        <w:rPr>
          <w:rFonts w:ascii="Arial" w:hAnsi="Arial" w:cs="Arial"/>
          <w:b/>
          <w:bCs/>
        </w:rPr>
        <w:t>(Abbott Package Insert)</w:t>
      </w:r>
    </w:p>
    <w:p w:rsidR="00DA6C6A" w:rsidRPr="00126B1C" w:rsidRDefault="00F91971" w:rsidP="00126B1C">
      <w:pPr>
        <w:autoSpaceDE w:val="0"/>
        <w:autoSpaceDN w:val="0"/>
        <w:adjustRightInd w:val="0"/>
        <w:rPr>
          <w:rFonts w:eastAsia="HelenPro-Regular"/>
        </w:rPr>
      </w:pPr>
      <w:r>
        <w:rPr>
          <w:noProof/>
        </w:rPr>
        <w:drawing>
          <wp:inline distT="0" distB="0" distL="0" distR="0" wp14:anchorId="2B7F3210" wp14:editId="49B06C33">
            <wp:extent cx="4200525" cy="56007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00525" cy="5600700"/>
                    </a:xfrm>
                    <a:prstGeom prst="rect">
                      <a:avLst/>
                    </a:prstGeom>
                  </pic:spPr>
                </pic:pic>
              </a:graphicData>
            </a:graphic>
          </wp:inline>
        </w:drawing>
      </w:r>
    </w:p>
    <w:p w:rsidR="00A06293" w:rsidRDefault="00A06293" w:rsidP="00AB793D">
      <w:pPr>
        <w:rPr>
          <w:b/>
          <w:bCs/>
        </w:rPr>
      </w:pPr>
    </w:p>
    <w:p w:rsidR="0055619E" w:rsidRPr="00B63E88" w:rsidRDefault="00B63E88" w:rsidP="00AB793D">
      <w:pPr>
        <w:rPr>
          <w:bCs/>
        </w:rPr>
      </w:pPr>
      <w:r>
        <w:rPr>
          <w:b/>
          <w:bCs/>
        </w:rPr>
        <w:t xml:space="preserve">Serum/Plasma: </w:t>
      </w:r>
      <w:r>
        <w:rPr>
          <w:bCs/>
          <w:u w:val="single"/>
        </w:rPr>
        <w:t>&lt;</w:t>
      </w:r>
      <w:r>
        <w:rPr>
          <w:bCs/>
        </w:rPr>
        <w:t xml:space="preserve"> 5.0</w:t>
      </w:r>
      <w:r w:rsidR="00286235">
        <w:rPr>
          <w:bCs/>
        </w:rPr>
        <w:t xml:space="preserve"> ng/mL</w:t>
      </w:r>
      <w:bookmarkStart w:id="0" w:name="_GoBack"/>
      <w:bookmarkEnd w:id="0"/>
    </w:p>
    <w:p w:rsidR="00D64E39" w:rsidRPr="00835A84" w:rsidRDefault="00D64E39" w:rsidP="00AB793D">
      <w:pPr>
        <w:rPr>
          <w:bCs/>
        </w:rPr>
      </w:pPr>
    </w:p>
    <w:p w:rsidR="00B63E8F" w:rsidRPr="00835A84" w:rsidRDefault="00B63E8F" w:rsidP="00623EFB">
      <w:pPr>
        <w:ind w:right="720"/>
        <w:jc w:val="both"/>
        <w:rPr>
          <w:b/>
        </w:rPr>
      </w:pPr>
      <w:r w:rsidRPr="00835A84">
        <w:rPr>
          <w:b/>
        </w:rPr>
        <w:t>Critical Values</w:t>
      </w:r>
      <w:r w:rsidR="00B63E88">
        <w:rPr>
          <w:b/>
        </w:rPr>
        <w:t>: N/A</w:t>
      </w:r>
    </w:p>
    <w:p w:rsidR="0038442D" w:rsidRPr="00835A84" w:rsidRDefault="0038442D" w:rsidP="00AB793D">
      <w:pPr>
        <w:rPr>
          <w:b/>
        </w:rPr>
      </w:pPr>
    </w:p>
    <w:p w:rsidR="00D5211B" w:rsidRPr="00835A84" w:rsidRDefault="005E3D52" w:rsidP="00AB793D">
      <w:pPr>
        <w:rPr>
          <w:i/>
          <w:color w:val="FF0000"/>
          <w:sz w:val="28"/>
          <w:szCs w:val="28"/>
        </w:rPr>
      </w:pPr>
      <w:r w:rsidRPr="00835A84">
        <w:rPr>
          <w:b/>
          <w:sz w:val="28"/>
          <w:szCs w:val="28"/>
        </w:rPr>
        <w:t>Performance Characteristics</w:t>
      </w:r>
      <w:r w:rsidR="00973EAF" w:rsidRPr="00835A84">
        <w:rPr>
          <w:b/>
          <w:sz w:val="28"/>
          <w:szCs w:val="28"/>
        </w:rPr>
        <w:t xml:space="preserve"> </w:t>
      </w:r>
    </w:p>
    <w:p w:rsidR="00126B1C" w:rsidRDefault="00126B1C" w:rsidP="002648A6">
      <w:pPr>
        <w:autoSpaceDE w:val="0"/>
        <w:autoSpaceDN w:val="0"/>
        <w:adjustRightInd w:val="0"/>
        <w:rPr>
          <w:rFonts w:eastAsia="HelenPro-Regular"/>
          <w:b/>
        </w:rPr>
      </w:pPr>
    </w:p>
    <w:p w:rsidR="002648A6" w:rsidRPr="005D76E9" w:rsidRDefault="00835A84" w:rsidP="002648A6">
      <w:pPr>
        <w:autoSpaceDE w:val="0"/>
        <w:autoSpaceDN w:val="0"/>
        <w:adjustRightInd w:val="0"/>
        <w:rPr>
          <w:rFonts w:eastAsia="HelenPro-Regular"/>
          <w:b/>
        </w:rPr>
      </w:pPr>
      <w:r w:rsidRPr="005D76E9">
        <w:rPr>
          <w:rFonts w:eastAsia="HelenPro-Regular"/>
          <w:b/>
        </w:rPr>
        <w:t>Sensitivity</w:t>
      </w:r>
    </w:p>
    <w:p w:rsidR="001528ED" w:rsidRPr="00F91971" w:rsidRDefault="00F91971" w:rsidP="00F91971">
      <w:pPr>
        <w:autoSpaceDE w:val="0"/>
        <w:autoSpaceDN w:val="0"/>
        <w:adjustRightInd w:val="0"/>
        <w:rPr>
          <w:rFonts w:eastAsia="HelenPro-Regular"/>
        </w:rPr>
      </w:pPr>
      <w:r w:rsidRPr="00F91971">
        <w:rPr>
          <w:rFonts w:eastAsia="HelenPro-Regular"/>
        </w:rPr>
        <w:lastRenderedPageBreak/>
        <w:t>The sensitivity of the ARCHITECT CEA as</w:t>
      </w:r>
      <w:r>
        <w:rPr>
          <w:rFonts w:eastAsia="HelenPro-Regular"/>
        </w:rPr>
        <w:t xml:space="preserve">say was calculated to be better </w:t>
      </w:r>
      <w:r w:rsidRPr="00F91971">
        <w:rPr>
          <w:rFonts w:eastAsia="HelenPro-Regular"/>
        </w:rPr>
        <w:t xml:space="preserve">than 0.5 </w:t>
      </w:r>
      <w:proofErr w:type="spellStart"/>
      <w:r w:rsidRPr="00F91971">
        <w:rPr>
          <w:rFonts w:eastAsia="HelenPro-Regular"/>
        </w:rPr>
        <w:t>ng</w:t>
      </w:r>
      <w:proofErr w:type="spellEnd"/>
      <w:r w:rsidRPr="00F91971">
        <w:rPr>
          <w:rFonts w:eastAsia="HelenPro-Regular"/>
        </w:rPr>
        <w:t>/mL at the 95% level of confidence (n = 18 runs).</w:t>
      </w:r>
    </w:p>
    <w:p w:rsidR="00835A84" w:rsidRPr="005D76E9" w:rsidRDefault="00835A84" w:rsidP="00835A84">
      <w:pPr>
        <w:rPr>
          <w:rFonts w:eastAsia="HelenPro-Bold"/>
          <w:b/>
          <w:bCs/>
        </w:rPr>
      </w:pPr>
    </w:p>
    <w:p w:rsidR="00912FE4" w:rsidRPr="005D76E9" w:rsidRDefault="00912FE4" w:rsidP="002C2F49">
      <w:pPr>
        <w:rPr>
          <w:rFonts w:eastAsia="HelenPro-Bold"/>
          <w:b/>
          <w:bCs/>
        </w:rPr>
      </w:pPr>
      <w:r w:rsidRPr="005D76E9">
        <w:rPr>
          <w:rFonts w:eastAsia="HelenPro-Bold"/>
          <w:b/>
          <w:bCs/>
        </w:rPr>
        <w:t>Dilution:</w:t>
      </w:r>
      <w:r w:rsidR="00973EAF" w:rsidRPr="005D76E9">
        <w:rPr>
          <w:rFonts w:eastAsia="HelenPro-Bold"/>
          <w:b/>
          <w:bCs/>
        </w:rPr>
        <w:t xml:space="preserve"> </w:t>
      </w:r>
    </w:p>
    <w:p w:rsidR="00F91971" w:rsidRPr="00F91971" w:rsidRDefault="00F91971" w:rsidP="00F91971">
      <w:pPr>
        <w:autoSpaceDE w:val="0"/>
        <w:autoSpaceDN w:val="0"/>
        <w:adjustRightInd w:val="0"/>
        <w:rPr>
          <w:rFonts w:eastAsia="HelenPro-Regular"/>
        </w:rPr>
      </w:pPr>
      <w:r w:rsidRPr="00F91971">
        <w:rPr>
          <w:rFonts w:eastAsia="HelenPro-Regular"/>
        </w:rPr>
        <w:t xml:space="preserve">Specimens with a CEA value exceeding 1500 </w:t>
      </w:r>
      <w:proofErr w:type="spellStart"/>
      <w:r w:rsidRPr="00F91971">
        <w:rPr>
          <w:rFonts w:eastAsia="HelenPro-Regular"/>
        </w:rPr>
        <w:t>ng</w:t>
      </w:r>
      <w:proofErr w:type="spellEnd"/>
      <w:r w:rsidRPr="00F91971">
        <w:rPr>
          <w:rFonts w:eastAsia="HelenPro-Regular"/>
        </w:rPr>
        <w:t>/mL, are fl</w:t>
      </w:r>
      <w:r>
        <w:rPr>
          <w:rFonts w:eastAsia="HelenPro-Regular"/>
        </w:rPr>
        <w:t xml:space="preserve">agged with the </w:t>
      </w:r>
      <w:r w:rsidRPr="00F91971">
        <w:rPr>
          <w:rFonts w:eastAsia="HelenPro-Regular"/>
        </w:rPr>
        <w:t>code “&gt;1500.00” and may be diluted using either the Automated Dilution</w:t>
      </w:r>
      <w:r>
        <w:rPr>
          <w:rFonts w:eastAsia="HelenPro-Regular"/>
        </w:rPr>
        <w:t xml:space="preserve"> </w:t>
      </w:r>
      <w:r w:rsidRPr="00F91971">
        <w:rPr>
          <w:rFonts w:eastAsia="HelenPro-Regular"/>
        </w:rPr>
        <w:t>Protocol or the Manual Dilution Procedure.</w:t>
      </w:r>
    </w:p>
    <w:p w:rsidR="00F91971" w:rsidRPr="00F91971" w:rsidRDefault="00F91971" w:rsidP="00F91971">
      <w:pPr>
        <w:autoSpaceDE w:val="0"/>
        <w:autoSpaceDN w:val="0"/>
        <w:adjustRightInd w:val="0"/>
        <w:rPr>
          <w:rFonts w:eastAsia="HelenPro-Regular"/>
        </w:rPr>
      </w:pPr>
      <w:r w:rsidRPr="00F91971">
        <w:rPr>
          <w:rFonts w:eastAsia="HelenPro-Bold"/>
          <w:b/>
          <w:bCs/>
        </w:rPr>
        <w:t xml:space="preserve">• </w:t>
      </w:r>
      <w:r w:rsidRPr="00F91971">
        <w:rPr>
          <w:rFonts w:eastAsia="HelenPro-Regular"/>
        </w:rPr>
        <w:t xml:space="preserve">If using the Automated Dilution </w:t>
      </w:r>
      <w:r>
        <w:rPr>
          <w:rFonts w:eastAsia="HelenPro-Regular"/>
        </w:rPr>
        <w:t xml:space="preserve">Protocol, the system performs a </w:t>
      </w:r>
      <w:r w:rsidRPr="00F91971">
        <w:rPr>
          <w:rFonts w:eastAsia="HelenPro-Regular"/>
        </w:rPr>
        <w:t>1:10 dilution of the specimen and automatically calculates the</w:t>
      </w:r>
      <w:r>
        <w:rPr>
          <w:rFonts w:eastAsia="HelenPro-Regular"/>
        </w:rPr>
        <w:t xml:space="preserve"> </w:t>
      </w:r>
      <w:r w:rsidRPr="00F91971">
        <w:rPr>
          <w:rFonts w:eastAsia="HelenPro-Regular"/>
        </w:rPr>
        <w:t>concentration of the sample before dilution and reports the result.</w:t>
      </w:r>
    </w:p>
    <w:p w:rsidR="00F91971" w:rsidRPr="00F91971" w:rsidRDefault="00F91971" w:rsidP="00F91971">
      <w:pPr>
        <w:autoSpaceDE w:val="0"/>
        <w:autoSpaceDN w:val="0"/>
        <w:adjustRightInd w:val="0"/>
        <w:rPr>
          <w:rFonts w:eastAsia="HelenPro-Regular"/>
        </w:rPr>
      </w:pPr>
      <w:r w:rsidRPr="00F91971">
        <w:rPr>
          <w:rFonts w:eastAsia="HelenPro-Bold"/>
          <w:b/>
          <w:bCs/>
        </w:rPr>
        <w:t xml:space="preserve">• </w:t>
      </w:r>
      <w:r w:rsidRPr="00F91971">
        <w:rPr>
          <w:rFonts w:eastAsia="HelenPro-Regular"/>
        </w:rPr>
        <w:t>Manual dilutions should be performed as follows:</w:t>
      </w:r>
    </w:p>
    <w:p w:rsidR="00F91971" w:rsidRPr="00F91971" w:rsidRDefault="00F91971" w:rsidP="00F91971">
      <w:pPr>
        <w:autoSpaceDE w:val="0"/>
        <w:autoSpaceDN w:val="0"/>
        <w:adjustRightInd w:val="0"/>
        <w:ind w:left="720"/>
        <w:rPr>
          <w:rFonts w:eastAsia="HelenPro-Regular"/>
        </w:rPr>
      </w:pPr>
      <w:r w:rsidRPr="00F91971">
        <w:rPr>
          <w:rFonts w:eastAsia="HelenPro-Bold"/>
          <w:b/>
          <w:bCs/>
        </w:rPr>
        <w:t xml:space="preserve">• </w:t>
      </w:r>
      <w:r w:rsidRPr="00F91971">
        <w:rPr>
          <w:rFonts w:eastAsia="HelenPro-Regular"/>
        </w:rPr>
        <w:t>The suggested dilution for A</w:t>
      </w:r>
      <w:r>
        <w:rPr>
          <w:rFonts w:eastAsia="HelenPro-Regular"/>
        </w:rPr>
        <w:t xml:space="preserve">RCHITECT CEA assay is 1:100. An </w:t>
      </w:r>
      <w:r w:rsidRPr="00F91971">
        <w:rPr>
          <w:rFonts w:eastAsia="HelenPro-Regular"/>
        </w:rPr>
        <w:t>additional 1:10 dilution may be made if needed. It is recommended</w:t>
      </w:r>
      <w:r>
        <w:rPr>
          <w:rFonts w:eastAsia="HelenPro-Regular"/>
        </w:rPr>
        <w:t xml:space="preserve"> </w:t>
      </w:r>
      <w:r w:rsidRPr="00F91971">
        <w:rPr>
          <w:rFonts w:eastAsia="HelenPro-Regular"/>
        </w:rPr>
        <w:t>that dilutions not exceed 1:1000.</w:t>
      </w:r>
    </w:p>
    <w:p w:rsidR="00F91971" w:rsidRPr="00F91971" w:rsidRDefault="00F91971" w:rsidP="00F91971">
      <w:pPr>
        <w:autoSpaceDE w:val="0"/>
        <w:autoSpaceDN w:val="0"/>
        <w:adjustRightInd w:val="0"/>
        <w:ind w:left="720"/>
        <w:rPr>
          <w:rFonts w:eastAsia="HelenPro-Regular"/>
        </w:rPr>
      </w:pPr>
      <w:r w:rsidRPr="00F91971">
        <w:rPr>
          <w:rFonts w:eastAsia="HelenPro-Bold"/>
          <w:b/>
          <w:bCs/>
        </w:rPr>
        <w:t xml:space="preserve">• </w:t>
      </w:r>
      <w:r w:rsidRPr="00F91971">
        <w:rPr>
          <w:rFonts w:eastAsia="HelenPro-Regular"/>
        </w:rPr>
        <w:t xml:space="preserve">For a 1:100 dilution, add 20 </w:t>
      </w:r>
      <w:proofErr w:type="spellStart"/>
      <w:r w:rsidRPr="00F91971">
        <w:rPr>
          <w:rFonts w:eastAsia="HelenPro-Regular"/>
        </w:rPr>
        <w:t>μL</w:t>
      </w:r>
      <w:proofErr w:type="spellEnd"/>
      <w:r w:rsidRPr="00F91971">
        <w:rPr>
          <w:rFonts w:eastAsia="HelenPro-Regular"/>
        </w:rPr>
        <w:t xml:space="preserve"> of the patient specimen to 1980 </w:t>
      </w:r>
      <w:proofErr w:type="spellStart"/>
      <w:r w:rsidRPr="00F91971">
        <w:rPr>
          <w:rFonts w:eastAsia="HelenPro-Regular"/>
        </w:rPr>
        <w:t>μ</w:t>
      </w:r>
      <w:r>
        <w:rPr>
          <w:rFonts w:eastAsia="HelenPro-Regular"/>
        </w:rPr>
        <w:t>L</w:t>
      </w:r>
      <w:proofErr w:type="spellEnd"/>
      <w:r>
        <w:rPr>
          <w:rFonts w:eastAsia="HelenPro-Regular"/>
        </w:rPr>
        <w:t xml:space="preserve"> </w:t>
      </w:r>
      <w:r w:rsidRPr="00F91971">
        <w:rPr>
          <w:rFonts w:eastAsia="HelenPro-Regular"/>
        </w:rPr>
        <w:t xml:space="preserve">of ARCHITECT </w:t>
      </w:r>
      <w:proofErr w:type="spellStart"/>
      <w:r w:rsidRPr="00F91971">
        <w:rPr>
          <w:rFonts w:eastAsia="HelenPro-Regular"/>
          <w:i/>
          <w:iCs/>
        </w:rPr>
        <w:t>i</w:t>
      </w:r>
      <w:proofErr w:type="spellEnd"/>
      <w:r w:rsidRPr="00F91971">
        <w:rPr>
          <w:rFonts w:eastAsia="HelenPro-Regular"/>
          <w:i/>
          <w:iCs/>
        </w:rPr>
        <w:t xml:space="preserve"> </w:t>
      </w:r>
      <w:r w:rsidRPr="00F91971">
        <w:rPr>
          <w:rFonts w:eastAsia="HelenPro-Regular"/>
        </w:rPr>
        <w:t>Multi-Assay Manual Diluent (7D82-50).</w:t>
      </w:r>
    </w:p>
    <w:p w:rsidR="00F91971" w:rsidRPr="00F91971" w:rsidRDefault="00F91971" w:rsidP="00F91971">
      <w:pPr>
        <w:autoSpaceDE w:val="0"/>
        <w:autoSpaceDN w:val="0"/>
        <w:adjustRightInd w:val="0"/>
        <w:rPr>
          <w:rFonts w:eastAsia="HelenPro-Regular"/>
        </w:rPr>
      </w:pPr>
      <w:r w:rsidRPr="00F91971">
        <w:rPr>
          <w:rFonts w:eastAsia="HelenPro-Bold"/>
          <w:b/>
          <w:bCs/>
        </w:rPr>
        <w:t xml:space="preserve">• </w:t>
      </w:r>
      <w:r w:rsidRPr="00F91971">
        <w:rPr>
          <w:rFonts w:eastAsia="HelenPro-Regular"/>
        </w:rPr>
        <w:t>The operator must enter the di</w:t>
      </w:r>
      <w:r>
        <w:rPr>
          <w:rFonts w:eastAsia="HelenPro-Regular"/>
        </w:rPr>
        <w:t xml:space="preserve">lution factor in the Patient or </w:t>
      </w:r>
      <w:r w:rsidRPr="00F91971">
        <w:rPr>
          <w:rFonts w:eastAsia="HelenPro-Regular"/>
        </w:rPr>
        <w:t>Control order screen. All assays selected for that order will be</w:t>
      </w:r>
      <w:r>
        <w:rPr>
          <w:rFonts w:eastAsia="HelenPro-Regular"/>
        </w:rPr>
        <w:t xml:space="preserve"> </w:t>
      </w:r>
      <w:r w:rsidRPr="00F91971">
        <w:rPr>
          <w:rFonts w:eastAsia="HelenPro-Regular"/>
        </w:rPr>
        <w:t>diluted. The system will use this dilution factor to automatically</w:t>
      </w:r>
      <w:r>
        <w:rPr>
          <w:rFonts w:eastAsia="HelenPro-Regular"/>
        </w:rPr>
        <w:t xml:space="preserve"> </w:t>
      </w:r>
      <w:r w:rsidRPr="00F91971">
        <w:rPr>
          <w:rFonts w:eastAsia="HelenPro-Regular"/>
        </w:rPr>
        <w:t>calculate the concentration of the sample before dilution and</w:t>
      </w:r>
      <w:r>
        <w:rPr>
          <w:rFonts w:eastAsia="HelenPro-Regular"/>
        </w:rPr>
        <w:t xml:space="preserve"> </w:t>
      </w:r>
      <w:r w:rsidRPr="00F91971">
        <w:rPr>
          <w:rFonts w:eastAsia="HelenPro-Regular"/>
        </w:rPr>
        <w:t>report the result. The dilution should be performed so that the</w:t>
      </w:r>
      <w:r>
        <w:rPr>
          <w:rFonts w:eastAsia="HelenPro-Regular"/>
        </w:rPr>
        <w:t xml:space="preserve"> </w:t>
      </w:r>
      <w:r w:rsidRPr="00F91971">
        <w:rPr>
          <w:rFonts w:eastAsia="HelenPro-Regular"/>
        </w:rPr>
        <w:t xml:space="preserve">diluted result reads greater than 4 </w:t>
      </w:r>
      <w:proofErr w:type="spellStart"/>
      <w:r w:rsidRPr="00F91971">
        <w:rPr>
          <w:rFonts w:eastAsia="HelenPro-Regular"/>
        </w:rPr>
        <w:t>ng</w:t>
      </w:r>
      <w:proofErr w:type="spellEnd"/>
      <w:r w:rsidRPr="00F91971">
        <w:rPr>
          <w:rFonts w:eastAsia="HelenPro-Regular"/>
        </w:rPr>
        <w:t>/</w:t>
      </w:r>
      <w:proofErr w:type="spellStart"/>
      <w:r w:rsidRPr="00F91971">
        <w:rPr>
          <w:rFonts w:eastAsia="HelenPro-Regular"/>
        </w:rPr>
        <w:t>mL.</w:t>
      </w:r>
      <w:proofErr w:type="spellEnd"/>
    </w:p>
    <w:p w:rsidR="00F91971" w:rsidRPr="00F91971" w:rsidRDefault="00F91971" w:rsidP="00F91971">
      <w:pPr>
        <w:autoSpaceDE w:val="0"/>
        <w:autoSpaceDN w:val="0"/>
        <w:adjustRightInd w:val="0"/>
        <w:rPr>
          <w:rFonts w:eastAsia="HelenPro-Regular"/>
        </w:rPr>
      </w:pPr>
      <w:r w:rsidRPr="00F91971">
        <w:rPr>
          <w:rFonts w:eastAsia="HelenPro-Bold"/>
          <w:b/>
          <w:bCs/>
        </w:rPr>
        <w:t xml:space="preserve">• </w:t>
      </w:r>
      <w:r w:rsidRPr="00F91971">
        <w:rPr>
          <w:rFonts w:eastAsia="HelenPro-Regular"/>
        </w:rPr>
        <w:t>For detailed information on ordering di</w:t>
      </w:r>
      <w:r>
        <w:rPr>
          <w:rFonts w:eastAsia="HelenPro-Regular"/>
        </w:rPr>
        <w:t xml:space="preserve">lutions, refer to the ARCHITECT </w:t>
      </w:r>
      <w:r w:rsidRPr="00F91971">
        <w:rPr>
          <w:rFonts w:eastAsia="HelenPro-Regular"/>
        </w:rPr>
        <w:t>System Operations Manual, Section 5.</w:t>
      </w:r>
    </w:p>
    <w:p w:rsidR="00BA3154" w:rsidRPr="005D76E9" w:rsidRDefault="00F91971" w:rsidP="00F91971">
      <w:pPr>
        <w:autoSpaceDE w:val="0"/>
        <w:autoSpaceDN w:val="0"/>
        <w:adjustRightInd w:val="0"/>
        <w:rPr>
          <w:rFonts w:eastAsia="HelenPro-Regular"/>
        </w:rPr>
      </w:pPr>
      <w:r w:rsidRPr="00F91971">
        <w:rPr>
          <w:rFonts w:eastAsia="HelenPro-Bold"/>
          <w:b/>
          <w:bCs/>
        </w:rPr>
        <w:t xml:space="preserve">• </w:t>
      </w:r>
      <w:r w:rsidRPr="00F91971">
        <w:rPr>
          <w:rFonts w:eastAsia="HelenPro-Regular"/>
        </w:rPr>
        <w:t xml:space="preserve">A comparison of the Automated </w:t>
      </w:r>
      <w:r>
        <w:rPr>
          <w:rFonts w:eastAsia="HelenPro-Regular"/>
        </w:rPr>
        <w:t xml:space="preserve">Dilution Protocol to the Manual </w:t>
      </w:r>
      <w:r w:rsidRPr="00F91971">
        <w:rPr>
          <w:rFonts w:eastAsia="HelenPro-Regular"/>
        </w:rPr>
        <w:t>Dilution Procedure yielded recoveries between 86% and 97%.</w:t>
      </w:r>
    </w:p>
    <w:p w:rsidR="00DA0D83" w:rsidRPr="005D76E9" w:rsidRDefault="00DA0D83" w:rsidP="00F95946">
      <w:pPr>
        <w:rPr>
          <w:b/>
          <w:color w:val="000000"/>
        </w:rPr>
      </w:pPr>
    </w:p>
    <w:p w:rsidR="00912FE4" w:rsidRPr="005D76E9" w:rsidRDefault="00912FE4" w:rsidP="00F95946">
      <w:pPr>
        <w:rPr>
          <w:rFonts w:eastAsia="HelenPro-Regular"/>
        </w:rPr>
      </w:pPr>
      <w:r w:rsidRPr="005D76E9">
        <w:rPr>
          <w:b/>
          <w:color w:val="000000"/>
        </w:rPr>
        <w:t>Precision:</w:t>
      </w:r>
      <w:r w:rsidR="0038442D" w:rsidRPr="005D76E9">
        <w:rPr>
          <w:b/>
          <w:color w:val="000000"/>
        </w:rPr>
        <w:t xml:space="preserve"> </w:t>
      </w:r>
    </w:p>
    <w:p w:rsidR="00A06293" w:rsidRPr="00F91971" w:rsidRDefault="00F91971" w:rsidP="001528ED">
      <w:pPr>
        <w:autoSpaceDE w:val="0"/>
        <w:autoSpaceDN w:val="0"/>
        <w:adjustRightInd w:val="0"/>
        <w:rPr>
          <w:rFonts w:eastAsia="HelenPro-Regular"/>
        </w:rPr>
      </w:pPr>
      <w:r w:rsidRPr="00F91971">
        <w:rPr>
          <w:rFonts w:eastAsia="HelenPro-Regular"/>
        </w:rPr>
        <w:t>The Architect CEA assay precision is ≤ 8%.</w:t>
      </w:r>
      <w:r w:rsidR="003C5BC8" w:rsidRPr="00F91971">
        <w:rPr>
          <w:rFonts w:eastAsia="HelenPro-Regular"/>
        </w:rPr>
        <w:t xml:space="preserve">  </w:t>
      </w:r>
    </w:p>
    <w:p w:rsidR="0050716A" w:rsidRDefault="00F91971" w:rsidP="0050716A">
      <w:pPr>
        <w:autoSpaceDE w:val="0"/>
        <w:autoSpaceDN w:val="0"/>
        <w:adjustRightInd w:val="0"/>
        <w:rPr>
          <w:rFonts w:eastAsia="HelenPro-Regular"/>
        </w:rPr>
      </w:pPr>
      <w:r>
        <w:rPr>
          <w:noProof/>
        </w:rPr>
        <w:drawing>
          <wp:inline distT="0" distB="0" distL="0" distR="0" wp14:anchorId="6E86B689" wp14:editId="4115A0E1">
            <wp:extent cx="4152900" cy="24955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52900" cy="2495550"/>
                    </a:xfrm>
                    <a:prstGeom prst="rect">
                      <a:avLst/>
                    </a:prstGeom>
                  </pic:spPr>
                </pic:pic>
              </a:graphicData>
            </a:graphic>
          </wp:inline>
        </w:drawing>
      </w:r>
    </w:p>
    <w:p w:rsidR="00F91971" w:rsidRPr="005D76E9" w:rsidRDefault="00F91971" w:rsidP="0050716A">
      <w:pPr>
        <w:autoSpaceDE w:val="0"/>
        <w:autoSpaceDN w:val="0"/>
        <w:adjustRightInd w:val="0"/>
        <w:rPr>
          <w:rFonts w:eastAsia="HelenPro-Regular"/>
        </w:rPr>
      </w:pPr>
      <w:r>
        <w:rPr>
          <w:noProof/>
        </w:rPr>
        <w:lastRenderedPageBreak/>
        <w:drawing>
          <wp:inline distT="0" distB="0" distL="0" distR="0" wp14:anchorId="01A44516" wp14:editId="5A520D2C">
            <wp:extent cx="4210050" cy="18954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10050" cy="1895475"/>
                    </a:xfrm>
                    <a:prstGeom prst="rect">
                      <a:avLst/>
                    </a:prstGeom>
                  </pic:spPr>
                </pic:pic>
              </a:graphicData>
            </a:graphic>
          </wp:inline>
        </w:drawing>
      </w:r>
    </w:p>
    <w:p w:rsidR="00C53E37" w:rsidRPr="005D76E9" w:rsidRDefault="00C53E37" w:rsidP="00C53E37">
      <w:pPr>
        <w:pStyle w:val="Heading4"/>
        <w:rPr>
          <w:sz w:val="24"/>
          <w:szCs w:val="24"/>
        </w:rPr>
      </w:pPr>
      <w:r w:rsidRPr="005D76E9">
        <w:rPr>
          <w:sz w:val="24"/>
          <w:szCs w:val="24"/>
        </w:rPr>
        <w:t>Limitations of Procedure</w:t>
      </w:r>
      <w:r w:rsidR="00973EAF" w:rsidRPr="005D76E9">
        <w:rPr>
          <w:sz w:val="24"/>
          <w:szCs w:val="24"/>
        </w:rPr>
        <w:t xml:space="preserve"> </w:t>
      </w:r>
    </w:p>
    <w:p w:rsidR="005B1BF7" w:rsidRPr="005D76E9" w:rsidRDefault="005B1BF7" w:rsidP="005B1BF7">
      <w:pPr>
        <w:pStyle w:val="ListParagraph"/>
        <w:numPr>
          <w:ilvl w:val="0"/>
          <w:numId w:val="20"/>
        </w:numPr>
        <w:autoSpaceDE w:val="0"/>
        <w:autoSpaceDN w:val="0"/>
        <w:adjustRightInd w:val="0"/>
        <w:rPr>
          <w:rFonts w:eastAsia="HelenPro-Regular"/>
        </w:rPr>
      </w:pPr>
      <w:r w:rsidRPr="005D76E9">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1528ED" w:rsidRPr="005D76E9" w:rsidRDefault="005B1BF7" w:rsidP="001528ED">
      <w:pPr>
        <w:pStyle w:val="ListParagraph"/>
        <w:numPr>
          <w:ilvl w:val="0"/>
          <w:numId w:val="20"/>
        </w:numPr>
        <w:autoSpaceDE w:val="0"/>
        <w:autoSpaceDN w:val="0"/>
        <w:adjustRightInd w:val="0"/>
        <w:rPr>
          <w:rFonts w:eastAsia="HelenPro-Regular"/>
        </w:rPr>
      </w:pPr>
      <w:proofErr w:type="spellStart"/>
      <w:r w:rsidRPr="005D76E9">
        <w:rPr>
          <w:rFonts w:eastAsia="HelenPro-Regular"/>
        </w:rPr>
        <w:t>Heterophilic</w:t>
      </w:r>
      <w:proofErr w:type="spellEnd"/>
      <w:r w:rsidRPr="005D76E9">
        <w:rPr>
          <w:rFonts w:eastAsia="HelenPro-Regular"/>
        </w:rPr>
        <w:t xml:space="preserve"> antibodies in human serum can react with reagent </w:t>
      </w:r>
      <w:proofErr w:type="spellStart"/>
      <w:r w:rsidRPr="005D76E9">
        <w:rPr>
          <w:rFonts w:eastAsia="HelenPro-Regular"/>
        </w:rPr>
        <w:t>immunoglobulins</w:t>
      </w:r>
      <w:proofErr w:type="spellEnd"/>
      <w:r w:rsidRPr="005D76E9">
        <w:rPr>
          <w:rFonts w:eastAsia="HelenPro-Regular"/>
        </w:rPr>
        <w:t xml:space="preserve">, interfering with </w:t>
      </w:r>
      <w:r w:rsidRPr="005D76E9">
        <w:rPr>
          <w:rFonts w:eastAsia="HelenPro-Bold"/>
          <w:i/>
          <w:iCs/>
        </w:rPr>
        <w:t xml:space="preserve">in vitro </w:t>
      </w:r>
      <w:r w:rsidRPr="005D76E9">
        <w:rPr>
          <w:rFonts w:eastAsia="HelenPro-Regular"/>
        </w:rPr>
        <w:t>immunoassays. Patients routinely exposed to animals or to animal serum products can be prone to this interference and anomalous results may be observed. Additional information may be required for diagnosis.</w:t>
      </w:r>
      <w:r w:rsidR="00A06293" w:rsidRPr="005D76E9">
        <w:rPr>
          <w:rFonts w:eastAsia="HelenPro-Regular"/>
        </w:rPr>
        <w:t xml:space="preserve"> </w:t>
      </w:r>
    </w:p>
    <w:p w:rsidR="0050716A" w:rsidRDefault="006A5580" w:rsidP="006A5580">
      <w:pPr>
        <w:autoSpaceDE w:val="0"/>
        <w:autoSpaceDN w:val="0"/>
        <w:adjustRightInd w:val="0"/>
        <w:rPr>
          <w:rFonts w:eastAsia="HelenPro-Regular"/>
        </w:rPr>
      </w:pPr>
      <w:r w:rsidRPr="006A5580">
        <w:rPr>
          <w:rFonts w:eastAsia="HelenPro-Bold"/>
          <w:b/>
          <w:bCs/>
        </w:rPr>
        <w:t xml:space="preserve">WARNING: </w:t>
      </w:r>
      <w:r w:rsidRPr="006A5580">
        <w:rPr>
          <w:rFonts w:eastAsia="HelenPro-Regular"/>
        </w:rPr>
        <w:t>The concentration of CEA in a given specimen, determined</w:t>
      </w:r>
      <w:r>
        <w:rPr>
          <w:rFonts w:eastAsia="HelenPro-Regular"/>
        </w:rPr>
        <w:t xml:space="preserve"> </w:t>
      </w:r>
      <w:r w:rsidRPr="006A5580">
        <w:rPr>
          <w:rFonts w:eastAsia="HelenPro-Regular"/>
        </w:rPr>
        <w:t>with assays from different manufacturers, can vary due to differences</w:t>
      </w:r>
      <w:r>
        <w:rPr>
          <w:rFonts w:eastAsia="HelenPro-Regular"/>
        </w:rPr>
        <w:t xml:space="preserve"> </w:t>
      </w:r>
      <w:r w:rsidRPr="006A5580">
        <w:rPr>
          <w:rFonts w:eastAsia="HelenPro-Regular"/>
        </w:rPr>
        <w:t>in assay methods and reagent specificity. The results reported by the</w:t>
      </w:r>
      <w:r>
        <w:rPr>
          <w:rFonts w:eastAsia="HelenPro-Regular"/>
        </w:rPr>
        <w:t xml:space="preserve"> </w:t>
      </w:r>
      <w:r w:rsidRPr="006A5580">
        <w:rPr>
          <w:rFonts w:eastAsia="HelenPro-Regular"/>
        </w:rPr>
        <w:t>laboratory to the physician must include the identity of the CEA assay</w:t>
      </w:r>
      <w:r>
        <w:rPr>
          <w:rFonts w:eastAsia="HelenPro-Regular"/>
        </w:rPr>
        <w:t xml:space="preserve"> </w:t>
      </w:r>
      <w:r w:rsidRPr="006A5580">
        <w:rPr>
          <w:rFonts w:eastAsia="HelenPro-Regular"/>
        </w:rPr>
        <w:t>used. Values obtained with different assay methods cannot be used</w:t>
      </w:r>
      <w:r>
        <w:rPr>
          <w:rFonts w:eastAsia="HelenPro-Regular"/>
        </w:rPr>
        <w:t xml:space="preserve"> </w:t>
      </w:r>
      <w:r w:rsidRPr="006A5580">
        <w:rPr>
          <w:rFonts w:eastAsia="HelenPro-Regular"/>
        </w:rPr>
        <w:t>interchangeably. If, in the course of monitoring a patient, the assay method</w:t>
      </w:r>
      <w:r>
        <w:rPr>
          <w:rFonts w:eastAsia="HelenPro-Regular"/>
        </w:rPr>
        <w:t xml:space="preserve"> </w:t>
      </w:r>
      <w:r w:rsidRPr="006A5580">
        <w:rPr>
          <w:rFonts w:eastAsia="HelenPro-Regular"/>
        </w:rPr>
        <w:t>used for determining CEA levels serially is changed, additional sequential</w:t>
      </w:r>
      <w:r>
        <w:rPr>
          <w:rFonts w:eastAsia="HelenPro-Regular"/>
        </w:rPr>
        <w:t xml:space="preserve"> </w:t>
      </w:r>
      <w:r w:rsidRPr="006A5580">
        <w:rPr>
          <w:rFonts w:eastAsia="HelenPro-Regular"/>
        </w:rPr>
        <w:t>testing should be carried out. Prior to changing assays, the laboratory</w:t>
      </w:r>
      <w:r>
        <w:rPr>
          <w:rFonts w:eastAsia="HelenPro-Regular"/>
        </w:rPr>
        <w:t xml:space="preserve"> </w:t>
      </w:r>
      <w:r w:rsidRPr="006A5580">
        <w:rPr>
          <w:rFonts w:eastAsia="HelenPro-Regular"/>
        </w:rPr>
        <w:t>MUST confirm baseline values for patients being serially monitored.</w:t>
      </w:r>
    </w:p>
    <w:p w:rsidR="00F91971" w:rsidRPr="00F91971" w:rsidRDefault="00F91971" w:rsidP="00F91971">
      <w:pPr>
        <w:pStyle w:val="ListParagraph"/>
        <w:numPr>
          <w:ilvl w:val="0"/>
          <w:numId w:val="32"/>
        </w:numPr>
        <w:autoSpaceDE w:val="0"/>
        <w:autoSpaceDN w:val="0"/>
        <w:adjustRightInd w:val="0"/>
        <w:rPr>
          <w:rFonts w:eastAsia="HelenPro-Regular"/>
        </w:rPr>
      </w:pPr>
      <w:r w:rsidRPr="00F91971">
        <w:rPr>
          <w:rFonts w:eastAsia="HelenPro-Regular"/>
        </w:rPr>
        <w:t>The ARCHITECT CEA assay should not be used as a cancer screening test.</w:t>
      </w:r>
    </w:p>
    <w:p w:rsidR="00F91971" w:rsidRPr="00F91971" w:rsidRDefault="00F91971" w:rsidP="00F91971">
      <w:pPr>
        <w:pStyle w:val="ListParagraph"/>
        <w:numPr>
          <w:ilvl w:val="0"/>
          <w:numId w:val="32"/>
        </w:numPr>
        <w:autoSpaceDE w:val="0"/>
        <w:autoSpaceDN w:val="0"/>
        <w:adjustRightInd w:val="0"/>
        <w:rPr>
          <w:rFonts w:eastAsia="HelenPro-Regular"/>
        </w:rPr>
      </w:pPr>
      <w:r w:rsidRPr="00F91971">
        <w:rPr>
          <w:rFonts w:eastAsia="HelenPro-Regular"/>
        </w:rPr>
        <w:t>Patients with confirmed carcinoma frequently have a pretreatment CEA level in the same range as healthy individuals. Elevations in circulating CEA levels may be observed in smokers as well as patients with nonmalignant disease. For these reasons, a serum or plasma CEA level, regardless of value, should not be interpreted as absolute evidence for the presence or absence of malignant disease. The CEA level should be used in conjunction with information available from clinical evaluation and other diagnostic procedures</w:t>
      </w:r>
      <w:r w:rsidRPr="00F91971">
        <w:rPr>
          <w:rFonts w:ascii="HelenPro-Regular" w:eastAsia="HelenPro-Regular" w:cs="HelenPro-Regular"/>
          <w:sz w:val="16"/>
          <w:szCs w:val="16"/>
        </w:rPr>
        <w:t>.</w:t>
      </w:r>
    </w:p>
    <w:p w:rsidR="00126B1C" w:rsidRDefault="00126B1C" w:rsidP="003C5BC8">
      <w:pPr>
        <w:autoSpaceDE w:val="0"/>
        <w:autoSpaceDN w:val="0"/>
        <w:adjustRightInd w:val="0"/>
        <w:ind w:left="270"/>
        <w:rPr>
          <w:rFonts w:eastAsia="HelenPro-Bold"/>
          <w:b/>
          <w:bCs/>
        </w:rPr>
      </w:pPr>
    </w:p>
    <w:p w:rsidR="00887473" w:rsidRPr="002578A2" w:rsidRDefault="002578A2" w:rsidP="002578A2">
      <w:pPr>
        <w:autoSpaceDE w:val="0"/>
        <w:autoSpaceDN w:val="0"/>
        <w:adjustRightInd w:val="0"/>
        <w:rPr>
          <w:rFonts w:eastAsia="HelenPro-Regular"/>
          <w:b/>
        </w:rPr>
      </w:pPr>
      <w:r w:rsidRPr="005D76E9">
        <w:rPr>
          <w:rFonts w:eastAsia="HelenPro-Regular"/>
          <w:b/>
        </w:rPr>
        <w:t xml:space="preserve">   </w:t>
      </w:r>
      <w:r w:rsidRPr="002578A2">
        <w:rPr>
          <w:rFonts w:eastAsia="HelenPro-Regular"/>
          <w:b/>
        </w:rPr>
        <w:t>Specificity</w:t>
      </w:r>
    </w:p>
    <w:p w:rsidR="00F91971" w:rsidRPr="00F91971" w:rsidRDefault="00F91971" w:rsidP="00F91971">
      <w:pPr>
        <w:autoSpaceDE w:val="0"/>
        <w:autoSpaceDN w:val="0"/>
        <w:adjustRightInd w:val="0"/>
        <w:rPr>
          <w:rFonts w:eastAsia="HelenPro-Regular"/>
        </w:rPr>
      </w:pPr>
      <w:r w:rsidRPr="00F91971">
        <w:rPr>
          <w:rFonts w:eastAsia="HelenPro-Regular"/>
        </w:rPr>
        <w:t xml:space="preserve">The specificity of the ARCHITECT CEA </w:t>
      </w:r>
      <w:r>
        <w:rPr>
          <w:rFonts w:eastAsia="HelenPro-Regular"/>
        </w:rPr>
        <w:t xml:space="preserve">assay was determined by testing </w:t>
      </w:r>
      <w:r w:rsidRPr="00F91971">
        <w:rPr>
          <w:rFonts w:eastAsia="HelenPro-Regular"/>
        </w:rPr>
        <w:t>sera containing the compounds listed below. These compounds showed</w:t>
      </w:r>
      <w:r>
        <w:rPr>
          <w:rFonts w:eastAsia="HelenPro-Regular"/>
        </w:rPr>
        <w:t xml:space="preserve"> </w:t>
      </w:r>
      <w:r w:rsidRPr="00F91971">
        <w:rPr>
          <w:rFonts w:eastAsia="HelenPro-Regular"/>
        </w:rPr>
        <w:t>less than 10% interference in the ARCHITECT CEA assay at the levels</w:t>
      </w:r>
      <w:r>
        <w:rPr>
          <w:rFonts w:eastAsia="HelenPro-Regular"/>
        </w:rPr>
        <w:t xml:space="preserve"> </w:t>
      </w:r>
      <w:r w:rsidRPr="00F91971">
        <w:rPr>
          <w:rFonts w:eastAsia="HelenPro-Regular"/>
        </w:rPr>
        <w:t>indicated.</w:t>
      </w:r>
    </w:p>
    <w:p w:rsidR="00F91971" w:rsidRPr="00F91971" w:rsidRDefault="00F91971" w:rsidP="00F91971">
      <w:pPr>
        <w:autoSpaceDE w:val="0"/>
        <w:autoSpaceDN w:val="0"/>
        <w:adjustRightInd w:val="0"/>
        <w:rPr>
          <w:rFonts w:eastAsia="HelenPro-Regular"/>
        </w:rPr>
      </w:pPr>
      <w:r w:rsidRPr="00F91971">
        <w:rPr>
          <w:rFonts w:eastAsia="HelenPro-Regular"/>
          <w:u w:val="single"/>
        </w:rPr>
        <w:t>Test Compound</w:t>
      </w:r>
      <w:r w:rsidRPr="00F91971">
        <w:rPr>
          <w:rFonts w:eastAsia="HelenPro-Regular"/>
        </w:rPr>
        <w:t xml:space="preserve"> </w:t>
      </w:r>
      <w:r>
        <w:rPr>
          <w:rFonts w:eastAsia="HelenPro-Regular"/>
        </w:rPr>
        <w:tab/>
      </w:r>
      <w:r>
        <w:rPr>
          <w:rFonts w:eastAsia="HelenPro-Regular"/>
        </w:rPr>
        <w:tab/>
      </w:r>
      <w:r>
        <w:rPr>
          <w:rFonts w:eastAsia="HelenPro-Regular"/>
        </w:rPr>
        <w:tab/>
      </w:r>
      <w:r>
        <w:rPr>
          <w:rFonts w:eastAsia="HelenPro-Regular"/>
        </w:rPr>
        <w:tab/>
      </w:r>
      <w:r w:rsidRPr="00F91971">
        <w:rPr>
          <w:rFonts w:eastAsia="HelenPro-Regular"/>
          <w:u w:val="single"/>
        </w:rPr>
        <w:t>Test Concentration</w:t>
      </w:r>
    </w:p>
    <w:p w:rsidR="00F91971" w:rsidRPr="00F91971" w:rsidRDefault="00F91971" w:rsidP="00F91971">
      <w:pPr>
        <w:autoSpaceDE w:val="0"/>
        <w:autoSpaceDN w:val="0"/>
        <w:adjustRightInd w:val="0"/>
        <w:rPr>
          <w:rFonts w:eastAsia="HelenPro-Regular"/>
        </w:rPr>
      </w:pPr>
      <w:r w:rsidRPr="00F91971">
        <w:rPr>
          <w:rFonts w:eastAsia="HelenPro-Regular"/>
        </w:rPr>
        <w:t xml:space="preserve">Bilirubin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F91971">
        <w:rPr>
          <w:rFonts w:eastAsia="HelenPro-Regular"/>
        </w:rPr>
        <w:t>22 mg/</w:t>
      </w:r>
      <w:proofErr w:type="spellStart"/>
      <w:r w:rsidRPr="00F91971">
        <w:rPr>
          <w:rFonts w:eastAsia="HelenPro-Regular"/>
        </w:rPr>
        <w:t>dL</w:t>
      </w:r>
      <w:proofErr w:type="spellEnd"/>
    </w:p>
    <w:p w:rsidR="00F91971" w:rsidRPr="00F91971" w:rsidRDefault="00F91971" w:rsidP="00F91971">
      <w:pPr>
        <w:autoSpaceDE w:val="0"/>
        <w:autoSpaceDN w:val="0"/>
        <w:adjustRightInd w:val="0"/>
        <w:rPr>
          <w:rFonts w:eastAsia="HelenPro-Regular"/>
        </w:rPr>
      </w:pPr>
      <w:r w:rsidRPr="00F91971">
        <w:rPr>
          <w:rFonts w:eastAsia="HelenPro-Regular"/>
        </w:rPr>
        <w:t xml:space="preserve">Hemoglobin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F91971">
        <w:rPr>
          <w:rFonts w:eastAsia="HelenPro-Regular"/>
        </w:rPr>
        <w:t>550 mg/</w:t>
      </w:r>
      <w:proofErr w:type="spellStart"/>
      <w:r w:rsidRPr="00F91971">
        <w:rPr>
          <w:rFonts w:eastAsia="HelenPro-Regular"/>
        </w:rPr>
        <w:t>dL</w:t>
      </w:r>
      <w:proofErr w:type="spellEnd"/>
    </w:p>
    <w:p w:rsidR="00F91971" w:rsidRPr="00F91971" w:rsidRDefault="00F91971" w:rsidP="00F91971">
      <w:pPr>
        <w:autoSpaceDE w:val="0"/>
        <w:autoSpaceDN w:val="0"/>
        <w:adjustRightInd w:val="0"/>
        <w:rPr>
          <w:rFonts w:eastAsia="HelenPro-Regular"/>
        </w:rPr>
      </w:pPr>
      <w:r w:rsidRPr="00F91971">
        <w:rPr>
          <w:rFonts w:eastAsia="HelenPro-Regular"/>
        </w:rPr>
        <w:t xml:space="preserve">Total Protein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F91971">
        <w:rPr>
          <w:rFonts w:eastAsia="HelenPro-Regular"/>
        </w:rPr>
        <w:t>1.8 to 13.2 g/</w:t>
      </w:r>
      <w:proofErr w:type="spellStart"/>
      <w:r w:rsidRPr="00F91971">
        <w:rPr>
          <w:rFonts w:eastAsia="HelenPro-Regular"/>
        </w:rPr>
        <w:t>dL</w:t>
      </w:r>
      <w:proofErr w:type="spellEnd"/>
    </w:p>
    <w:p w:rsidR="00887473" w:rsidRPr="00F91971" w:rsidRDefault="00F91971" w:rsidP="00F91971">
      <w:pPr>
        <w:autoSpaceDE w:val="0"/>
        <w:autoSpaceDN w:val="0"/>
        <w:adjustRightInd w:val="0"/>
        <w:rPr>
          <w:rFonts w:eastAsia="HelenPro-Regular"/>
        </w:rPr>
      </w:pPr>
      <w:r w:rsidRPr="00F91971">
        <w:rPr>
          <w:rFonts w:eastAsia="HelenPro-Regular"/>
        </w:rPr>
        <w:t xml:space="preserve">Triglycerides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F91971">
        <w:rPr>
          <w:rFonts w:eastAsia="HelenPro-Regular"/>
        </w:rPr>
        <w:t>3300 mg/</w:t>
      </w:r>
      <w:proofErr w:type="spellStart"/>
      <w:r w:rsidRPr="00F91971">
        <w:rPr>
          <w:rFonts w:eastAsia="HelenPro-Regular"/>
        </w:rPr>
        <w:t>dL</w:t>
      </w:r>
      <w:proofErr w:type="spellEnd"/>
    </w:p>
    <w:p w:rsidR="001528ED" w:rsidRPr="00126B1C" w:rsidRDefault="001528ED" w:rsidP="00733949">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D16B69" w:rsidRPr="00B63E88" w:rsidRDefault="00D16B69" w:rsidP="00D16B69">
      <w:pPr>
        <w:jc w:val="both"/>
        <w:rPr>
          <w:b/>
        </w:rPr>
      </w:pPr>
      <w:r w:rsidRPr="00B63E88">
        <w:rPr>
          <w:b/>
        </w:rPr>
        <w:t>References:</w:t>
      </w:r>
      <w:r w:rsidR="00973EAF" w:rsidRPr="00B63E88">
        <w:rPr>
          <w:b/>
        </w:rPr>
        <w:t xml:space="preserve"> </w:t>
      </w:r>
    </w:p>
    <w:p w:rsidR="000A13F2" w:rsidRPr="00B63E88" w:rsidRDefault="000A13F2" w:rsidP="00030CDD">
      <w:pPr>
        <w:pStyle w:val="ListParagraph"/>
        <w:numPr>
          <w:ilvl w:val="0"/>
          <w:numId w:val="4"/>
        </w:numPr>
        <w:rPr>
          <w:sz w:val="22"/>
          <w:szCs w:val="22"/>
        </w:rPr>
      </w:pPr>
      <w:r w:rsidRPr="00B63E88">
        <w:rPr>
          <w:sz w:val="22"/>
          <w:szCs w:val="22"/>
        </w:rPr>
        <w:t xml:space="preserve">ABBOTT ARCHITECT </w:t>
      </w:r>
      <w:r w:rsidR="00723C72" w:rsidRPr="00B63E88">
        <w:rPr>
          <w:sz w:val="22"/>
          <w:szCs w:val="22"/>
        </w:rPr>
        <w:t>CEA</w:t>
      </w:r>
      <w:r w:rsidRPr="00B63E88">
        <w:rPr>
          <w:sz w:val="22"/>
          <w:szCs w:val="22"/>
        </w:rPr>
        <w:t xml:space="preserve"> package insert</w:t>
      </w:r>
    </w:p>
    <w:p w:rsidR="000A13F2" w:rsidRPr="00B63E88" w:rsidRDefault="000A13F2" w:rsidP="000A13F2">
      <w:pPr>
        <w:pStyle w:val="ListParagraph"/>
        <w:rPr>
          <w:sz w:val="22"/>
          <w:szCs w:val="22"/>
        </w:rPr>
      </w:pPr>
      <w:r w:rsidRPr="00B63E88">
        <w:rPr>
          <w:sz w:val="22"/>
          <w:szCs w:val="22"/>
        </w:rPr>
        <w:t>Abbott Laboratories</w:t>
      </w:r>
    </w:p>
    <w:p w:rsidR="000A13F2" w:rsidRPr="00B63E88" w:rsidRDefault="000A13F2" w:rsidP="000A13F2">
      <w:pPr>
        <w:pStyle w:val="ListParagraph"/>
        <w:rPr>
          <w:sz w:val="22"/>
          <w:szCs w:val="22"/>
        </w:rPr>
      </w:pPr>
      <w:r w:rsidRPr="00B63E88">
        <w:rPr>
          <w:sz w:val="22"/>
          <w:szCs w:val="22"/>
        </w:rPr>
        <w:t>Diagnostics Division</w:t>
      </w:r>
    </w:p>
    <w:p w:rsidR="000A13F2" w:rsidRPr="00B63E88" w:rsidRDefault="000A13F2" w:rsidP="000A13F2">
      <w:pPr>
        <w:pStyle w:val="ListParagraph"/>
        <w:rPr>
          <w:sz w:val="22"/>
          <w:szCs w:val="22"/>
        </w:rPr>
      </w:pPr>
      <w:r w:rsidRPr="00B63E88">
        <w:rPr>
          <w:sz w:val="22"/>
          <w:szCs w:val="22"/>
        </w:rPr>
        <w:t>Abbott Park, IL  60064</w:t>
      </w:r>
    </w:p>
    <w:p w:rsidR="00425BA0" w:rsidRPr="00B63E88" w:rsidRDefault="00723C72" w:rsidP="00425BA0">
      <w:pPr>
        <w:pStyle w:val="ListParagraph"/>
        <w:rPr>
          <w:rFonts w:eastAsia="HelenPro-Bold"/>
          <w:b/>
          <w:bCs/>
          <w:sz w:val="20"/>
          <w:szCs w:val="20"/>
        </w:rPr>
      </w:pPr>
      <w:r w:rsidRPr="00B63E88">
        <w:rPr>
          <w:bCs/>
          <w:sz w:val="22"/>
          <w:szCs w:val="22"/>
        </w:rPr>
        <w:t>Aug</w:t>
      </w:r>
      <w:r w:rsidR="0074336C" w:rsidRPr="00B63E88">
        <w:rPr>
          <w:bCs/>
          <w:sz w:val="22"/>
          <w:szCs w:val="22"/>
        </w:rPr>
        <w:t xml:space="preserve"> 201</w:t>
      </w:r>
      <w:r w:rsidR="00C61A99" w:rsidRPr="00B63E88">
        <w:rPr>
          <w:bCs/>
          <w:sz w:val="22"/>
          <w:szCs w:val="22"/>
        </w:rPr>
        <w:t>3</w:t>
      </w:r>
      <w:r w:rsidR="000A13F2" w:rsidRPr="00B63E88">
        <w:rPr>
          <w:bCs/>
          <w:sz w:val="22"/>
          <w:szCs w:val="22"/>
        </w:rPr>
        <w:t xml:space="preserve"> </w:t>
      </w:r>
      <w:r w:rsidRPr="00B63E88">
        <w:rPr>
          <w:rFonts w:eastAsia="HelenPro-Bold"/>
          <w:bCs/>
        </w:rPr>
        <w:t>G4-3208/R03</w:t>
      </w:r>
    </w:p>
    <w:p w:rsidR="000A13F2" w:rsidRPr="00B63E88" w:rsidRDefault="000A13F2" w:rsidP="00425BA0">
      <w:pPr>
        <w:pStyle w:val="ListParagraph"/>
        <w:numPr>
          <w:ilvl w:val="0"/>
          <w:numId w:val="4"/>
        </w:numPr>
        <w:rPr>
          <w:rFonts w:eastAsia="HelenPro-Bold"/>
          <w:b/>
          <w:bCs/>
          <w:sz w:val="20"/>
          <w:szCs w:val="20"/>
        </w:rPr>
      </w:pPr>
      <w:r w:rsidRPr="00B63E88">
        <w:rPr>
          <w:sz w:val="22"/>
          <w:szCs w:val="22"/>
        </w:rPr>
        <w:t xml:space="preserve">ABBOTT ARCHITECT </w:t>
      </w:r>
      <w:r w:rsidR="00723C72" w:rsidRPr="00B63E88">
        <w:rPr>
          <w:sz w:val="22"/>
          <w:szCs w:val="22"/>
        </w:rPr>
        <w:t>CEA</w:t>
      </w:r>
      <w:r w:rsidR="00C61A99" w:rsidRPr="00B63E88">
        <w:rPr>
          <w:sz w:val="22"/>
          <w:szCs w:val="22"/>
        </w:rPr>
        <w:t xml:space="preserve"> </w:t>
      </w:r>
      <w:r w:rsidRPr="00B63E88">
        <w:rPr>
          <w:sz w:val="22"/>
          <w:szCs w:val="22"/>
        </w:rPr>
        <w:t>Calibrator package insert</w:t>
      </w:r>
    </w:p>
    <w:p w:rsidR="000A13F2" w:rsidRPr="00B63E88" w:rsidRDefault="000A13F2" w:rsidP="000A13F2">
      <w:pPr>
        <w:pStyle w:val="ListParagraph"/>
        <w:rPr>
          <w:sz w:val="22"/>
          <w:szCs w:val="22"/>
        </w:rPr>
      </w:pPr>
      <w:r w:rsidRPr="00B63E88">
        <w:rPr>
          <w:sz w:val="22"/>
          <w:szCs w:val="22"/>
        </w:rPr>
        <w:t>Abbott Laboratories</w:t>
      </w:r>
    </w:p>
    <w:p w:rsidR="000A13F2" w:rsidRPr="00B63E88" w:rsidRDefault="000A13F2" w:rsidP="000A13F2">
      <w:pPr>
        <w:pStyle w:val="ListParagraph"/>
        <w:rPr>
          <w:sz w:val="22"/>
          <w:szCs w:val="22"/>
        </w:rPr>
      </w:pPr>
      <w:r w:rsidRPr="00B63E88">
        <w:rPr>
          <w:sz w:val="22"/>
          <w:szCs w:val="22"/>
        </w:rPr>
        <w:t>Diagnostics Division</w:t>
      </w:r>
    </w:p>
    <w:p w:rsidR="000A13F2" w:rsidRPr="00B63E88" w:rsidRDefault="000A13F2" w:rsidP="000A13F2">
      <w:pPr>
        <w:pStyle w:val="ListParagraph"/>
        <w:rPr>
          <w:sz w:val="22"/>
          <w:szCs w:val="22"/>
        </w:rPr>
      </w:pPr>
      <w:r w:rsidRPr="00B63E88">
        <w:rPr>
          <w:sz w:val="22"/>
          <w:szCs w:val="22"/>
        </w:rPr>
        <w:t>Abbott Park, IL  60064</w:t>
      </w:r>
    </w:p>
    <w:p w:rsidR="00173EA4" w:rsidRPr="00B63E88" w:rsidRDefault="000A13F2" w:rsidP="00246FA8">
      <w:pPr>
        <w:pStyle w:val="ListParagraph"/>
        <w:numPr>
          <w:ilvl w:val="0"/>
          <w:numId w:val="4"/>
        </w:numPr>
        <w:spacing w:after="72"/>
        <w:jc w:val="both"/>
      </w:pPr>
      <w:r w:rsidRPr="00B63E88">
        <w:t>Abbott ARCHITECT</w:t>
      </w:r>
      <w:r w:rsidR="00941AE5" w:rsidRPr="00B63E88">
        <w:rPr>
          <w:lang w:val="ru-RU"/>
        </w:rPr>
        <w:t xml:space="preserve"> Operator’s Guid</w:t>
      </w:r>
      <w:r w:rsidR="00941AE5" w:rsidRPr="00B63E88">
        <w:t>e</w:t>
      </w:r>
    </w:p>
    <w:p w:rsidR="00941AE5" w:rsidRPr="00B63E88" w:rsidRDefault="00941AE5" w:rsidP="00941AE5">
      <w:pPr>
        <w:spacing w:after="72"/>
        <w:jc w:val="both"/>
      </w:pPr>
    </w:p>
    <w:p w:rsidR="00941AE5" w:rsidRPr="00B63E88" w:rsidRDefault="00941AE5" w:rsidP="00941AE5">
      <w:pPr>
        <w:spacing w:after="72"/>
        <w:jc w:val="both"/>
      </w:pPr>
    </w:p>
    <w:p w:rsidR="00173EA4" w:rsidRDefault="00173EA4" w:rsidP="00246FA8">
      <w:pPr>
        <w:rPr>
          <w:b/>
        </w:rPr>
      </w:pPr>
    </w:p>
    <w:p w:rsidR="00F91971" w:rsidRDefault="00F91971" w:rsidP="00246FA8">
      <w:pPr>
        <w:rPr>
          <w:b/>
        </w:rPr>
      </w:pPr>
    </w:p>
    <w:p w:rsidR="00F91971" w:rsidRDefault="00F91971" w:rsidP="00246FA8">
      <w:pPr>
        <w:rPr>
          <w:b/>
        </w:rPr>
      </w:pPr>
    </w:p>
    <w:p w:rsidR="00F91971" w:rsidRDefault="00F91971" w:rsidP="00246FA8">
      <w:pPr>
        <w:rPr>
          <w:b/>
        </w:rPr>
      </w:pPr>
    </w:p>
    <w:p w:rsidR="00F91971" w:rsidRDefault="00F91971" w:rsidP="00246FA8">
      <w:pPr>
        <w:rPr>
          <w:b/>
        </w:rPr>
      </w:pPr>
    </w:p>
    <w:p w:rsidR="005D76E9" w:rsidRDefault="005D76E9" w:rsidP="00246FA8">
      <w:pPr>
        <w:rPr>
          <w:b/>
        </w:rPr>
      </w:pPr>
    </w:p>
    <w:p w:rsidR="005D76E9" w:rsidRDefault="005D76E9"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D16B69" w:rsidRDefault="00D16B69" w:rsidP="00951C8E">
      <w:pPr>
        <w:spacing w:after="72"/>
        <w:jc w:val="both"/>
      </w:pPr>
    </w:p>
    <w:sectPr w:rsidR="00D16B69" w:rsidSect="00507B0C">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0D" w:rsidRDefault="00C53F0D">
      <w:r>
        <w:separator/>
      </w:r>
    </w:p>
  </w:endnote>
  <w:endnote w:type="continuationSeparator" w:id="0">
    <w:p w:rsidR="00C53F0D" w:rsidRDefault="00C5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66" w:rsidRDefault="009E5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286235">
      <w:rPr>
        <w:noProof/>
        <w:sz w:val="20"/>
        <w:szCs w:val="20"/>
      </w:rPr>
      <w:t>11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286235">
      <w:rPr>
        <w:noProof/>
        <w:sz w:val="20"/>
        <w:szCs w:val="20"/>
      </w:rPr>
      <w:t>11</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66" w:rsidRDefault="009E5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0D" w:rsidRDefault="00C53F0D">
      <w:r>
        <w:separator/>
      </w:r>
    </w:p>
  </w:footnote>
  <w:footnote w:type="continuationSeparator" w:id="0">
    <w:p w:rsidR="00C53F0D" w:rsidRDefault="00C53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66" w:rsidRDefault="009E5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9E5B66">
      <w:rPr>
        <w:b/>
        <w:sz w:val="20"/>
        <w:szCs w:val="20"/>
      </w:rPr>
      <w:t xml:space="preserve"> 4840-CH-180</w:t>
    </w:r>
  </w:p>
  <w:p w:rsidR="00B54C79" w:rsidRDefault="00B54C79" w:rsidP="00100BF8">
    <w:pPr>
      <w:jc w:val="right"/>
      <w:rPr>
        <w:sz w:val="20"/>
        <w:szCs w:val="20"/>
      </w:rPr>
    </w:pPr>
    <w:r>
      <w:rPr>
        <w:sz w:val="20"/>
        <w:szCs w:val="20"/>
      </w:rPr>
      <w:t xml:space="preserve">ARCHITECT </w:t>
    </w:r>
    <w:r w:rsidR="00523858">
      <w:rPr>
        <w:sz w:val="20"/>
        <w:szCs w:val="20"/>
      </w:rPr>
      <w:t>CEA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66" w:rsidRDefault="009E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29"/>
  </w:num>
  <w:num w:numId="4">
    <w:abstractNumId w:val="1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9"/>
  </w:num>
  <w:num w:numId="8">
    <w:abstractNumId w:val="0"/>
  </w:num>
  <w:num w:numId="9">
    <w:abstractNumId w:val="21"/>
  </w:num>
  <w:num w:numId="10">
    <w:abstractNumId w:val="17"/>
  </w:num>
  <w:num w:numId="11">
    <w:abstractNumId w:val="20"/>
  </w:num>
  <w:num w:numId="12">
    <w:abstractNumId w:val="2"/>
  </w:num>
  <w:num w:numId="13">
    <w:abstractNumId w:val="10"/>
  </w:num>
  <w:num w:numId="14">
    <w:abstractNumId w:val="14"/>
  </w:num>
  <w:num w:numId="15">
    <w:abstractNumId w:val="30"/>
  </w:num>
  <w:num w:numId="16">
    <w:abstractNumId w:val="18"/>
  </w:num>
  <w:num w:numId="17">
    <w:abstractNumId w:val="4"/>
  </w:num>
  <w:num w:numId="18">
    <w:abstractNumId w:val="23"/>
  </w:num>
  <w:num w:numId="19">
    <w:abstractNumId w:val="8"/>
  </w:num>
  <w:num w:numId="20">
    <w:abstractNumId w:val="11"/>
  </w:num>
  <w:num w:numId="21">
    <w:abstractNumId w:val="5"/>
  </w:num>
  <w:num w:numId="22">
    <w:abstractNumId w:val="19"/>
  </w:num>
  <w:num w:numId="23">
    <w:abstractNumId w:val="3"/>
  </w:num>
  <w:num w:numId="24">
    <w:abstractNumId w:val="24"/>
  </w:num>
  <w:num w:numId="25">
    <w:abstractNumId w:val="27"/>
  </w:num>
  <w:num w:numId="26">
    <w:abstractNumId w:val="13"/>
  </w:num>
  <w:num w:numId="27">
    <w:abstractNumId w:val="28"/>
  </w:num>
  <w:num w:numId="28">
    <w:abstractNumId w:val="15"/>
  </w:num>
  <w:num w:numId="29">
    <w:abstractNumId w:val="1"/>
  </w:num>
  <w:num w:numId="30">
    <w:abstractNumId w:val="6"/>
  </w:num>
  <w:num w:numId="31">
    <w:abstractNumId w:val="7"/>
  </w:num>
  <w:num w:numId="3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26B1C"/>
    <w:rsid w:val="001318C3"/>
    <w:rsid w:val="00132081"/>
    <w:rsid w:val="00133F38"/>
    <w:rsid w:val="0014554C"/>
    <w:rsid w:val="001528ED"/>
    <w:rsid w:val="00155687"/>
    <w:rsid w:val="00157696"/>
    <w:rsid w:val="0016247C"/>
    <w:rsid w:val="00167572"/>
    <w:rsid w:val="00172CF7"/>
    <w:rsid w:val="00173EA4"/>
    <w:rsid w:val="001756AB"/>
    <w:rsid w:val="00184D0E"/>
    <w:rsid w:val="00191F12"/>
    <w:rsid w:val="0019760C"/>
    <w:rsid w:val="001A639E"/>
    <w:rsid w:val="001B29A7"/>
    <w:rsid w:val="001B4267"/>
    <w:rsid w:val="001B5868"/>
    <w:rsid w:val="001C48DA"/>
    <w:rsid w:val="001D3841"/>
    <w:rsid w:val="001D6AE0"/>
    <w:rsid w:val="001E079E"/>
    <w:rsid w:val="001F32A9"/>
    <w:rsid w:val="001F6B7B"/>
    <w:rsid w:val="00211DD8"/>
    <w:rsid w:val="00246FA8"/>
    <w:rsid w:val="0025031C"/>
    <w:rsid w:val="00253C1F"/>
    <w:rsid w:val="00255C54"/>
    <w:rsid w:val="002578A2"/>
    <w:rsid w:val="002648A6"/>
    <w:rsid w:val="002649AA"/>
    <w:rsid w:val="002746A8"/>
    <w:rsid w:val="00286235"/>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FD5"/>
    <w:rsid w:val="0037463A"/>
    <w:rsid w:val="00380D60"/>
    <w:rsid w:val="0038442D"/>
    <w:rsid w:val="00386807"/>
    <w:rsid w:val="00396C4A"/>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73AF"/>
    <w:rsid w:val="004E0AFF"/>
    <w:rsid w:val="004F5F8A"/>
    <w:rsid w:val="0050716A"/>
    <w:rsid w:val="00507B0C"/>
    <w:rsid w:val="005169F4"/>
    <w:rsid w:val="00523858"/>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D76E9"/>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1812"/>
    <w:rsid w:val="00674186"/>
    <w:rsid w:val="00682038"/>
    <w:rsid w:val="00687C2F"/>
    <w:rsid w:val="006A15AE"/>
    <w:rsid w:val="006A5580"/>
    <w:rsid w:val="006A5AAE"/>
    <w:rsid w:val="006B0A70"/>
    <w:rsid w:val="006B3C65"/>
    <w:rsid w:val="006D28ED"/>
    <w:rsid w:val="006D40ED"/>
    <w:rsid w:val="006E5155"/>
    <w:rsid w:val="006F7F4F"/>
    <w:rsid w:val="007123A2"/>
    <w:rsid w:val="00714B7D"/>
    <w:rsid w:val="00714F24"/>
    <w:rsid w:val="00715D55"/>
    <w:rsid w:val="00723C72"/>
    <w:rsid w:val="00725F49"/>
    <w:rsid w:val="00733949"/>
    <w:rsid w:val="00742830"/>
    <w:rsid w:val="0074336C"/>
    <w:rsid w:val="00765A01"/>
    <w:rsid w:val="007703C0"/>
    <w:rsid w:val="007840DD"/>
    <w:rsid w:val="00794A6F"/>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F7947"/>
    <w:rsid w:val="008F794A"/>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E5B66"/>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81234"/>
    <w:rsid w:val="00A82E30"/>
    <w:rsid w:val="00A92E30"/>
    <w:rsid w:val="00AA271B"/>
    <w:rsid w:val="00AA7423"/>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8"/>
    <w:rsid w:val="00B63E8F"/>
    <w:rsid w:val="00B70AAC"/>
    <w:rsid w:val="00B712B1"/>
    <w:rsid w:val="00B72271"/>
    <w:rsid w:val="00B94EE2"/>
    <w:rsid w:val="00BA0054"/>
    <w:rsid w:val="00BA3154"/>
    <w:rsid w:val="00BB7014"/>
    <w:rsid w:val="00BC1EC4"/>
    <w:rsid w:val="00BC76E2"/>
    <w:rsid w:val="00BE40A6"/>
    <w:rsid w:val="00BF32B2"/>
    <w:rsid w:val="00C12B0A"/>
    <w:rsid w:val="00C32412"/>
    <w:rsid w:val="00C3571A"/>
    <w:rsid w:val="00C406ED"/>
    <w:rsid w:val="00C44099"/>
    <w:rsid w:val="00C46D5D"/>
    <w:rsid w:val="00C53E37"/>
    <w:rsid w:val="00C53F0D"/>
    <w:rsid w:val="00C61A99"/>
    <w:rsid w:val="00C63D0C"/>
    <w:rsid w:val="00C63D9F"/>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97A8C"/>
    <w:rsid w:val="00EA0152"/>
    <w:rsid w:val="00EA1269"/>
    <w:rsid w:val="00EA5970"/>
    <w:rsid w:val="00EA713D"/>
    <w:rsid w:val="00EB2F9F"/>
    <w:rsid w:val="00EB33FE"/>
    <w:rsid w:val="00EB72AA"/>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55E7B"/>
    <w:rsid w:val="00F61480"/>
    <w:rsid w:val="00F66836"/>
    <w:rsid w:val="00F7103F"/>
    <w:rsid w:val="00F7630F"/>
    <w:rsid w:val="00F80AD3"/>
    <w:rsid w:val="00F82D85"/>
    <w:rsid w:val="00F84979"/>
    <w:rsid w:val="00F86DEB"/>
    <w:rsid w:val="00F91000"/>
    <w:rsid w:val="00F91971"/>
    <w:rsid w:val="00F92520"/>
    <w:rsid w:val="00F92947"/>
    <w:rsid w:val="00F95946"/>
    <w:rsid w:val="00FA706C"/>
    <w:rsid w:val="00FB49F4"/>
    <w:rsid w:val="00FB7839"/>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 w:type="character" w:styleId="CommentReference">
    <w:name w:val="annotation reference"/>
    <w:basedOn w:val="DefaultParagraphFont"/>
    <w:semiHidden/>
    <w:unhideWhenUsed/>
    <w:rsid w:val="00B63E88"/>
    <w:rPr>
      <w:sz w:val="16"/>
      <w:szCs w:val="16"/>
    </w:rPr>
  </w:style>
  <w:style w:type="paragraph" w:styleId="CommentText">
    <w:name w:val="annotation text"/>
    <w:basedOn w:val="Normal"/>
    <w:link w:val="CommentTextChar"/>
    <w:semiHidden/>
    <w:unhideWhenUsed/>
    <w:rsid w:val="00B63E88"/>
    <w:rPr>
      <w:sz w:val="20"/>
      <w:szCs w:val="20"/>
    </w:rPr>
  </w:style>
  <w:style w:type="character" w:customStyle="1" w:styleId="CommentTextChar">
    <w:name w:val="Comment Text Char"/>
    <w:basedOn w:val="DefaultParagraphFont"/>
    <w:link w:val="CommentText"/>
    <w:semiHidden/>
    <w:rsid w:val="00B63E88"/>
  </w:style>
  <w:style w:type="paragraph" w:styleId="CommentSubject">
    <w:name w:val="annotation subject"/>
    <w:basedOn w:val="CommentText"/>
    <w:next w:val="CommentText"/>
    <w:link w:val="CommentSubjectChar"/>
    <w:semiHidden/>
    <w:unhideWhenUsed/>
    <w:rsid w:val="00B63E88"/>
    <w:rPr>
      <w:b/>
      <w:bCs/>
    </w:rPr>
  </w:style>
  <w:style w:type="character" w:customStyle="1" w:styleId="CommentSubjectChar">
    <w:name w:val="Comment Subject Char"/>
    <w:basedOn w:val="CommentTextChar"/>
    <w:link w:val="CommentSubject"/>
    <w:semiHidden/>
    <w:rsid w:val="00B63E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 w:type="character" w:styleId="CommentReference">
    <w:name w:val="annotation reference"/>
    <w:basedOn w:val="DefaultParagraphFont"/>
    <w:semiHidden/>
    <w:unhideWhenUsed/>
    <w:rsid w:val="00B63E88"/>
    <w:rPr>
      <w:sz w:val="16"/>
      <w:szCs w:val="16"/>
    </w:rPr>
  </w:style>
  <w:style w:type="paragraph" w:styleId="CommentText">
    <w:name w:val="annotation text"/>
    <w:basedOn w:val="Normal"/>
    <w:link w:val="CommentTextChar"/>
    <w:semiHidden/>
    <w:unhideWhenUsed/>
    <w:rsid w:val="00B63E88"/>
    <w:rPr>
      <w:sz w:val="20"/>
      <w:szCs w:val="20"/>
    </w:rPr>
  </w:style>
  <w:style w:type="character" w:customStyle="1" w:styleId="CommentTextChar">
    <w:name w:val="Comment Text Char"/>
    <w:basedOn w:val="DefaultParagraphFont"/>
    <w:link w:val="CommentText"/>
    <w:semiHidden/>
    <w:rsid w:val="00B63E88"/>
  </w:style>
  <w:style w:type="paragraph" w:styleId="CommentSubject">
    <w:name w:val="annotation subject"/>
    <w:basedOn w:val="CommentText"/>
    <w:next w:val="CommentText"/>
    <w:link w:val="CommentSubjectChar"/>
    <w:semiHidden/>
    <w:unhideWhenUsed/>
    <w:rsid w:val="00B63E88"/>
    <w:rPr>
      <w:b/>
      <w:bCs/>
    </w:rPr>
  </w:style>
  <w:style w:type="character" w:customStyle="1" w:styleId="CommentSubjectChar">
    <w:name w:val="Comment Subject Char"/>
    <w:basedOn w:val="CommentTextChar"/>
    <w:link w:val="CommentSubject"/>
    <w:semiHidden/>
    <w:rsid w:val="00B63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471A-843B-40E7-BBE3-A39E0913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2336</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15666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2018-08-22T17:12:00Z</dcterms:created>
  <dcterms:modified xsi:type="dcterms:W3CDTF">2018-10-22T15:42:00Z</dcterms:modified>
</cp:coreProperties>
</file>