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540470">
      <w:pPr>
        <w:rPr>
          <w:b/>
        </w:rPr>
      </w:pPr>
      <w:r>
        <w:rPr>
          <w:noProof/>
        </w:rPr>
        <w:drawing>
          <wp:inline distT="0" distB="0" distL="0" distR="0" wp14:anchorId="45B5B095" wp14:editId="6644107B">
            <wp:extent cx="2095500" cy="571500"/>
            <wp:effectExtent l="0" t="0" r="0" b="0"/>
            <wp:docPr id="5" name="Picture 5"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9E2662" w:rsidP="006107A2">
      <w:pPr>
        <w:jc w:val="center"/>
        <w:rPr>
          <w:rFonts w:eastAsia="HelenPro-Regular"/>
          <w:b/>
          <w:sz w:val="28"/>
          <w:szCs w:val="28"/>
        </w:rPr>
      </w:pPr>
      <w:r>
        <w:rPr>
          <w:rFonts w:eastAsia="HelenPro-Regular"/>
          <w:b/>
          <w:sz w:val="28"/>
          <w:szCs w:val="28"/>
        </w:rPr>
        <w:t>FREE T3</w:t>
      </w:r>
    </w:p>
    <w:p w:rsidR="0056023B" w:rsidRPr="001A639E" w:rsidRDefault="005765EB" w:rsidP="006107A2">
      <w:pPr>
        <w:jc w:val="center"/>
        <w:rPr>
          <w:b/>
          <w:sz w:val="28"/>
          <w:szCs w:val="28"/>
        </w:rPr>
      </w:pPr>
      <w:r>
        <w:rPr>
          <w:b/>
          <w:sz w:val="28"/>
          <w:szCs w:val="28"/>
        </w:rPr>
        <w:t xml:space="preserve">SERUM </w:t>
      </w:r>
      <w:r w:rsidR="009E2662">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DC16C5" w:rsidRPr="009E2662" w:rsidRDefault="009E2662" w:rsidP="009E2662">
      <w:pPr>
        <w:autoSpaceDE w:val="0"/>
        <w:autoSpaceDN w:val="0"/>
        <w:adjustRightInd w:val="0"/>
        <w:rPr>
          <w:rFonts w:eastAsia="HelenPro-Regular"/>
        </w:rPr>
      </w:pPr>
      <w:r w:rsidRPr="009E2662">
        <w:rPr>
          <w:rFonts w:eastAsia="HelenPro-Regular"/>
        </w:rPr>
        <w:t>The ARCHITECT Free T3 (FT3) assay is a</w:t>
      </w:r>
      <w:r>
        <w:rPr>
          <w:rFonts w:eastAsia="HelenPro-Regular"/>
        </w:rPr>
        <w:t xml:space="preserve"> </w:t>
      </w:r>
      <w:proofErr w:type="spellStart"/>
      <w:r>
        <w:rPr>
          <w:rFonts w:eastAsia="HelenPro-Regular"/>
        </w:rPr>
        <w:t>Chemiluminescent</w:t>
      </w:r>
      <w:proofErr w:type="spellEnd"/>
      <w:r>
        <w:rPr>
          <w:rFonts w:eastAsia="HelenPro-Regular"/>
        </w:rPr>
        <w:t xml:space="preserve"> </w:t>
      </w:r>
      <w:proofErr w:type="spellStart"/>
      <w:r>
        <w:rPr>
          <w:rFonts w:eastAsia="HelenPro-Regular"/>
        </w:rPr>
        <w:t>Microparticle</w:t>
      </w:r>
      <w:proofErr w:type="spellEnd"/>
      <w:r>
        <w:rPr>
          <w:rFonts w:eastAsia="HelenPro-Regular"/>
        </w:rPr>
        <w:t xml:space="preserve"> </w:t>
      </w:r>
      <w:r w:rsidRPr="009E2662">
        <w:rPr>
          <w:rFonts w:eastAsia="HelenPro-Regular"/>
        </w:rPr>
        <w:t>Immunoassay (CMIA) for the quantitative determination of free</w:t>
      </w:r>
      <w:r>
        <w:rPr>
          <w:rFonts w:eastAsia="HelenPro-Regular"/>
        </w:rPr>
        <w:t xml:space="preserve"> </w:t>
      </w:r>
      <w:proofErr w:type="spellStart"/>
      <w:r w:rsidRPr="009E2662">
        <w:rPr>
          <w:rFonts w:eastAsia="HelenPro-Regular"/>
        </w:rPr>
        <w:t>triiodothyronine</w:t>
      </w:r>
      <w:proofErr w:type="spellEnd"/>
      <w:r w:rsidRPr="009E2662">
        <w:rPr>
          <w:rFonts w:eastAsia="HelenPro-Regular"/>
        </w:rPr>
        <w:t xml:space="preserve"> (Free T3) in human serum and plasma.</w:t>
      </w:r>
    </w:p>
    <w:p w:rsidR="009E2662" w:rsidRDefault="009E2662" w:rsidP="006107A2">
      <w:pPr>
        <w:jc w:val="both"/>
        <w:rPr>
          <w:b/>
          <w:sz w:val="28"/>
          <w:szCs w:val="28"/>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2531B2" w:rsidRPr="002531B2" w:rsidRDefault="002531B2" w:rsidP="002531B2">
      <w:pPr>
        <w:autoSpaceDE w:val="0"/>
        <w:autoSpaceDN w:val="0"/>
        <w:adjustRightInd w:val="0"/>
        <w:rPr>
          <w:rFonts w:eastAsia="HelenPro-Regular"/>
        </w:rPr>
      </w:pPr>
      <w:r w:rsidRPr="002531B2">
        <w:rPr>
          <w:rFonts w:eastAsia="HelenPro-Regular"/>
        </w:rPr>
        <w:t xml:space="preserve">3,5,3’ </w:t>
      </w:r>
      <w:proofErr w:type="spellStart"/>
      <w:r w:rsidRPr="002531B2">
        <w:rPr>
          <w:rFonts w:eastAsia="HelenPro-Regular"/>
        </w:rPr>
        <w:t>Triiodothyronine</w:t>
      </w:r>
      <w:proofErr w:type="spellEnd"/>
      <w:r w:rsidRPr="002531B2">
        <w:rPr>
          <w:rFonts w:eastAsia="HelenPro-Regular"/>
        </w:rPr>
        <w:t xml:space="preserve"> (T3) is a thyroid </w:t>
      </w:r>
      <w:r>
        <w:rPr>
          <w:rFonts w:eastAsia="HelenPro-Regular"/>
        </w:rPr>
        <w:t xml:space="preserve">hormone with a molecular weight </w:t>
      </w:r>
      <w:r w:rsidRPr="002531B2">
        <w:rPr>
          <w:rFonts w:eastAsia="HelenPro-Regular"/>
        </w:rPr>
        <w:t xml:space="preserve">of 651 </w:t>
      </w:r>
      <w:proofErr w:type="spellStart"/>
      <w:r w:rsidRPr="002531B2">
        <w:rPr>
          <w:rFonts w:eastAsia="HelenPro-Regular"/>
        </w:rPr>
        <w:t>daltons</w:t>
      </w:r>
      <w:proofErr w:type="spellEnd"/>
      <w:r w:rsidRPr="002531B2">
        <w:rPr>
          <w:rFonts w:eastAsia="HelenPro-Regular"/>
        </w:rPr>
        <w:t xml:space="preserve"> and a half-life in serum of 1.5 days. T3 circulates in the</w:t>
      </w:r>
      <w:r>
        <w:rPr>
          <w:rFonts w:eastAsia="HelenPro-Regular"/>
        </w:rPr>
        <w:t xml:space="preserve"> </w:t>
      </w:r>
      <w:r w:rsidRPr="002531B2">
        <w:rPr>
          <w:rFonts w:eastAsia="HelenPro-Regular"/>
        </w:rPr>
        <w:t>blood as an equilibrium mixture of free and protein bound hormone. T3 is</w:t>
      </w:r>
      <w:r>
        <w:rPr>
          <w:rFonts w:eastAsia="HelenPro-Regular"/>
        </w:rPr>
        <w:t xml:space="preserve"> </w:t>
      </w:r>
      <w:r w:rsidRPr="002531B2">
        <w:rPr>
          <w:rFonts w:eastAsia="HelenPro-Regular"/>
        </w:rPr>
        <w:t xml:space="preserve">bound to </w:t>
      </w:r>
      <w:proofErr w:type="spellStart"/>
      <w:r w:rsidRPr="002531B2">
        <w:rPr>
          <w:rFonts w:eastAsia="HelenPro-Regular"/>
        </w:rPr>
        <w:t>thyroxine</w:t>
      </w:r>
      <w:proofErr w:type="spellEnd"/>
      <w:r w:rsidRPr="002531B2">
        <w:rPr>
          <w:rFonts w:eastAsia="HelenPro-Regular"/>
        </w:rPr>
        <w:t xml:space="preserve"> binding globulin (TBG), </w:t>
      </w:r>
      <w:proofErr w:type="spellStart"/>
      <w:r w:rsidRPr="002531B2">
        <w:rPr>
          <w:rFonts w:eastAsia="HelenPro-Regular"/>
        </w:rPr>
        <w:t>prealbumin</w:t>
      </w:r>
      <w:proofErr w:type="spellEnd"/>
      <w:r w:rsidRPr="002531B2">
        <w:rPr>
          <w:rFonts w:eastAsia="HelenPro-Regular"/>
        </w:rPr>
        <w:t>, and albumin. The</w:t>
      </w:r>
      <w:r>
        <w:rPr>
          <w:rFonts w:eastAsia="HelenPro-Regular"/>
        </w:rPr>
        <w:t xml:space="preserve"> </w:t>
      </w:r>
      <w:r w:rsidRPr="002531B2">
        <w:rPr>
          <w:rFonts w:eastAsia="HelenPro-Regular"/>
        </w:rPr>
        <w:t>actual distribution of T3 among these binding proteins is controversial as</w:t>
      </w:r>
      <w:r>
        <w:rPr>
          <w:rFonts w:eastAsia="HelenPro-Regular"/>
        </w:rPr>
        <w:t xml:space="preserve"> </w:t>
      </w:r>
      <w:r w:rsidRPr="002531B2">
        <w:rPr>
          <w:rFonts w:eastAsia="HelenPro-Regular"/>
        </w:rPr>
        <w:t xml:space="preserve">estimates range from 38-80% for TBG, 9-27% for </w:t>
      </w:r>
      <w:proofErr w:type="spellStart"/>
      <w:r w:rsidRPr="002531B2">
        <w:rPr>
          <w:rFonts w:eastAsia="HelenPro-Regular"/>
        </w:rPr>
        <w:t>prealbumin</w:t>
      </w:r>
      <w:proofErr w:type="spellEnd"/>
      <w:r w:rsidRPr="002531B2">
        <w:rPr>
          <w:rFonts w:eastAsia="HelenPro-Regular"/>
        </w:rPr>
        <w:t>, and 11-35%</w:t>
      </w:r>
      <w:r>
        <w:rPr>
          <w:rFonts w:eastAsia="HelenPro-Regular"/>
        </w:rPr>
        <w:t xml:space="preserve"> </w:t>
      </w:r>
      <w:r w:rsidRPr="002531B2">
        <w:rPr>
          <w:rFonts w:eastAsia="HelenPro-Regular"/>
        </w:rPr>
        <w:t>for albumin. The binding of these proteins is such that only 0.2-0.4% of</w:t>
      </w:r>
      <w:r>
        <w:rPr>
          <w:rFonts w:eastAsia="HelenPro-Regular"/>
        </w:rPr>
        <w:t xml:space="preserve"> </w:t>
      </w:r>
      <w:r w:rsidRPr="002531B2">
        <w:rPr>
          <w:rFonts w:eastAsia="HelenPro-Regular"/>
        </w:rPr>
        <w:t>the total T3 is present in solution as unbound or free T3. This free fraction</w:t>
      </w:r>
      <w:r>
        <w:rPr>
          <w:rFonts w:eastAsia="HelenPro-Regular"/>
        </w:rPr>
        <w:t xml:space="preserve"> </w:t>
      </w:r>
      <w:r w:rsidRPr="002531B2">
        <w:rPr>
          <w:rFonts w:eastAsia="HelenPro-Regular"/>
        </w:rPr>
        <w:t xml:space="preserve">represents the physiologically active thyroid hormone. Free T3 is typically elevated to a greater degree than free </w:t>
      </w:r>
      <w:proofErr w:type="spellStart"/>
      <w:r w:rsidRPr="002531B2">
        <w:rPr>
          <w:rFonts w:eastAsia="HelenPro-Regular"/>
        </w:rPr>
        <w:t>thyroxine</w:t>
      </w:r>
      <w:proofErr w:type="spellEnd"/>
      <w:r w:rsidRPr="002531B2">
        <w:rPr>
          <w:rFonts w:eastAsia="HelenPro-Regular"/>
        </w:rPr>
        <w:t xml:space="preserve"> (T4) in</w:t>
      </w:r>
      <w:r>
        <w:rPr>
          <w:rFonts w:eastAsia="HelenPro-Regular"/>
        </w:rPr>
        <w:t xml:space="preserve"> </w:t>
      </w:r>
      <w:r w:rsidRPr="002531B2">
        <w:rPr>
          <w:rFonts w:eastAsia="HelenPro-Regular"/>
        </w:rPr>
        <w:t>Graves’ disease. Occasionally, free T3 alone is elevated (T3 thyrotoxicosis)</w:t>
      </w:r>
      <w:r>
        <w:rPr>
          <w:rFonts w:eastAsia="HelenPro-Regular"/>
        </w:rPr>
        <w:t xml:space="preserve"> </w:t>
      </w:r>
      <w:r w:rsidRPr="002531B2">
        <w:rPr>
          <w:rFonts w:eastAsia="HelenPro-Regular"/>
        </w:rPr>
        <w:t>in about 5% of the hyperthyroid population. In contrast, levels of free T4</w:t>
      </w:r>
      <w:r>
        <w:rPr>
          <w:rFonts w:eastAsia="HelenPro-Regular"/>
        </w:rPr>
        <w:t xml:space="preserve"> </w:t>
      </w:r>
      <w:r w:rsidRPr="002531B2">
        <w:rPr>
          <w:rFonts w:eastAsia="HelenPro-Regular"/>
        </w:rPr>
        <w:t xml:space="preserve">are elevated to a greater degree than free T3 in toxic </w:t>
      </w:r>
      <w:proofErr w:type="spellStart"/>
      <w:r w:rsidRPr="002531B2">
        <w:rPr>
          <w:rFonts w:eastAsia="HelenPro-Regular"/>
        </w:rPr>
        <w:t>multinodular</w:t>
      </w:r>
      <w:proofErr w:type="spellEnd"/>
      <w:r w:rsidRPr="002531B2">
        <w:rPr>
          <w:rFonts w:eastAsia="HelenPro-Regular"/>
        </w:rPr>
        <w:t xml:space="preserve"> goiter</w:t>
      </w:r>
      <w:r>
        <w:rPr>
          <w:rFonts w:eastAsia="HelenPro-Regular"/>
        </w:rPr>
        <w:t xml:space="preserve"> </w:t>
      </w:r>
      <w:r w:rsidRPr="002531B2">
        <w:rPr>
          <w:rFonts w:eastAsia="HelenPro-Regular"/>
        </w:rPr>
        <w:t>and excessive T4 therapy. Serum free T3 is useful in distinguishing these</w:t>
      </w:r>
      <w:r>
        <w:rPr>
          <w:rFonts w:eastAsia="HelenPro-Regular"/>
        </w:rPr>
        <w:t xml:space="preserve"> </w:t>
      </w:r>
      <w:r w:rsidRPr="002531B2">
        <w:rPr>
          <w:rFonts w:eastAsia="HelenPro-Regular"/>
        </w:rPr>
        <w:t>forms of hyperthyroidism. Free T3 may also be important in monitoring</w:t>
      </w:r>
      <w:r>
        <w:rPr>
          <w:rFonts w:eastAsia="HelenPro-Regular"/>
        </w:rPr>
        <w:t xml:space="preserve"> </w:t>
      </w:r>
      <w:r w:rsidRPr="002531B2">
        <w:rPr>
          <w:rFonts w:eastAsia="HelenPro-Regular"/>
        </w:rPr>
        <w:t>patients on anti-thyroid therapy where treatment is focused on reducing</w:t>
      </w:r>
      <w:r>
        <w:rPr>
          <w:rFonts w:eastAsia="HelenPro-Regular"/>
        </w:rPr>
        <w:t xml:space="preserve"> </w:t>
      </w:r>
      <w:r w:rsidRPr="002531B2">
        <w:rPr>
          <w:rFonts w:eastAsia="HelenPro-Regular"/>
        </w:rPr>
        <w:t>the T3 production and the T4 conversion to T3. Serum free T3 may also</w:t>
      </w:r>
      <w:r>
        <w:rPr>
          <w:rFonts w:eastAsia="HelenPro-Regular"/>
        </w:rPr>
        <w:t xml:space="preserve"> </w:t>
      </w:r>
      <w:r w:rsidRPr="002531B2">
        <w:rPr>
          <w:rFonts w:eastAsia="HelenPro-Regular"/>
        </w:rPr>
        <w:t xml:space="preserve">be useful in assessing the severity of the </w:t>
      </w:r>
      <w:proofErr w:type="spellStart"/>
      <w:r w:rsidRPr="002531B2">
        <w:rPr>
          <w:rFonts w:eastAsia="HelenPro-Regular"/>
        </w:rPr>
        <w:t>thyrotoxic</w:t>
      </w:r>
      <w:proofErr w:type="spellEnd"/>
      <w:r w:rsidRPr="002531B2">
        <w:rPr>
          <w:rFonts w:eastAsia="HelenPro-Regular"/>
        </w:rPr>
        <w:t xml:space="preserve"> state.</w:t>
      </w:r>
    </w:p>
    <w:p w:rsidR="004C20DC" w:rsidRPr="004C20DC" w:rsidRDefault="002531B2" w:rsidP="002531B2">
      <w:pPr>
        <w:autoSpaceDE w:val="0"/>
        <w:autoSpaceDN w:val="0"/>
        <w:adjustRightInd w:val="0"/>
        <w:rPr>
          <w:rFonts w:eastAsia="HelenPro-Regular"/>
        </w:rPr>
      </w:pPr>
      <w:r w:rsidRPr="002531B2">
        <w:rPr>
          <w:rFonts w:eastAsia="HelenPro-Regular"/>
        </w:rPr>
        <w:t>The ARCHITECT Free T3 assay is to be u</w:t>
      </w:r>
      <w:r>
        <w:rPr>
          <w:rFonts w:eastAsia="HelenPro-Regular"/>
        </w:rPr>
        <w:t xml:space="preserve">sed as an aid in the assessment </w:t>
      </w:r>
      <w:r w:rsidRPr="002531B2">
        <w:rPr>
          <w:rFonts w:eastAsia="HelenPro-Regular"/>
        </w:rPr>
        <w:t>of thyroid status.</w:t>
      </w:r>
    </w:p>
    <w:p w:rsidR="0026243F" w:rsidRDefault="0026243F" w:rsidP="008A7F96">
      <w:pPr>
        <w:jc w:val="both"/>
        <w:rPr>
          <w:b/>
          <w:sz w:val="28"/>
          <w:szCs w:val="28"/>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2531B2" w:rsidRPr="002531B2" w:rsidRDefault="002531B2" w:rsidP="002531B2">
      <w:pPr>
        <w:autoSpaceDE w:val="0"/>
        <w:autoSpaceDN w:val="0"/>
        <w:adjustRightInd w:val="0"/>
        <w:rPr>
          <w:rFonts w:eastAsia="HelenPro-Regular"/>
        </w:rPr>
      </w:pPr>
      <w:r w:rsidRPr="002531B2">
        <w:rPr>
          <w:rFonts w:eastAsia="HelenPro-Regular"/>
        </w:rPr>
        <w:t>The ARCHITECT Free T3 assay is a tw</w:t>
      </w:r>
      <w:r>
        <w:rPr>
          <w:rFonts w:eastAsia="HelenPro-Regular"/>
        </w:rPr>
        <w:t xml:space="preserve">o-step immunoassay to determine </w:t>
      </w:r>
      <w:r w:rsidRPr="002531B2">
        <w:rPr>
          <w:rFonts w:eastAsia="HelenPro-Regular"/>
        </w:rPr>
        <w:t>the presence of free (unbound) T3 in human serum and plasma using</w:t>
      </w:r>
      <w:r>
        <w:rPr>
          <w:rFonts w:eastAsia="HelenPro-Regular"/>
        </w:rPr>
        <w:t xml:space="preserve"> </w:t>
      </w:r>
      <w:proofErr w:type="spellStart"/>
      <w:r w:rsidRPr="002531B2">
        <w:rPr>
          <w:rFonts w:eastAsia="HelenPro-Regular"/>
        </w:rPr>
        <w:t>Chemiluminescent</w:t>
      </w:r>
      <w:proofErr w:type="spellEnd"/>
      <w:r w:rsidRPr="002531B2">
        <w:rPr>
          <w:rFonts w:eastAsia="HelenPro-Regular"/>
        </w:rPr>
        <w:t xml:space="preserve"> </w:t>
      </w:r>
      <w:proofErr w:type="spellStart"/>
      <w:r w:rsidRPr="002531B2">
        <w:rPr>
          <w:rFonts w:eastAsia="HelenPro-Regular"/>
        </w:rPr>
        <w:t>Microparticle</w:t>
      </w:r>
      <w:proofErr w:type="spellEnd"/>
      <w:r w:rsidRPr="002531B2">
        <w:rPr>
          <w:rFonts w:eastAsia="HelenPro-Regular"/>
        </w:rPr>
        <w:t xml:space="preserve"> Immunoassay (CMIA) technology with</w:t>
      </w:r>
      <w:r>
        <w:rPr>
          <w:rFonts w:eastAsia="HelenPro-Regular"/>
        </w:rPr>
        <w:t xml:space="preserve"> </w:t>
      </w:r>
      <w:r w:rsidRPr="002531B2">
        <w:rPr>
          <w:rFonts w:eastAsia="HelenPro-Regular"/>
        </w:rPr>
        <w:t xml:space="preserve">flexible assay protocols, referred to as </w:t>
      </w:r>
      <w:proofErr w:type="spellStart"/>
      <w:r w:rsidRPr="002531B2">
        <w:rPr>
          <w:rFonts w:eastAsia="HelenPro-Regular"/>
        </w:rPr>
        <w:t>Chemiflex</w:t>
      </w:r>
      <w:proofErr w:type="spellEnd"/>
      <w:r w:rsidRPr="002531B2">
        <w:rPr>
          <w:rFonts w:eastAsia="HelenPro-Regular"/>
        </w:rPr>
        <w:t>.</w:t>
      </w:r>
      <w:r>
        <w:rPr>
          <w:rFonts w:eastAsia="HelenPro-Regular"/>
        </w:rPr>
        <w:t xml:space="preserve"> </w:t>
      </w:r>
      <w:r w:rsidRPr="002531B2">
        <w:rPr>
          <w:rFonts w:eastAsia="HelenPro-Regular"/>
        </w:rPr>
        <w:t xml:space="preserve">In the first step, sample and anti-T3 coated paramagnetic </w:t>
      </w:r>
      <w:proofErr w:type="spellStart"/>
      <w:r w:rsidRPr="002531B2">
        <w:rPr>
          <w:rFonts w:eastAsia="HelenPro-Regular"/>
        </w:rPr>
        <w:t>microparticles</w:t>
      </w:r>
      <w:proofErr w:type="spellEnd"/>
      <w:r>
        <w:rPr>
          <w:rFonts w:eastAsia="HelenPro-Regular"/>
        </w:rPr>
        <w:t xml:space="preserve"> </w:t>
      </w:r>
      <w:r w:rsidRPr="002531B2">
        <w:rPr>
          <w:rFonts w:eastAsia="HelenPro-Regular"/>
        </w:rPr>
        <w:t>are combined. Free T3 (unbound) present in the sample binds to the anti</w:t>
      </w:r>
      <w:r w:rsidRPr="002531B2">
        <w:rPr>
          <w:rFonts w:ascii="MS Mincho" w:eastAsia="MS Mincho" w:hAnsi="MS Mincho" w:cs="MS Mincho" w:hint="eastAsia"/>
        </w:rPr>
        <w:t>‑</w:t>
      </w:r>
      <w:r w:rsidRPr="002531B2">
        <w:rPr>
          <w:rFonts w:eastAsia="HelenPro-Regular"/>
        </w:rPr>
        <w:t>T3</w:t>
      </w:r>
      <w:r>
        <w:rPr>
          <w:rFonts w:eastAsia="HelenPro-Regular"/>
        </w:rPr>
        <w:t xml:space="preserve"> </w:t>
      </w:r>
      <w:r w:rsidRPr="002531B2">
        <w:rPr>
          <w:rFonts w:eastAsia="HelenPro-Regular"/>
        </w:rPr>
        <w:t xml:space="preserve">coated </w:t>
      </w:r>
      <w:proofErr w:type="spellStart"/>
      <w:r w:rsidRPr="002531B2">
        <w:rPr>
          <w:rFonts w:eastAsia="HelenPro-Regular"/>
        </w:rPr>
        <w:t>microparticles</w:t>
      </w:r>
      <w:proofErr w:type="spellEnd"/>
      <w:r w:rsidRPr="002531B2">
        <w:rPr>
          <w:rFonts w:eastAsia="HelenPro-Regular"/>
        </w:rPr>
        <w:t xml:space="preserve">. After washing, T3 </w:t>
      </w:r>
      <w:proofErr w:type="spellStart"/>
      <w:r w:rsidRPr="002531B2">
        <w:rPr>
          <w:rFonts w:eastAsia="HelenPro-Regular"/>
        </w:rPr>
        <w:t>acridinium</w:t>
      </w:r>
      <w:proofErr w:type="spellEnd"/>
      <w:r w:rsidRPr="002531B2">
        <w:rPr>
          <w:rFonts w:eastAsia="HelenPro-Regular"/>
        </w:rPr>
        <w:t xml:space="preserve"> labeled conjugate is</w:t>
      </w:r>
      <w:r>
        <w:rPr>
          <w:rFonts w:eastAsia="HelenPro-Regular"/>
        </w:rPr>
        <w:t xml:space="preserve"> </w:t>
      </w:r>
      <w:r w:rsidRPr="002531B2">
        <w:rPr>
          <w:rFonts w:eastAsia="HelenPro-Regular"/>
        </w:rPr>
        <w:t>added in the second step. Pre-Trigger and Trigger Solutions are then</w:t>
      </w:r>
      <w:r>
        <w:rPr>
          <w:rFonts w:eastAsia="HelenPro-Regular"/>
        </w:rPr>
        <w:t xml:space="preserve"> </w:t>
      </w:r>
      <w:r w:rsidRPr="002531B2">
        <w:rPr>
          <w:rFonts w:eastAsia="HelenPro-Regular"/>
        </w:rPr>
        <w:t xml:space="preserve">added to the reaction mixture; the resulting </w:t>
      </w:r>
      <w:proofErr w:type="spellStart"/>
      <w:r w:rsidRPr="002531B2">
        <w:rPr>
          <w:rFonts w:eastAsia="HelenPro-Regular"/>
        </w:rPr>
        <w:t>chemiluminescent</w:t>
      </w:r>
      <w:proofErr w:type="spellEnd"/>
      <w:r w:rsidRPr="002531B2">
        <w:rPr>
          <w:rFonts w:eastAsia="HelenPro-Regular"/>
        </w:rPr>
        <w:t xml:space="preserve"> reaction</w:t>
      </w:r>
      <w:r>
        <w:rPr>
          <w:rFonts w:eastAsia="HelenPro-Regular"/>
        </w:rPr>
        <w:t xml:space="preserve"> </w:t>
      </w:r>
      <w:r w:rsidRPr="002531B2">
        <w:rPr>
          <w:rFonts w:eastAsia="HelenPro-Regular"/>
        </w:rPr>
        <w:t>is measured as relative light units (RLUs). An inverse relationship exists</w:t>
      </w:r>
      <w:r>
        <w:rPr>
          <w:rFonts w:eastAsia="HelenPro-Regular"/>
        </w:rPr>
        <w:t xml:space="preserve"> </w:t>
      </w:r>
      <w:r w:rsidRPr="002531B2">
        <w:rPr>
          <w:rFonts w:eastAsia="HelenPro-Regular"/>
        </w:rPr>
        <w:t>between the amount of Free T3 in the sample and the RLUs detected by</w:t>
      </w:r>
      <w:r>
        <w:rPr>
          <w:rFonts w:eastAsia="HelenPro-Regular"/>
        </w:rPr>
        <w:t xml:space="preserve"> </w:t>
      </w:r>
      <w:r w:rsidRPr="002531B2">
        <w:rPr>
          <w:rFonts w:eastAsia="HelenPro-Regular"/>
        </w:rPr>
        <w:t xml:space="preserve">the ARCHITECT </w:t>
      </w:r>
      <w:proofErr w:type="spellStart"/>
      <w:r w:rsidRPr="002531B2">
        <w:rPr>
          <w:rFonts w:eastAsia="HelenPro-Regular"/>
          <w:i/>
          <w:iCs/>
        </w:rPr>
        <w:t>i</w:t>
      </w:r>
      <w:proofErr w:type="spellEnd"/>
      <w:r w:rsidRPr="002531B2">
        <w:rPr>
          <w:rFonts w:eastAsia="HelenPro-Regular"/>
          <w:i/>
          <w:iCs/>
        </w:rPr>
        <w:t xml:space="preserve"> </w:t>
      </w:r>
      <w:r w:rsidRPr="002531B2">
        <w:rPr>
          <w:rFonts w:eastAsia="HelenPro-Regular"/>
        </w:rPr>
        <w:t>optical system.</w:t>
      </w:r>
    </w:p>
    <w:p w:rsidR="004C20DC" w:rsidRPr="002531B2" w:rsidRDefault="002531B2" w:rsidP="002531B2">
      <w:pPr>
        <w:autoSpaceDE w:val="0"/>
        <w:autoSpaceDN w:val="0"/>
        <w:adjustRightInd w:val="0"/>
        <w:rPr>
          <w:rFonts w:eastAsia="HelenPro-Regular"/>
        </w:rPr>
      </w:pPr>
      <w:r w:rsidRPr="002531B2">
        <w:rPr>
          <w:rFonts w:eastAsia="HelenPro-Regular"/>
        </w:rPr>
        <w:t>For additional information on system and</w:t>
      </w:r>
      <w:r>
        <w:rPr>
          <w:rFonts w:eastAsia="HelenPro-Regular"/>
        </w:rPr>
        <w:t xml:space="preserve"> assay technology, refer to the </w:t>
      </w:r>
      <w:r w:rsidRPr="002531B2">
        <w:rPr>
          <w:rFonts w:eastAsia="HelenPro-Regular"/>
        </w:rPr>
        <w:t>ARCHITECT System Operations Manual, Section 3.</w:t>
      </w: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5D68AD" w:rsidRDefault="005D68AD" w:rsidP="005D68AD">
      <w:pPr>
        <w:pStyle w:val="ListParagraph"/>
        <w:autoSpaceDE w:val="0"/>
        <w:autoSpaceDN w:val="0"/>
        <w:adjustRightInd w:val="0"/>
        <w:rPr>
          <w:rFonts w:eastAsia="HelenPro-Regular"/>
        </w:rPr>
      </w:pPr>
      <w:r>
        <w:rPr>
          <w:noProof/>
        </w:rPr>
        <w:lastRenderedPageBreak/>
        <w:drawing>
          <wp:inline distT="0" distB="0" distL="0" distR="0" wp14:anchorId="37003ECA" wp14:editId="76A9E630">
            <wp:extent cx="345757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575" cy="1200150"/>
                    </a:xfrm>
                    <a:prstGeom prst="rect">
                      <a:avLst/>
                    </a:prstGeom>
                  </pic:spPr>
                </pic:pic>
              </a:graphicData>
            </a:graphic>
          </wp:inline>
        </w:drawing>
      </w:r>
    </w:p>
    <w:p w:rsidR="008E2859" w:rsidRPr="002531B2" w:rsidRDefault="002531B2" w:rsidP="002531B2">
      <w:pPr>
        <w:pStyle w:val="ListParagraph"/>
        <w:numPr>
          <w:ilvl w:val="0"/>
          <w:numId w:val="40"/>
        </w:numPr>
        <w:autoSpaceDE w:val="0"/>
        <w:autoSpaceDN w:val="0"/>
        <w:adjustRightInd w:val="0"/>
        <w:rPr>
          <w:rFonts w:eastAsia="HelenPro-Regular"/>
        </w:rPr>
      </w:pPr>
      <w:r w:rsidRPr="002531B2">
        <w:rPr>
          <w:rFonts w:eastAsia="HelenPro-Regular"/>
        </w:rPr>
        <w:t>When serial specimens are being evaluated, the same type of specimen should be used throughout the study.</w:t>
      </w:r>
    </w:p>
    <w:p w:rsidR="001C751A" w:rsidRPr="002531B2" w:rsidRDefault="001C751A" w:rsidP="001C751A">
      <w:pPr>
        <w:autoSpaceDE w:val="0"/>
        <w:autoSpaceDN w:val="0"/>
        <w:adjustRightInd w:val="0"/>
        <w:rPr>
          <w:rFonts w:eastAsia="HelenPro-Regular"/>
        </w:rPr>
      </w:pPr>
    </w:p>
    <w:p w:rsidR="001C751A" w:rsidRPr="002531B2" w:rsidRDefault="001C751A" w:rsidP="001C751A">
      <w:pPr>
        <w:autoSpaceDE w:val="0"/>
        <w:autoSpaceDN w:val="0"/>
        <w:adjustRightInd w:val="0"/>
        <w:rPr>
          <w:rFonts w:eastAsia="HelenPro-Regular"/>
        </w:rPr>
      </w:pPr>
      <w:r w:rsidRPr="002531B2">
        <w:rPr>
          <w:rFonts w:eastAsia="HelenPro-Regular"/>
        </w:rPr>
        <w:t>Do not use specimens with the following conditions:</w:t>
      </w:r>
    </w:p>
    <w:p w:rsidR="005765EB" w:rsidRPr="002531B2" w:rsidRDefault="001C751A" w:rsidP="005765EB">
      <w:pPr>
        <w:autoSpaceDE w:val="0"/>
        <w:autoSpaceDN w:val="0"/>
        <w:adjustRightInd w:val="0"/>
        <w:ind w:left="720"/>
        <w:rPr>
          <w:rFonts w:eastAsia="HelenPro-Regular"/>
        </w:rPr>
      </w:pPr>
      <w:r w:rsidRPr="002531B2">
        <w:rPr>
          <w:rFonts w:eastAsia="HelenPro-Bold"/>
          <w:b/>
          <w:bCs/>
        </w:rPr>
        <w:t xml:space="preserve">• </w:t>
      </w:r>
      <w:r w:rsidR="002531B2" w:rsidRPr="002531B2">
        <w:rPr>
          <w:rFonts w:eastAsia="HelenPro-Regular"/>
        </w:rPr>
        <w:t>heat inactivated</w:t>
      </w:r>
      <w:r w:rsidR="005765EB" w:rsidRPr="002531B2">
        <w:rPr>
          <w:rFonts w:eastAsia="HelenPro-Regular"/>
        </w:rPr>
        <w:t xml:space="preserve"> </w:t>
      </w:r>
    </w:p>
    <w:p w:rsidR="00C661EB" w:rsidRPr="002531B2" w:rsidRDefault="00C661EB" w:rsidP="002531B2">
      <w:pPr>
        <w:autoSpaceDE w:val="0"/>
        <w:autoSpaceDN w:val="0"/>
        <w:adjustRightInd w:val="0"/>
        <w:ind w:left="720"/>
        <w:rPr>
          <w:rFonts w:eastAsia="HelenPro-Regular"/>
        </w:rPr>
      </w:pPr>
    </w:p>
    <w:p w:rsidR="00C661EB" w:rsidRDefault="00C661EB" w:rsidP="00C661EB">
      <w:pPr>
        <w:autoSpaceDE w:val="0"/>
        <w:autoSpaceDN w:val="0"/>
        <w:adjustRightInd w:val="0"/>
        <w:rPr>
          <w:rFonts w:eastAsia="HelenPro-Bold"/>
          <w:b/>
          <w:bCs/>
        </w:rPr>
      </w:pPr>
      <w:r w:rsidRPr="002531B2">
        <w:rPr>
          <w:rFonts w:eastAsia="HelenPro-Bold"/>
          <w:b/>
          <w:bCs/>
        </w:rPr>
        <w:t>Storage</w:t>
      </w:r>
    </w:p>
    <w:p w:rsidR="005D68AD" w:rsidRPr="002531B2" w:rsidRDefault="005D68AD" w:rsidP="00C661EB">
      <w:pPr>
        <w:autoSpaceDE w:val="0"/>
        <w:autoSpaceDN w:val="0"/>
        <w:adjustRightInd w:val="0"/>
        <w:rPr>
          <w:rFonts w:eastAsia="HelenPro-Bold"/>
          <w:b/>
          <w:bCs/>
        </w:rPr>
      </w:pPr>
      <w:r>
        <w:rPr>
          <w:noProof/>
        </w:rPr>
        <w:drawing>
          <wp:inline distT="0" distB="0" distL="0" distR="0" wp14:anchorId="2CFAEBAD" wp14:editId="1E596BAA">
            <wp:extent cx="35814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81400" cy="419100"/>
                    </a:xfrm>
                    <a:prstGeom prst="rect">
                      <a:avLst/>
                    </a:prstGeom>
                  </pic:spPr>
                </pic:pic>
              </a:graphicData>
            </a:graphic>
          </wp:inline>
        </w:drawing>
      </w:r>
    </w:p>
    <w:p w:rsidR="002531B2" w:rsidRPr="002531B2" w:rsidRDefault="002531B2" w:rsidP="002531B2">
      <w:pPr>
        <w:pStyle w:val="ListParagraph"/>
        <w:numPr>
          <w:ilvl w:val="0"/>
          <w:numId w:val="41"/>
        </w:numPr>
        <w:autoSpaceDE w:val="0"/>
        <w:autoSpaceDN w:val="0"/>
        <w:adjustRightInd w:val="0"/>
        <w:rPr>
          <w:rFonts w:eastAsia="HelenPro-Regular"/>
        </w:rPr>
      </w:pPr>
      <w:r w:rsidRPr="002531B2">
        <w:rPr>
          <w:rFonts w:eastAsia="HelenPro-Regular"/>
        </w:rPr>
        <w:t>If testing will be delayed more than 24 hours, remove serum or plasma from the clot, serum separator or red blood cells. Specimens may be stored for up to 6 days at 2-8°C prior to being tested. If testing will be delayed more than 6 days, specimens should be frozen at -10°C or colder. Specimens stored frozen at -10°C or colder for 6 days showed no performance difference.</w:t>
      </w:r>
    </w:p>
    <w:p w:rsidR="00A54DD8" w:rsidRPr="002531B2" w:rsidRDefault="002531B2" w:rsidP="002531B2">
      <w:pPr>
        <w:pStyle w:val="ListParagraph"/>
        <w:numPr>
          <w:ilvl w:val="0"/>
          <w:numId w:val="41"/>
        </w:numPr>
        <w:autoSpaceDE w:val="0"/>
        <w:autoSpaceDN w:val="0"/>
        <w:adjustRightInd w:val="0"/>
        <w:rPr>
          <w:rFonts w:eastAsia="HelenPro-Regular"/>
        </w:rPr>
      </w:pPr>
      <w:r w:rsidRPr="002531B2">
        <w:rPr>
          <w:rFonts w:eastAsia="HelenPro-Regular"/>
        </w:rPr>
        <w:t>Multiple freeze-thaw cycles of specimens should be avoided.</w:t>
      </w:r>
    </w:p>
    <w:p w:rsidR="00920353" w:rsidRDefault="0092035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A54DD8" w:rsidRPr="002531B2" w:rsidRDefault="002531B2" w:rsidP="00973EAF">
      <w:pPr>
        <w:ind w:firstLine="720"/>
        <w:rPr>
          <w:b/>
        </w:rPr>
      </w:pPr>
      <w:r w:rsidRPr="002531B2">
        <w:rPr>
          <w:rFonts w:eastAsia="HelenPro-Regular"/>
        </w:rPr>
        <w:t>7K63 ARCHITECT Free T3 Reagent Kit</w:t>
      </w:r>
    </w:p>
    <w:p w:rsidR="002531B2" w:rsidRDefault="002531B2"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132894" w:rsidRPr="002531B2">
        <w:rPr>
          <w:rFonts w:eastAsia="HelenPro-Regular"/>
        </w:rPr>
        <w:t xml:space="preserve">Free T3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2531B2" w:rsidRPr="002531B2" w:rsidRDefault="005765EB" w:rsidP="002531B2">
      <w:pPr>
        <w:autoSpaceDE w:val="0"/>
        <w:autoSpaceDN w:val="0"/>
        <w:adjustRightInd w:val="0"/>
        <w:rPr>
          <w:rFonts w:eastAsia="HelenPro-Regular"/>
        </w:rPr>
      </w:pPr>
      <w:r w:rsidRPr="002531B2">
        <w:rPr>
          <w:rFonts w:eastAsia="HelenPro-Bold"/>
          <w:b/>
          <w:bCs/>
        </w:rPr>
        <w:t>•</w:t>
      </w:r>
      <w:r w:rsidRPr="002531B2">
        <w:rPr>
          <w:rFonts w:eastAsia="HelenPro-Regular"/>
        </w:rPr>
        <w:t xml:space="preserve"> </w:t>
      </w:r>
      <w:r w:rsidR="002531B2" w:rsidRPr="002531B2">
        <w:rPr>
          <w:rFonts w:eastAsia="HelenPro-Regular"/>
        </w:rPr>
        <w:t>7K63-01 ARCHITECT Free T3 Calibrators</w:t>
      </w:r>
    </w:p>
    <w:p w:rsidR="00A54DD8" w:rsidRPr="002531B2" w:rsidRDefault="002531B2" w:rsidP="002531B2">
      <w:pPr>
        <w:autoSpaceDE w:val="0"/>
        <w:autoSpaceDN w:val="0"/>
        <w:adjustRightInd w:val="0"/>
        <w:rPr>
          <w:rFonts w:eastAsia="HelenPro-Regular"/>
        </w:rPr>
      </w:pPr>
      <w:r w:rsidRPr="002531B2">
        <w:rPr>
          <w:rFonts w:eastAsia="HelenPro-Bold"/>
          <w:b/>
          <w:bCs/>
        </w:rPr>
        <w:t xml:space="preserve">• </w:t>
      </w:r>
      <w:r w:rsidRPr="002531B2">
        <w:rPr>
          <w:rFonts w:eastAsia="HelenPro-Regular"/>
        </w:rPr>
        <w:t>7K63-10 ARCHITECT Free T3 Controls</w:t>
      </w:r>
    </w:p>
    <w:p w:rsidR="008036AC" w:rsidRPr="00B54C79" w:rsidRDefault="00B54C79" w:rsidP="005765E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lastRenderedPageBreak/>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4E3937" w:rsidRDefault="005D68AD" w:rsidP="0038442D">
      <w:pPr>
        <w:autoSpaceDE w:val="0"/>
        <w:autoSpaceDN w:val="0"/>
        <w:adjustRightInd w:val="0"/>
        <w:rPr>
          <w:rFonts w:eastAsia="HelenPro-Bold"/>
          <w:b/>
          <w:bCs/>
        </w:rPr>
      </w:pPr>
      <w:r>
        <w:rPr>
          <w:noProof/>
        </w:rPr>
        <w:drawing>
          <wp:inline distT="0" distB="0" distL="0" distR="0" wp14:anchorId="4FFAC588" wp14:editId="4FC706E8">
            <wp:extent cx="3514725" cy="3648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4725" cy="3648075"/>
                    </a:xfrm>
                    <a:prstGeom prst="rect">
                      <a:avLst/>
                    </a:prstGeom>
                  </pic:spPr>
                </pic:pic>
              </a:graphicData>
            </a:graphic>
          </wp:inline>
        </w:drawing>
      </w: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lastRenderedPageBreak/>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44368A" w:rsidRDefault="0038442D" w:rsidP="0044368A">
      <w:pPr>
        <w:autoSpaceDE w:val="0"/>
        <w:autoSpaceDN w:val="0"/>
        <w:adjustRightInd w:val="0"/>
        <w:ind w:firstLine="360"/>
        <w:rPr>
          <w:rFonts w:eastAsia="HelenPro-Bold"/>
          <w:b/>
          <w:bCs/>
        </w:rPr>
      </w:pPr>
      <w:r w:rsidRPr="00C32412">
        <w:rPr>
          <w:rFonts w:eastAsia="HelenPro-Bold"/>
          <w:b/>
          <w:bCs/>
        </w:rPr>
        <w:t>Reagent Storage</w:t>
      </w:r>
    </w:p>
    <w:p w:rsidR="0044368A" w:rsidRPr="0044368A" w:rsidRDefault="0044368A" w:rsidP="0044368A">
      <w:pPr>
        <w:pStyle w:val="ListParagraph"/>
        <w:numPr>
          <w:ilvl w:val="0"/>
          <w:numId w:val="38"/>
        </w:numPr>
        <w:autoSpaceDE w:val="0"/>
        <w:autoSpaceDN w:val="0"/>
        <w:adjustRightInd w:val="0"/>
        <w:rPr>
          <w:rFonts w:eastAsia="HelenPro-Bold"/>
          <w:b/>
          <w:bCs/>
        </w:rPr>
      </w:pPr>
      <w:r w:rsidRPr="0044368A">
        <w:rPr>
          <w:rFonts w:eastAsia="HelenPro-Regular"/>
        </w:rPr>
        <w:t xml:space="preserve">The ARCHITECT </w:t>
      </w:r>
      <w:r w:rsidR="00133689">
        <w:rPr>
          <w:rFonts w:eastAsia="HelenPro-Regular"/>
        </w:rPr>
        <w:t>Free T3</w:t>
      </w:r>
      <w:r w:rsidRPr="0044368A">
        <w:rPr>
          <w:rFonts w:eastAsia="HelenPro-Regular"/>
        </w:rPr>
        <w:t xml:space="preserve"> Reagent Kit must be stored at 2-8°C and may be used immediately after removal from 2</w:t>
      </w:r>
      <w:r w:rsidRPr="0044368A">
        <w:rPr>
          <w:rFonts w:ascii="MS Mincho" w:eastAsia="MS Mincho" w:hAnsi="MS Mincho" w:cs="MS Mincho" w:hint="eastAsia"/>
        </w:rPr>
        <w:t>‑</w:t>
      </w:r>
      <w:r w:rsidRPr="0044368A">
        <w:rPr>
          <w:rFonts w:eastAsia="HelenPro-Regular"/>
        </w:rPr>
        <w:t>8°C storage.</w:t>
      </w:r>
    </w:p>
    <w:p w:rsidR="0044368A" w:rsidRPr="0044368A" w:rsidRDefault="0044368A" w:rsidP="0044368A">
      <w:pPr>
        <w:pStyle w:val="ListParagraph"/>
        <w:numPr>
          <w:ilvl w:val="0"/>
          <w:numId w:val="38"/>
        </w:numPr>
        <w:autoSpaceDE w:val="0"/>
        <w:autoSpaceDN w:val="0"/>
        <w:adjustRightInd w:val="0"/>
        <w:rPr>
          <w:rFonts w:eastAsia="HelenPro-Regular"/>
        </w:rPr>
      </w:pPr>
      <w:r w:rsidRPr="0044368A">
        <w:rPr>
          <w:rFonts w:eastAsia="HelenPro-Regular"/>
        </w:rPr>
        <w:t>When stored and handled as directed, reagents are stable until the expiration date.</w:t>
      </w:r>
    </w:p>
    <w:p w:rsidR="005765EB" w:rsidRPr="00A54DD8" w:rsidRDefault="0044368A" w:rsidP="00A54DD8">
      <w:pPr>
        <w:pStyle w:val="ListParagraph"/>
        <w:numPr>
          <w:ilvl w:val="0"/>
          <w:numId w:val="38"/>
        </w:numPr>
        <w:autoSpaceDE w:val="0"/>
        <w:autoSpaceDN w:val="0"/>
        <w:adjustRightInd w:val="0"/>
        <w:rPr>
          <w:rFonts w:eastAsia="HelenPro-Regular"/>
        </w:rPr>
      </w:pPr>
      <w:r w:rsidRPr="0044368A">
        <w:rPr>
          <w:rFonts w:eastAsia="HelenPro-Regular"/>
        </w:rPr>
        <w:t xml:space="preserve">The ARCHITECT </w:t>
      </w:r>
      <w:r w:rsidR="00133689">
        <w:rPr>
          <w:rFonts w:eastAsia="HelenPro-Regular"/>
        </w:rPr>
        <w:t>Free T3</w:t>
      </w:r>
      <w:r w:rsidR="00133689" w:rsidRPr="0044368A">
        <w:rPr>
          <w:rFonts w:eastAsia="HelenPro-Regular"/>
        </w:rPr>
        <w:t xml:space="preserve"> </w:t>
      </w:r>
      <w:r w:rsidRPr="0044368A">
        <w:rPr>
          <w:rFonts w:eastAsia="HelenPro-Regular"/>
        </w:rPr>
        <w:t xml:space="preserve">Reagent Kit may be stored on-board the ARCHITECT </w:t>
      </w:r>
      <w:proofErr w:type="spellStart"/>
      <w:r w:rsidRPr="0044368A">
        <w:rPr>
          <w:rFonts w:eastAsia="HelenPro-Regular"/>
          <w:i/>
          <w:iCs/>
        </w:rPr>
        <w:t>i</w:t>
      </w:r>
      <w:proofErr w:type="spellEnd"/>
      <w:r w:rsidRPr="0044368A">
        <w:rPr>
          <w:rFonts w:eastAsia="HelenPro-Regular"/>
          <w:i/>
          <w:iCs/>
        </w:rPr>
        <w:t xml:space="preserve"> </w:t>
      </w:r>
      <w:r w:rsidRPr="0044368A">
        <w:rPr>
          <w:rFonts w:eastAsia="HelenPro-Regular"/>
        </w:rPr>
        <w:t>System for a maximum of 30 days. After 30 days, the reagent kit must be discarded. For information on tracking on</w:t>
      </w:r>
      <w:r w:rsidRPr="0044368A">
        <w:rPr>
          <w:rFonts w:ascii="MS Mincho" w:eastAsia="MS Mincho" w:hAnsi="MS Mincho" w:cs="MS Mincho" w:hint="eastAsia"/>
        </w:rPr>
        <w:t>‑</w:t>
      </w:r>
      <w:r w:rsidRPr="0044368A">
        <w:rPr>
          <w:rFonts w:eastAsia="HelenPro-Regular"/>
        </w:rPr>
        <w:t>board</w:t>
      </w:r>
      <w:r w:rsidR="00A54DD8">
        <w:rPr>
          <w:rFonts w:eastAsia="HelenPro-Regular"/>
        </w:rPr>
        <w:t xml:space="preserve"> </w:t>
      </w:r>
      <w:r w:rsidRPr="00A54DD8">
        <w:rPr>
          <w:rFonts w:eastAsia="HelenPro-Regular"/>
        </w:rPr>
        <w:t>time, refer to the ARCHITECT System Operations Manual, Section 5.</w:t>
      </w:r>
    </w:p>
    <w:p w:rsidR="002E528E"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5D68AD" w:rsidRDefault="005D68AD" w:rsidP="00B36577">
      <w:pPr>
        <w:spacing w:after="72"/>
        <w:rPr>
          <w:rStyle w:val="BodyBold"/>
          <w:rFonts w:ascii="Times New Roman" w:hAnsi="Times New Roman"/>
          <w:sz w:val="24"/>
          <w:szCs w:val="24"/>
        </w:rPr>
      </w:pPr>
    </w:p>
    <w:p w:rsidR="005D68AD" w:rsidRDefault="005D68AD" w:rsidP="00B36577">
      <w:pPr>
        <w:spacing w:after="72"/>
        <w:rPr>
          <w:rStyle w:val="BodyBold"/>
          <w:rFonts w:ascii="Times New Roman" w:hAnsi="Times New Roman"/>
          <w:sz w:val="24"/>
          <w:szCs w:val="24"/>
        </w:rPr>
      </w:pPr>
    </w:p>
    <w:p w:rsidR="005D68AD" w:rsidRDefault="005D68AD" w:rsidP="00B36577">
      <w:pPr>
        <w:spacing w:after="72"/>
        <w:rPr>
          <w:rStyle w:val="BodyBold"/>
          <w:rFonts w:ascii="Times New Roman" w:hAnsi="Times New Roman"/>
          <w:sz w:val="24"/>
          <w:szCs w:val="24"/>
        </w:rPr>
      </w:pPr>
    </w:p>
    <w:p w:rsidR="005D68AD" w:rsidRDefault="005D68AD" w:rsidP="00B36577">
      <w:pPr>
        <w:spacing w:after="72"/>
        <w:rPr>
          <w:rStyle w:val="BodyBold"/>
          <w:rFonts w:ascii="Times New Roman" w:hAnsi="Times New Roman"/>
          <w:sz w:val="24"/>
          <w:szCs w:val="24"/>
        </w:rPr>
      </w:pPr>
    </w:p>
    <w:p w:rsidR="005D68AD" w:rsidRDefault="005D68AD" w:rsidP="00B36577">
      <w:pPr>
        <w:spacing w:after="72"/>
        <w:rPr>
          <w:rStyle w:val="BodyBold"/>
          <w:rFonts w:ascii="Times New Roman" w:hAnsi="Times New Roman"/>
          <w:sz w:val="24"/>
          <w:szCs w:val="24"/>
        </w:rPr>
      </w:pPr>
    </w:p>
    <w:p w:rsidR="005D68AD" w:rsidRDefault="005D68AD" w:rsidP="00B36577">
      <w:pPr>
        <w:spacing w:after="72"/>
        <w:rPr>
          <w:rStyle w:val="BodyBold"/>
          <w:rFonts w:ascii="Times New Roman" w:hAnsi="Times New Roman"/>
          <w:sz w:val="24"/>
          <w:szCs w:val="24"/>
        </w:rPr>
      </w:pPr>
    </w:p>
    <w:p w:rsidR="005D68AD" w:rsidRDefault="005D68AD" w:rsidP="00B36577">
      <w:pPr>
        <w:spacing w:after="72"/>
        <w:rPr>
          <w:rStyle w:val="BodyBold"/>
          <w:rFonts w:ascii="Times New Roman" w:hAnsi="Times New Roman"/>
          <w:sz w:val="24"/>
          <w:szCs w:val="24"/>
        </w:rPr>
      </w:pPr>
    </w:p>
    <w:p w:rsidR="005D68AD" w:rsidRDefault="005D68AD" w:rsidP="00B36577">
      <w:pPr>
        <w:spacing w:after="72"/>
        <w:rPr>
          <w:rStyle w:val="BodyBold"/>
          <w:rFonts w:ascii="Times New Roman" w:hAnsi="Times New Roman"/>
          <w:sz w:val="24"/>
          <w:szCs w:val="24"/>
        </w:rPr>
      </w:pPr>
    </w:p>
    <w:p w:rsidR="005D68AD" w:rsidRDefault="005D68AD" w:rsidP="00B36577">
      <w:pPr>
        <w:spacing w:after="72"/>
        <w:rPr>
          <w:rStyle w:val="BodyBold"/>
          <w:rFonts w:ascii="Times New Roman" w:hAnsi="Times New Roman"/>
          <w:sz w:val="24"/>
          <w:szCs w:val="24"/>
        </w:rPr>
      </w:pPr>
    </w:p>
    <w:p w:rsidR="00CA11D0" w:rsidRDefault="0044368A" w:rsidP="00B36577">
      <w:pPr>
        <w:spacing w:after="72"/>
        <w:rPr>
          <w:rStyle w:val="BodyBold"/>
          <w:rFonts w:ascii="Times New Roman" w:hAnsi="Times New Roman"/>
          <w:sz w:val="24"/>
          <w:szCs w:val="24"/>
        </w:rPr>
      </w:pPr>
      <w:r>
        <w:rPr>
          <w:rStyle w:val="BodyBold"/>
          <w:rFonts w:ascii="Times New Roman" w:hAnsi="Times New Roman"/>
          <w:sz w:val="24"/>
          <w:szCs w:val="24"/>
        </w:rPr>
        <w:t>R</w:t>
      </w:r>
      <w:r w:rsidR="00B54C79">
        <w:rPr>
          <w:rStyle w:val="BodyBold"/>
          <w:rFonts w:ascii="Times New Roman" w:hAnsi="Times New Roman"/>
          <w:sz w:val="24"/>
          <w:szCs w:val="24"/>
        </w:rPr>
        <w:t>eagents</w:t>
      </w:r>
    </w:p>
    <w:p w:rsidR="001C751A" w:rsidRPr="00B54C79" w:rsidRDefault="005D68AD" w:rsidP="00B36577">
      <w:pPr>
        <w:spacing w:after="72"/>
      </w:pPr>
      <w:r>
        <w:rPr>
          <w:noProof/>
        </w:rPr>
        <w:lastRenderedPageBreak/>
        <w:drawing>
          <wp:inline distT="0" distB="0" distL="0" distR="0" wp14:anchorId="00B81A6E" wp14:editId="4D80B912">
            <wp:extent cx="3638550" cy="2505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38550" cy="2505075"/>
                    </a:xfrm>
                    <a:prstGeom prst="rect">
                      <a:avLst/>
                    </a:prstGeom>
                  </pic:spPr>
                </pic:pic>
              </a:graphicData>
            </a:graphic>
          </wp:inline>
        </w:drawing>
      </w:r>
    </w:p>
    <w:p w:rsidR="00B54C79" w:rsidRPr="009F648F" w:rsidRDefault="00184D0E" w:rsidP="009F648F">
      <w:pPr>
        <w:pStyle w:val="txt"/>
        <w:ind w:left="0"/>
        <w:rPr>
          <w:sz w:val="24"/>
          <w:szCs w:val="24"/>
        </w:rPr>
      </w:pPr>
      <w:r w:rsidRPr="00184D0E">
        <w:rPr>
          <w:noProof/>
        </w:rPr>
        <w:t xml:space="preserve"> </w:t>
      </w:r>
      <w:r w:rsidR="00B54C79">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81500" cy="1590675"/>
                    </a:xfrm>
                    <a:prstGeom prst="rect">
                      <a:avLst/>
                    </a:prstGeom>
                  </pic:spPr>
                </pic:pic>
              </a:graphicData>
            </a:graphic>
          </wp:inline>
        </w:drawing>
      </w:r>
    </w:p>
    <w:p w:rsidR="001C751A" w:rsidRPr="001C751A" w:rsidRDefault="00B36577" w:rsidP="001C751A">
      <w:pPr>
        <w:autoSpaceDE w:val="0"/>
        <w:autoSpaceDN w:val="0"/>
        <w:adjustRightInd w:val="0"/>
        <w:rPr>
          <w:rFonts w:eastAsia="HelenPro-Regular"/>
        </w:rPr>
      </w:pPr>
      <w:r w:rsidRPr="00100BF8">
        <w:rPr>
          <w:b/>
        </w:rPr>
        <w:t>Calibrator:</w:t>
      </w:r>
      <w:r w:rsidRPr="00100BF8">
        <w:t xml:space="preserve">  </w:t>
      </w:r>
      <w:r w:rsidR="002531B2" w:rsidRPr="002531B2">
        <w:rPr>
          <w:rFonts w:eastAsia="HelenPro-Regular"/>
        </w:rPr>
        <w:t>7K63-01 ARCHITECT Free T3 Calibrators</w:t>
      </w:r>
    </w:p>
    <w:p w:rsidR="004E3937" w:rsidRDefault="004E3937" w:rsidP="001C751A">
      <w:pPr>
        <w:spacing w:after="43"/>
        <w:rPr>
          <w:b/>
        </w:rPr>
      </w:pPr>
    </w:p>
    <w:p w:rsidR="0025031C" w:rsidRPr="00162EEA" w:rsidRDefault="00B36577" w:rsidP="001C751A">
      <w:pPr>
        <w:spacing w:after="43"/>
      </w:pPr>
      <w:r w:rsidRPr="00AA7423">
        <w:rPr>
          <w:b/>
        </w:rPr>
        <w:t>Quality Control:</w:t>
      </w:r>
      <w:r w:rsidR="00CA11D0" w:rsidRPr="00AA7423">
        <w:t xml:space="preserve">  </w:t>
      </w:r>
      <w:r w:rsidR="002531B2">
        <w:rPr>
          <w:rFonts w:eastAsia="HelenPro-Regular"/>
        </w:rPr>
        <w:t>7K63-</w:t>
      </w:r>
      <w:r w:rsidR="002531B2" w:rsidRPr="002531B2">
        <w:rPr>
          <w:rFonts w:eastAsia="HelenPro-Regular"/>
        </w:rPr>
        <w:t>1</w:t>
      </w:r>
      <w:r w:rsidR="002531B2">
        <w:rPr>
          <w:rFonts w:eastAsia="HelenPro-Regular"/>
        </w:rPr>
        <w:t>0</w:t>
      </w:r>
      <w:r w:rsidR="002531B2" w:rsidRPr="002531B2">
        <w:rPr>
          <w:rFonts w:eastAsia="HelenPro-Regular"/>
        </w:rPr>
        <w:t xml:space="preserve"> ARCHITECT Free T3 </w:t>
      </w:r>
      <w:r w:rsidR="002531B2">
        <w:rPr>
          <w:rFonts w:eastAsia="HelenPro-Regular"/>
        </w:rPr>
        <w:t xml:space="preserve">Controls </w:t>
      </w:r>
      <w:r w:rsidR="00274DFC">
        <w:rPr>
          <w:rFonts w:eastAsia="HelenPro-Regular"/>
        </w:rPr>
        <w:t>or commercially available controls</w:t>
      </w:r>
    </w:p>
    <w:p w:rsidR="004E3937" w:rsidRDefault="004E3937"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274DFC" w:rsidRDefault="002531B2" w:rsidP="004F5F8A">
      <w:pPr>
        <w:ind w:firstLine="720"/>
        <w:rPr>
          <w:b/>
        </w:rPr>
      </w:pPr>
      <w:r w:rsidRPr="002531B2">
        <w:rPr>
          <w:rFonts w:eastAsia="HelenPro-Regular"/>
        </w:rPr>
        <w:t>7K63-01 ARCHITECT Free T3 Calibrators</w:t>
      </w:r>
    </w:p>
    <w:p w:rsidR="002531B2" w:rsidRDefault="002531B2" w:rsidP="004F5F8A">
      <w:pPr>
        <w:ind w:firstLine="720"/>
        <w:rPr>
          <w:b/>
        </w:rPr>
      </w:pPr>
    </w:p>
    <w:p w:rsidR="0025031C" w:rsidRPr="0025031C" w:rsidRDefault="0025031C" w:rsidP="004F5F8A">
      <w:pPr>
        <w:ind w:firstLine="720"/>
        <w:rPr>
          <w:b/>
        </w:rPr>
      </w:pPr>
      <w:r w:rsidRPr="0025031C">
        <w:rPr>
          <w:b/>
        </w:rPr>
        <w:t>Reagents:</w:t>
      </w:r>
    </w:p>
    <w:p w:rsidR="00765A01" w:rsidRPr="00E76310" w:rsidRDefault="00BF4A58" w:rsidP="00BF4A58">
      <w:pPr>
        <w:autoSpaceDE w:val="0"/>
        <w:autoSpaceDN w:val="0"/>
        <w:adjustRightInd w:val="0"/>
        <w:ind w:left="720"/>
        <w:rPr>
          <w:rFonts w:eastAsia="HelenPro-Regular"/>
        </w:rPr>
      </w:pPr>
      <w:r w:rsidRPr="00BF4A58">
        <w:rPr>
          <w:rFonts w:eastAsia="HelenPro-Regular"/>
        </w:rPr>
        <w:lastRenderedPageBreak/>
        <w:t xml:space="preserve">2 Bottles (4 mL each) of ARCHITECT Free T3 </w:t>
      </w:r>
      <w:r>
        <w:rPr>
          <w:rFonts w:eastAsia="HelenPro-Regular"/>
        </w:rPr>
        <w:t xml:space="preserve">Calibrators </w:t>
      </w:r>
      <w:r w:rsidRPr="00BF4A58">
        <w:rPr>
          <w:rFonts w:eastAsia="HelenPro-Regular"/>
        </w:rPr>
        <w:t xml:space="preserve">prepared in human serum. Preservative: Sodium </w:t>
      </w:r>
      <w:proofErr w:type="spellStart"/>
      <w:r w:rsidRPr="00BF4A58">
        <w:rPr>
          <w:rFonts w:eastAsia="HelenPro-Regular"/>
        </w:rPr>
        <w:t>Azide</w:t>
      </w:r>
      <w:proofErr w:type="spellEnd"/>
      <w:r>
        <w:rPr>
          <w:rFonts w:ascii="HelenPro-Regular" w:eastAsia="HelenPro-Regular" w:cs="HelenPro-Regular"/>
          <w:sz w:val="16"/>
          <w:szCs w:val="16"/>
        </w:rPr>
        <w:t>.</w:t>
      </w:r>
    </w:p>
    <w:p w:rsidR="00DD06E2" w:rsidRPr="00654386" w:rsidRDefault="00DD06E2" w:rsidP="00F3700B">
      <w:pPr>
        <w:ind w:left="720"/>
        <w:rPr>
          <w:b/>
        </w:rPr>
      </w:pPr>
    </w:p>
    <w:p w:rsidR="00F3700B" w:rsidRPr="00654386" w:rsidRDefault="0037463A" w:rsidP="00F3700B">
      <w:pPr>
        <w:ind w:left="720"/>
        <w:rPr>
          <w:b/>
        </w:rPr>
      </w:pPr>
      <w:r w:rsidRPr="00654386">
        <w:rPr>
          <w:b/>
        </w:rPr>
        <w:t xml:space="preserve">Calibrator Preparation: </w:t>
      </w:r>
    </w:p>
    <w:p w:rsidR="00E234B4" w:rsidRPr="00654386" w:rsidRDefault="0044368A" w:rsidP="00654386">
      <w:pPr>
        <w:autoSpaceDE w:val="0"/>
        <w:autoSpaceDN w:val="0"/>
        <w:adjustRightInd w:val="0"/>
        <w:ind w:left="720"/>
        <w:rPr>
          <w:rFonts w:eastAsia="HelenPro-Regular"/>
        </w:rPr>
      </w:pPr>
      <w:r>
        <w:rPr>
          <w:rFonts w:eastAsia="HelenPro-Regular"/>
        </w:rPr>
        <w:t>Ready to use.</w:t>
      </w:r>
    </w:p>
    <w:p w:rsidR="005A7374" w:rsidRPr="00DD06E2" w:rsidRDefault="005A7374"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BF4A58" w:rsidRPr="00BF4A58" w:rsidRDefault="00BF4A58" w:rsidP="00BF4A58">
      <w:pPr>
        <w:autoSpaceDE w:val="0"/>
        <w:autoSpaceDN w:val="0"/>
        <w:adjustRightInd w:val="0"/>
        <w:ind w:left="720"/>
        <w:rPr>
          <w:rFonts w:eastAsia="HelenPro-Regular"/>
        </w:rPr>
      </w:pPr>
      <w:r w:rsidRPr="00BF4A58">
        <w:rPr>
          <w:rFonts w:eastAsia="HelenPro-Regular"/>
        </w:rPr>
        <w:t>To perform an ARCHITECT Free T3 calibr</w:t>
      </w:r>
      <w:r>
        <w:rPr>
          <w:rFonts w:eastAsia="HelenPro-Regular"/>
        </w:rPr>
        <w:t xml:space="preserve">ation, test Calibrators 1 and 2 </w:t>
      </w:r>
      <w:r w:rsidRPr="00BF4A58">
        <w:rPr>
          <w:rFonts w:eastAsia="HelenPro-Regular"/>
        </w:rPr>
        <w:t>in duplicate. A single sample of all levels of Free T3 controls must</w:t>
      </w:r>
      <w:r>
        <w:rPr>
          <w:rFonts w:eastAsia="HelenPro-Regular"/>
        </w:rPr>
        <w:t xml:space="preserve"> </w:t>
      </w:r>
      <w:r w:rsidRPr="00BF4A58">
        <w:rPr>
          <w:rFonts w:eastAsia="HelenPro-Regular"/>
        </w:rPr>
        <w:t>be tested to evaluate the assay calibration. Ensure that assay control</w:t>
      </w:r>
      <w:r>
        <w:rPr>
          <w:rFonts w:eastAsia="HelenPro-Regular"/>
        </w:rPr>
        <w:t xml:space="preserve"> </w:t>
      </w:r>
      <w:r w:rsidRPr="00BF4A58">
        <w:rPr>
          <w:rFonts w:eastAsia="HelenPro-Regular"/>
        </w:rPr>
        <w:t>values are within the concentration ranges specified in the package</w:t>
      </w:r>
      <w:r>
        <w:rPr>
          <w:rFonts w:eastAsia="HelenPro-Regular"/>
        </w:rPr>
        <w:t xml:space="preserve"> </w:t>
      </w:r>
      <w:r w:rsidRPr="00BF4A58">
        <w:rPr>
          <w:rFonts w:eastAsia="HelenPro-Regular"/>
        </w:rPr>
        <w:t>insert. Calibrators should be priority loaded.</w:t>
      </w:r>
    </w:p>
    <w:p w:rsidR="00470CE6" w:rsidRPr="00BF4A58" w:rsidRDefault="00BF4A58" w:rsidP="00BF4A58">
      <w:pPr>
        <w:ind w:left="1440" w:firstLine="720"/>
        <w:rPr>
          <w:b/>
          <w:bCs/>
        </w:rPr>
      </w:pPr>
      <w:r w:rsidRPr="00BF4A58">
        <w:rPr>
          <w:rFonts w:eastAsia="HelenPro-Bold"/>
          <w:b/>
          <w:bCs/>
        </w:rPr>
        <w:t xml:space="preserve">• </w:t>
      </w:r>
      <w:r w:rsidRPr="00BF4A58">
        <w:rPr>
          <w:rFonts w:eastAsia="HelenPro-Regular"/>
        </w:rPr>
        <w:t xml:space="preserve">Calibrator Range: 0.0 - 30.0 </w:t>
      </w:r>
      <w:proofErr w:type="spellStart"/>
      <w:r w:rsidRPr="00BF4A58">
        <w:rPr>
          <w:rFonts w:eastAsia="HelenPro-Regular"/>
        </w:rPr>
        <w:t>pg</w:t>
      </w:r>
      <w:proofErr w:type="spellEnd"/>
      <w:r w:rsidRPr="00BF4A58">
        <w:rPr>
          <w:rFonts w:eastAsia="HelenPro-Regular"/>
        </w:rPr>
        <w:t>/</w:t>
      </w:r>
      <w:proofErr w:type="spellStart"/>
      <w:r w:rsidRPr="00BF4A58">
        <w:rPr>
          <w:rFonts w:eastAsia="HelenPro-Regular"/>
        </w:rPr>
        <w:t>mL.</w:t>
      </w:r>
      <w:proofErr w:type="spellEnd"/>
    </w:p>
    <w:p w:rsidR="00C61A99" w:rsidRDefault="00C61A99"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AA50C1" w:rsidRDefault="00AA50C1"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6B6078">
        <w:rPr>
          <w:rFonts w:eastAsia="HelenPro-Regular"/>
        </w:rPr>
        <w:t>Free T3</w:t>
      </w:r>
      <w:r w:rsidRPr="003356DF">
        <w:rPr>
          <w:rFonts w:eastAsia="HelenPro-Regular"/>
        </w:rPr>
        <w:t xml:space="preserve"> assay is designed for use on the ARCHITECT </w:t>
      </w:r>
      <w:proofErr w:type="spellStart"/>
      <w:r w:rsidRPr="003356DF">
        <w:rPr>
          <w:rFonts w:eastAsia="HelenPro-Bold"/>
          <w:i/>
          <w:iCs/>
        </w:rPr>
        <w:t>i</w:t>
      </w:r>
      <w:proofErr w:type="spellEnd"/>
      <w:r w:rsidRPr="003356DF">
        <w:rPr>
          <w:rFonts w:eastAsia="HelenPro-Bold"/>
          <w:i/>
          <w:iCs/>
        </w:rPr>
        <w:t xml:space="preserve"> </w:t>
      </w:r>
      <w:r w:rsidR="00184D0E">
        <w:rPr>
          <w:rFonts w:eastAsia="HelenPro-Regular"/>
        </w:rPr>
        <w:t xml:space="preserve">System </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6B6078">
        <w:rPr>
          <w:rFonts w:eastAsia="HelenPro-Regular"/>
        </w:rPr>
        <w:t>Free T3</w:t>
      </w:r>
      <w:r w:rsidR="006B6078" w:rsidRPr="003356DF">
        <w:rPr>
          <w:rFonts w:eastAsia="HelenPro-Regular"/>
        </w:rPr>
        <w:t xml:space="preserve">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4E3937" w:rsidRDefault="004E3937" w:rsidP="004E3937">
      <w:pPr>
        <w:autoSpaceDE w:val="0"/>
        <w:autoSpaceDN w:val="0"/>
        <w:adjustRightInd w:val="0"/>
        <w:ind w:left="360"/>
        <w:rPr>
          <w:rFonts w:ascii="HelenPro-Bold" w:eastAsia="HelenPro-Bold" w:cs="HelenPro-Bold"/>
          <w:b/>
          <w:bCs/>
          <w:sz w:val="19"/>
          <w:szCs w:val="19"/>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lastRenderedPageBreak/>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D0EC0" w:rsidP="002C7FD5">
      <w:pPr>
        <w:rPr>
          <w:b/>
        </w:rPr>
      </w:pPr>
      <w:r>
        <w:rPr>
          <w:noProof/>
        </w:rPr>
        <w:drawing>
          <wp:inline distT="0" distB="0" distL="0" distR="0" wp14:anchorId="62E7EBC6" wp14:editId="764CFC4B">
            <wp:extent cx="4210050" cy="3390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10050" cy="3390900"/>
                    </a:xfrm>
                    <a:prstGeom prst="rect">
                      <a:avLst/>
                    </a:prstGeom>
                  </pic:spPr>
                </pic:pic>
              </a:graphicData>
            </a:graphic>
          </wp:inline>
        </w:drawing>
      </w:r>
    </w:p>
    <w:p w:rsidR="002E528E" w:rsidRDefault="002E528E" w:rsidP="002C7FD5">
      <w:pPr>
        <w:rPr>
          <w:b/>
        </w:rPr>
      </w:pPr>
      <w:r>
        <w:rPr>
          <w:noProof/>
        </w:rPr>
        <w:drawing>
          <wp:inline distT="0" distB="0" distL="0" distR="0" wp14:anchorId="1C7869E5" wp14:editId="52832D90">
            <wp:extent cx="4327451" cy="53996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51993"/>
                    <a:stretch/>
                  </pic:blipFill>
                  <pic:spPr bwMode="auto">
                    <a:xfrm>
                      <a:off x="0" y="0"/>
                      <a:ext cx="4324350" cy="539579"/>
                    </a:xfrm>
                    <a:prstGeom prst="rect">
                      <a:avLst/>
                    </a:prstGeom>
                    <a:ln>
                      <a:noFill/>
                    </a:ln>
                    <a:extLst>
                      <a:ext uri="{53640926-AAD7-44D8-BBD7-CCE9431645EC}">
                        <a14:shadowObscured xmlns:a14="http://schemas.microsoft.com/office/drawing/2010/main"/>
                      </a:ext>
                    </a:extLst>
                  </pic:spPr>
                </pic:pic>
              </a:graphicData>
            </a:graphic>
          </wp:inline>
        </w:drawing>
      </w:r>
    </w:p>
    <w:p w:rsidR="00D730A1" w:rsidRDefault="002E528E" w:rsidP="002C7FD5">
      <w:pPr>
        <w:rPr>
          <w:b/>
        </w:rPr>
      </w:pPr>
      <w:r>
        <w:rPr>
          <w:noProof/>
        </w:rPr>
        <w:drawing>
          <wp:inline distT="0" distB="0" distL="0" distR="0" wp14:anchorId="7E83E752" wp14:editId="254E3EA9">
            <wp:extent cx="4433777" cy="1467293"/>
            <wp:effectExtent l="0" t="0" r="508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b="73950"/>
                    <a:stretch/>
                  </pic:blipFill>
                  <pic:spPr bwMode="auto">
                    <a:xfrm>
                      <a:off x="0" y="0"/>
                      <a:ext cx="4438650" cy="1468906"/>
                    </a:xfrm>
                    <a:prstGeom prst="rect">
                      <a:avLst/>
                    </a:prstGeom>
                    <a:ln>
                      <a:noFill/>
                    </a:ln>
                    <a:extLst>
                      <a:ext uri="{53640926-AAD7-44D8-BBD7-CCE9431645EC}">
                        <a14:shadowObscured xmlns:a14="http://schemas.microsoft.com/office/drawing/2010/main"/>
                      </a:ext>
                    </a:extLst>
                  </pic:spPr>
                </pic:pic>
              </a:graphicData>
            </a:graphic>
          </wp:inline>
        </w:drawing>
      </w:r>
    </w:p>
    <w:p w:rsidR="002E528E" w:rsidRDefault="00133689" w:rsidP="002C7FD5">
      <w:pPr>
        <w:rPr>
          <w:b/>
        </w:rPr>
      </w:pPr>
      <w:r>
        <w:rPr>
          <w:noProof/>
        </w:rPr>
        <w:drawing>
          <wp:inline distT="0" distB="0" distL="0" distR="0" wp14:anchorId="3D9D1869" wp14:editId="7618CA56">
            <wp:extent cx="4114800" cy="1209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14800" cy="1209675"/>
                    </a:xfrm>
                    <a:prstGeom prst="rect">
                      <a:avLst/>
                    </a:prstGeom>
                  </pic:spPr>
                </pic:pic>
              </a:graphicData>
            </a:graphic>
          </wp:inline>
        </w:drawing>
      </w:r>
    </w:p>
    <w:p w:rsidR="00133689" w:rsidRDefault="00133689" w:rsidP="002C7FD5">
      <w:pPr>
        <w:rPr>
          <w:b/>
        </w:rPr>
      </w:pPr>
      <w:r>
        <w:rPr>
          <w:noProof/>
        </w:rPr>
        <w:lastRenderedPageBreak/>
        <w:drawing>
          <wp:inline distT="0" distB="0" distL="0" distR="0" wp14:anchorId="3F6C3AB1" wp14:editId="496BA0C0">
            <wp:extent cx="4400550" cy="4752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400550" cy="4752975"/>
                    </a:xfrm>
                    <a:prstGeom prst="rect">
                      <a:avLst/>
                    </a:prstGeom>
                  </pic:spPr>
                </pic:pic>
              </a:graphicData>
            </a:graphic>
          </wp:inline>
        </w:drawing>
      </w:r>
    </w:p>
    <w:p w:rsidR="003356DF" w:rsidRDefault="002E528E" w:rsidP="002C7FD5">
      <w:pPr>
        <w:rPr>
          <w:b/>
        </w:rPr>
      </w:pPr>
      <w:r>
        <w:rPr>
          <w:noProof/>
        </w:rPr>
        <w:drawing>
          <wp:inline distT="0" distB="0" distL="0" distR="0" wp14:anchorId="414F1D8F" wp14:editId="5F5F2AAD">
            <wp:extent cx="4264433" cy="1010093"/>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t="40251"/>
                    <a:stretch/>
                  </pic:blipFill>
                  <pic:spPr bwMode="auto">
                    <a:xfrm>
                      <a:off x="0" y="0"/>
                      <a:ext cx="4276725" cy="1013005"/>
                    </a:xfrm>
                    <a:prstGeom prst="rect">
                      <a:avLst/>
                    </a:prstGeom>
                    <a:ln>
                      <a:noFill/>
                    </a:ln>
                    <a:extLst>
                      <a:ext uri="{53640926-AAD7-44D8-BBD7-CCE9431645EC}">
                        <a14:shadowObscured xmlns:a14="http://schemas.microsoft.com/office/drawing/2010/main"/>
                      </a:ext>
                    </a:extLst>
                  </pic:spPr>
                </pic:pic>
              </a:graphicData>
            </a:graphic>
          </wp:inline>
        </w:drawing>
      </w:r>
    </w:p>
    <w:p w:rsidR="00F91971" w:rsidRDefault="00F91971" w:rsidP="002C7FD5">
      <w:pPr>
        <w:rPr>
          <w:b/>
        </w:rPr>
      </w:pPr>
    </w:p>
    <w:p w:rsidR="005D68AD" w:rsidRDefault="005D68AD" w:rsidP="000A090B">
      <w:pPr>
        <w:jc w:val="both"/>
        <w:rPr>
          <w:b/>
          <w:sz w:val="28"/>
          <w:szCs w:val="28"/>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91971" w:rsidRPr="00274DFC" w:rsidRDefault="00133689" w:rsidP="00133689">
      <w:pPr>
        <w:autoSpaceDE w:val="0"/>
        <w:autoSpaceDN w:val="0"/>
        <w:adjustRightInd w:val="0"/>
        <w:rPr>
          <w:rFonts w:eastAsia="HelenPro-Regular"/>
        </w:rPr>
      </w:pPr>
      <w:r w:rsidRPr="00133689">
        <w:rPr>
          <w:rFonts w:eastAsia="HelenPro-Regular"/>
        </w:rPr>
        <w:t xml:space="preserve">The default result unit for the ARCHITECT Free T3 </w:t>
      </w:r>
      <w:r>
        <w:rPr>
          <w:rFonts w:eastAsia="HelenPro-Regular"/>
        </w:rPr>
        <w:t xml:space="preserve">assay is </w:t>
      </w:r>
      <w:proofErr w:type="spellStart"/>
      <w:r>
        <w:rPr>
          <w:rFonts w:eastAsia="HelenPro-Regular"/>
        </w:rPr>
        <w:t>pg</w:t>
      </w:r>
      <w:proofErr w:type="spellEnd"/>
      <w:r>
        <w:rPr>
          <w:rFonts w:eastAsia="HelenPro-Regular"/>
        </w:rPr>
        <w:t>/</w:t>
      </w:r>
      <w:proofErr w:type="spellStart"/>
      <w:r>
        <w:rPr>
          <w:rFonts w:eastAsia="HelenPro-Regular"/>
        </w:rPr>
        <w:t>mL.</w:t>
      </w:r>
      <w:proofErr w:type="spellEnd"/>
      <w:r>
        <w:rPr>
          <w:rFonts w:eastAsia="HelenPro-Regular"/>
        </w:rPr>
        <w:t xml:space="preserve"> An </w:t>
      </w:r>
      <w:r w:rsidRPr="00133689">
        <w:rPr>
          <w:rFonts w:eastAsia="HelenPro-Regular"/>
        </w:rPr>
        <w:t xml:space="preserve">alternate result unit, </w:t>
      </w:r>
      <w:proofErr w:type="spellStart"/>
      <w:r w:rsidRPr="00133689">
        <w:rPr>
          <w:rFonts w:eastAsia="HelenPro-Regular"/>
        </w:rPr>
        <w:t>pmol</w:t>
      </w:r>
      <w:proofErr w:type="spellEnd"/>
      <w:r w:rsidRPr="00133689">
        <w:rPr>
          <w:rFonts w:eastAsia="HelenPro-Regular"/>
        </w:rPr>
        <w:t>/L, may be selected for reporting results by</w:t>
      </w:r>
      <w:r>
        <w:rPr>
          <w:rFonts w:eastAsia="HelenPro-Regular"/>
        </w:rPr>
        <w:t xml:space="preserve"> </w:t>
      </w:r>
      <w:r w:rsidRPr="00133689">
        <w:rPr>
          <w:rFonts w:eastAsia="HelenPro-Regular"/>
        </w:rPr>
        <w:t xml:space="preserve">editing assay parameter “Result concentration units” to </w:t>
      </w:r>
      <w:proofErr w:type="spellStart"/>
      <w:r w:rsidRPr="00133689">
        <w:rPr>
          <w:rFonts w:eastAsia="HelenPro-Regular"/>
        </w:rPr>
        <w:t>pmol</w:t>
      </w:r>
      <w:proofErr w:type="spellEnd"/>
      <w:r w:rsidRPr="00133689">
        <w:rPr>
          <w:rFonts w:eastAsia="HelenPro-Regular"/>
        </w:rPr>
        <w:t>/L. The</w:t>
      </w:r>
      <w:r>
        <w:rPr>
          <w:rFonts w:eastAsia="HelenPro-Regular"/>
        </w:rPr>
        <w:t xml:space="preserve"> </w:t>
      </w:r>
      <w:r w:rsidRPr="00133689">
        <w:rPr>
          <w:rFonts w:eastAsia="HelenPro-Regular"/>
        </w:rPr>
        <w:t>conversion factor used by the system is 1.536.</w:t>
      </w:r>
    </w:p>
    <w:p w:rsidR="00274DFC" w:rsidRDefault="00274DFC"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274DFC" w:rsidRDefault="00274DFC" w:rsidP="00274DFC">
      <w:pPr>
        <w:autoSpaceDE w:val="0"/>
        <w:autoSpaceDN w:val="0"/>
        <w:adjustRightInd w:val="0"/>
        <w:rPr>
          <w:rFonts w:eastAsia="HelenPro-Bold"/>
          <w:b/>
          <w:bCs/>
        </w:rPr>
      </w:pPr>
    </w:p>
    <w:p w:rsidR="00912FE4" w:rsidRPr="00D506F0" w:rsidRDefault="00912FE4" w:rsidP="00AB793D">
      <w:pPr>
        <w:rPr>
          <w:b/>
          <w:bCs/>
          <w:sz w:val="28"/>
          <w:szCs w:val="28"/>
        </w:rPr>
      </w:pPr>
      <w:r w:rsidRPr="00D506F0">
        <w:rPr>
          <w:b/>
          <w:bCs/>
          <w:sz w:val="28"/>
          <w:szCs w:val="28"/>
        </w:rPr>
        <w:t>Specific Performance Characteristics</w:t>
      </w:r>
      <w:r w:rsidR="00D60AFA" w:rsidRPr="00D506F0">
        <w:rPr>
          <w:b/>
          <w:bCs/>
          <w:sz w:val="28"/>
          <w:szCs w:val="28"/>
        </w:rPr>
        <w:t xml:space="preserve"> </w:t>
      </w:r>
    </w:p>
    <w:p w:rsidR="00CE2DC7" w:rsidRPr="00D506F0" w:rsidRDefault="002648A6" w:rsidP="00AB793D">
      <w:pPr>
        <w:rPr>
          <w:b/>
          <w:bCs/>
        </w:rPr>
      </w:pPr>
      <w:r w:rsidRPr="00D506F0">
        <w:rPr>
          <w:b/>
          <w:bCs/>
        </w:rPr>
        <w:lastRenderedPageBreak/>
        <w:t>Expected Values</w:t>
      </w:r>
      <w:r w:rsidR="00D60AFA" w:rsidRPr="00D506F0">
        <w:rPr>
          <w:b/>
          <w:bCs/>
        </w:rPr>
        <w:t xml:space="preserve"> </w:t>
      </w:r>
    </w:p>
    <w:p w:rsidR="0055619E" w:rsidRPr="00D506F0" w:rsidRDefault="006D40ED" w:rsidP="006D40ED">
      <w:pPr>
        <w:autoSpaceDE w:val="0"/>
        <w:autoSpaceDN w:val="0"/>
        <w:adjustRightInd w:val="0"/>
        <w:rPr>
          <w:rFonts w:eastAsia="HelenPro-Regular"/>
        </w:rPr>
      </w:pPr>
      <w:r w:rsidRPr="00D506F0">
        <w:rPr>
          <w:rFonts w:eastAsia="HelenPro-Regular"/>
        </w:rPr>
        <w:t>It is recommended that each laboratory determine its own reference range based upon its particular locale and population characteristics.</w:t>
      </w:r>
    </w:p>
    <w:p w:rsidR="00274DFC" w:rsidRPr="00D506F0" w:rsidRDefault="00274DFC" w:rsidP="00AB793D">
      <w:pPr>
        <w:rPr>
          <w:b/>
          <w:bCs/>
        </w:rPr>
      </w:pPr>
    </w:p>
    <w:p w:rsidR="00D64E39" w:rsidRDefault="0038442D" w:rsidP="00AB793D">
      <w:pPr>
        <w:rPr>
          <w:bCs/>
        </w:rPr>
      </w:pPr>
      <w:r w:rsidRPr="00D506F0">
        <w:rPr>
          <w:b/>
          <w:bCs/>
        </w:rPr>
        <w:t>Serum/Plasma</w:t>
      </w:r>
      <w:r w:rsidR="00D506F0">
        <w:rPr>
          <w:b/>
          <w:bCs/>
        </w:rPr>
        <w:t xml:space="preserve">: </w:t>
      </w:r>
      <w:r w:rsidR="00D506F0" w:rsidRPr="00D506F0">
        <w:rPr>
          <w:bCs/>
        </w:rPr>
        <w:t xml:space="preserve">1.71 </w:t>
      </w:r>
      <w:r w:rsidR="00D506F0">
        <w:rPr>
          <w:bCs/>
        </w:rPr>
        <w:t>–</w:t>
      </w:r>
      <w:r w:rsidR="00D506F0" w:rsidRPr="00D506F0">
        <w:rPr>
          <w:bCs/>
        </w:rPr>
        <w:t xml:space="preserve"> </w:t>
      </w:r>
      <w:r w:rsidR="00D506F0">
        <w:rPr>
          <w:bCs/>
        </w:rPr>
        <w:t xml:space="preserve">3.71 </w:t>
      </w:r>
      <w:proofErr w:type="spellStart"/>
      <w:r w:rsidR="00D506F0">
        <w:rPr>
          <w:bCs/>
        </w:rPr>
        <w:t>pg</w:t>
      </w:r>
      <w:proofErr w:type="spellEnd"/>
      <w:r w:rsidR="00D506F0">
        <w:rPr>
          <w:bCs/>
        </w:rPr>
        <w:t>/mL</w:t>
      </w:r>
    </w:p>
    <w:p w:rsidR="00D506F0" w:rsidRPr="00D506F0" w:rsidRDefault="00D506F0" w:rsidP="00AB793D">
      <w:pPr>
        <w:rPr>
          <w:bCs/>
        </w:rPr>
      </w:pPr>
    </w:p>
    <w:p w:rsidR="00B63E8F" w:rsidRPr="00D506F0" w:rsidRDefault="00B63E8F" w:rsidP="00623EFB">
      <w:pPr>
        <w:ind w:right="720"/>
        <w:jc w:val="both"/>
        <w:rPr>
          <w:b/>
        </w:rPr>
      </w:pPr>
      <w:r w:rsidRPr="00D506F0">
        <w:rPr>
          <w:b/>
        </w:rPr>
        <w:t>Critical Values</w:t>
      </w:r>
      <w:r w:rsidR="00D506F0">
        <w:rPr>
          <w:b/>
        </w:rPr>
        <w:t>: N/A</w:t>
      </w:r>
    </w:p>
    <w:p w:rsidR="00705494" w:rsidRPr="00D506F0" w:rsidRDefault="00705494" w:rsidP="00AB793D">
      <w:pPr>
        <w:rPr>
          <w:b/>
          <w:sz w:val="28"/>
          <w:szCs w:val="28"/>
        </w:rPr>
      </w:pPr>
    </w:p>
    <w:p w:rsidR="00D5211B" w:rsidRPr="00D506F0" w:rsidRDefault="005E3D52" w:rsidP="00AB793D">
      <w:pPr>
        <w:rPr>
          <w:i/>
          <w:color w:val="FF0000"/>
          <w:sz w:val="28"/>
          <w:szCs w:val="28"/>
        </w:rPr>
      </w:pPr>
      <w:r w:rsidRPr="00D506F0">
        <w:rPr>
          <w:b/>
          <w:sz w:val="28"/>
          <w:szCs w:val="28"/>
        </w:rPr>
        <w:t>Performance Characteristics</w:t>
      </w:r>
      <w:r w:rsidR="00973EAF" w:rsidRPr="00D506F0">
        <w:rPr>
          <w:b/>
          <w:sz w:val="28"/>
          <w:szCs w:val="28"/>
        </w:rPr>
        <w:t xml:space="preserve"> </w:t>
      </w:r>
    </w:p>
    <w:p w:rsidR="00126B1C" w:rsidRPr="00D506F0" w:rsidRDefault="00126B1C" w:rsidP="002648A6">
      <w:pPr>
        <w:autoSpaceDE w:val="0"/>
        <w:autoSpaceDN w:val="0"/>
        <w:adjustRightInd w:val="0"/>
        <w:rPr>
          <w:rFonts w:eastAsia="HelenPro-Regular"/>
          <w:b/>
        </w:rPr>
      </w:pPr>
    </w:p>
    <w:p w:rsidR="009B11DE" w:rsidRDefault="009B11DE" w:rsidP="0060398E">
      <w:pPr>
        <w:autoSpaceDE w:val="0"/>
        <w:autoSpaceDN w:val="0"/>
        <w:adjustRightInd w:val="0"/>
        <w:rPr>
          <w:rFonts w:eastAsia="HelenPro-Bold"/>
          <w:b/>
          <w:bCs/>
        </w:rPr>
      </w:pPr>
      <w:r>
        <w:rPr>
          <w:rFonts w:eastAsia="HelenPro-Bold"/>
          <w:b/>
          <w:bCs/>
        </w:rPr>
        <w:t>Sensitivity</w:t>
      </w:r>
    </w:p>
    <w:p w:rsidR="00E76310" w:rsidRPr="00E76310" w:rsidRDefault="00133689" w:rsidP="00133689">
      <w:pPr>
        <w:autoSpaceDE w:val="0"/>
        <w:autoSpaceDN w:val="0"/>
        <w:adjustRightInd w:val="0"/>
        <w:rPr>
          <w:rFonts w:eastAsia="HelenPro-Regular"/>
        </w:rPr>
      </w:pPr>
      <w:r w:rsidRPr="00133689">
        <w:rPr>
          <w:rFonts w:eastAsia="HelenPro-Regular"/>
        </w:rPr>
        <w:t>The ARCHITECT Free T3 assay is designed to</w:t>
      </w:r>
      <w:r>
        <w:rPr>
          <w:rFonts w:eastAsia="HelenPro-Regular"/>
        </w:rPr>
        <w:t xml:space="preserve"> have an analytical sensitivity </w:t>
      </w:r>
      <w:r w:rsidRPr="00133689">
        <w:rPr>
          <w:rFonts w:eastAsia="HelenPro-Regular"/>
        </w:rPr>
        <w:t xml:space="preserve">of ≤ 1.0 </w:t>
      </w:r>
      <w:proofErr w:type="spellStart"/>
      <w:r w:rsidRPr="00133689">
        <w:rPr>
          <w:rFonts w:eastAsia="HelenPro-Regular"/>
        </w:rPr>
        <w:t>pg</w:t>
      </w:r>
      <w:proofErr w:type="spellEnd"/>
      <w:r w:rsidRPr="00133689">
        <w:rPr>
          <w:rFonts w:eastAsia="HelenPro-Regular"/>
        </w:rPr>
        <w:t>/</w:t>
      </w:r>
      <w:proofErr w:type="spellStart"/>
      <w:r w:rsidRPr="00133689">
        <w:rPr>
          <w:rFonts w:eastAsia="HelenPro-Regular"/>
        </w:rPr>
        <w:t>mL</w:t>
      </w:r>
      <w:r>
        <w:rPr>
          <w:rFonts w:ascii="HelenPro-Regular" w:eastAsia="HelenPro-Regular" w:cs="HelenPro-Regular"/>
          <w:sz w:val="16"/>
          <w:szCs w:val="16"/>
        </w:rPr>
        <w:t>.</w:t>
      </w:r>
      <w:proofErr w:type="spellEnd"/>
    </w:p>
    <w:p w:rsidR="009B11DE" w:rsidRDefault="009B11DE" w:rsidP="009B11DE">
      <w:pPr>
        <w:autoSpaceDE w:val="0"/>
        <w:autoSpaceDN w:val="0"/>
        <w:adjustRightInd w:val="0"/>
        <w:rPr>
          <w:rFonts w:eastAsia="HelenPro-Bold"/>
          <w:b/>
          <w:bCs/>
        </w:rPr>
      </w:pPr>
    </w:p>
    <w:p w:rsidR="009B11DE" w:rsidRPr="009B11DE" w:rsidRDefault="009B11DE" w:rsidP="0060398E">
      <w:pPr>
        <w:autoSpaceDE w:val="0"/>
        <w:autoSpaceDN w:val="0"/>
        <w:adjustRightInd w:val="0"/>
        <w:rPr>
          <w:rFonts w:eastAsia="HelenPro-Regular"/>
          <w:b/>
        </w:rPr>
      </w:pPr>
      <w:r w:rsidRPr="009B11DE">
        <w:rPr>
          <w:rFonts w:eastAsia="HelenPro-Regular"/>
          <w:b/>
        </w:rPr>
        <w:t>Linearity</w:t>
      </w:r>
    </w:p>
    <w:p w:rsidR="009B11DE" w:rsidRPr="00E76310" w:rsidRDefault="00E76310" w:rsidP="00E76310">
      <w:pPr>
        <w:autoSpaceDE w:val="0"/>
        <w:autoSpaceDN w:val="0"/>
        <w:adjustRightInd w:val="0"/>
        <w:rPr>
          <w:rFonts w:eastAsia="HelenPro-Regular"/>
        </w:rPr>
      </w:pPr>
      <w:r>
        <w:rPr>
          <w:rFonts w:eastAsia="HelenPro-Regular"/>
        </w:rPr>
        <w:t>T</w:t>
      </w:r>
      <w:r w:rsidRPr="00E76310">
        <w:rPr>
          <w:rFonts w:eastAsia="HelenPro-Regular"/>
        </w:rPr>
        <w:t xml:space="preserve">he </w:t>
      </w:r>
      <w:r>
        <w:rPr>
          <w:rFonts w:eastAsia="HelenPro-Regular"/>
        </w:rPr>
        <w:t xml:space="preserve">assay is linear from </w:t>
      </w:r>
      <w:r w:rsidR="00133689">
        <w:rPr>
          <w:rFonts w:eastAsia="HelenPro-Regular"/>
        </w:rPr>
        <w:t>1-30</w:t>
      </w:r>
      <w:r w:rsidR="006B6078">
        <w:rPr>
          <w:rFonts w:eastAsia="HelenPro-Regular"/>
        </w:rPr>
        <w:t xml:space="preserve"> </w:t>
      </w:r>
      <w:proofErr w:type="spellStart"/>
      <w:r w:rsidR="00133689">
        <w:rPr>
          <w:rFonts w:eastAsia="HelenPro-Regular"/>
        </w:rPr>
        <w:t>p</w:t>
      </w:r>
      <w:r w:rsidR="00032DE2">
        <w:rPr>
          <w:rFonts w:eastAsia="HelenPro-Regular"/>
        </w:rPr>
        <w:t>g</w:t>
      </w:r>
      <w:proofErr w:type="spellEnd"/>
      <w:r w:rsidR="00032DE2">
        <w:rPr>
          <w:rFonts w:eastAsia="HelenPro-Regular"/>
        </w:rPr>
        <w:t>/</w:t>
      </w:r>
      <w:proofErr w:type="spellStart"/>
      <w:r w:rsidR="00032DE2">
        <w:rPr>
          <w:rFonts w:eastAsia="HelenPro-Regular"/>
        </w:rPr>
        <w:t>mL</w:t>
      </w:r>
      <w:r w:rsidRPr="00E76310">
        <w:rPr>
          <w:rFonts w:eastAsia="HelenPro-Regular"/>
        </w:rPr>
        <w:t>.</w:t>
      </w:r>
      <w:proofErr w:type="spellEnd"/>
    </w:p>
    <w:p w:rsidR="00705494" w:rsidRDefault="00705494" w:rsidP="002C2F49">
      <w:pPr>
        <w:rPr>
          <w:rFonts w:eastAsia="HelenPro-Bold"/>
          <w:b/>
          <w:bCs/>
        </w:rPr>
      </w:pPr>
    </w:p>
    <w:p w:rsidR="00912FE4" w:rsidRPr="005D76E9" w:rsidRDefault="00912FE4" w:rsidP="002C2F49">
      <w:pPr>
        <w:rPr>
          <w:rFonts w:eastAsia="HelenPro-Bold"/>
          <w:b/>
          <w:bCs/>
        </w:rPr>
      </w:pPr>
      <w:r w:rsidRPr="005D76E9">
        <w:rPr>
          <w:rFonts w:eastAsia="HelenPro-Bold"/>
          <w:b/>
          <w:bCs/>
        </w:rPr>
        <w:t>Dilution:</w:t>
      </w:r>
      <w:r w:rsidR="00973EAF" w:rsidRPr="005D76E9">
        <w:rPr>
          <w:rFonts w:eastAsia="HelenPro-Bold"/>
          <w:b/>
          <w:bCs/>
        </w:rPr>
        <w:t xml:space="preserve"> </w:t>
      </w:r>
    </w:p>
    <w:p w:rsidR="002E528E" w:rsidRPr="00BF4A58" w:rsidRDefault="00BF4A58" w:rsidP="00BF4A58">
      <w:pPr>
        <w:autoSpaceDE w:val="0"/>
        <w:autoSpaceDN w:val="0"/>
        <w:adjustRightInd w:val="0"/>
        <w:rPr>
          <w:rFonts w:eastAsia="HelenPro-Regular"/>
        </w:rPr>
      </w:pPr>
      <w:r w:rsidRPr="00BF4A58">
        <w:rPr>
          <w:rFonts w:eastAsia="HelenPro-Regular"/>
        </w:rPr>
        <w:t xml:space="preserve">Specimens cannot be diluted for Free T3 </w:t>
      </w:r>
      <w:r>
        <w:rPr>
          <w:rFonts w:eastAsia="HelenPro-Regular"/>
        </w:rPr>
        <w:t xml:space="preserve">determinations. Specimens </w:t>
      </w:r>
      <w:r w:rsidRPr="00BF4A58">
        <w:rPr>
          <w:rFonts w:eastAsia="HelenPro-Regular"/>
        </w:rPr>
        <w:t xml:space="preserve">which read &gt; 30.00 </w:t>
      </w:r>
      <w:proofErr w:type="spellStart"/>
      <w:r w:rsidRPr="00BF4A58">
        <w:rPr>
          <w:rFonts w:eastAsia="HelenPro-Regular"/>
        </w:rPr>
        <w:t>pg</w:t>
      </w:r>
      <w:proofErr w:type="spellEnd"/>
      <w:r w:rsidRPr="00BF4A58">
        <w:rPr>
          <w:rFonts w:eastAsia="HelenPro-Regular"/>
        </w:rPr>
        <w:t>/mL should be reported as such.</w:t>
      </w:r>
    </w:p>
    <w:p w:rsidR="00DA0D83" w:rsidRPr="005D76E9" w:rsidRDefault="00DA0D83" w:rsidP="00F95946">
      <w:pPr>
        <w:rPr>
          <w:b/>
          <w:color w:val="000000"/>
        </w:rPr>
      </w:pPr>
    </w:p>
    <w:p w:rsidR="00912FE4" w:rsidRPr="005D76E9" w:rsidRDefault="00912FE4" w:rsidP="00F95946">
      <w:pPr>
        <w:rPr>
          <w:rFonts w:eastAsia="HelenPro-Regular"/>
        </w:rPr>
      </w:pPr>
      <w:r w:rsidRPr="005D76E9">
        <w:rPr>
          <w:b/>
          <w:color w:val="000000"/>
        </w:rPr>
        <w:t>Precision:</w:t>
      </w:r>
      <w:r w:rsidR="0038442D" w:rsidRPr="005D76E9">
        <w:rPr>
          <w:b/>
          <w:color w:val="000000"/>
        </w:rPr>
        <w:t xml:space="preserve"> </w:t>
      </w:r>
    </w:p>
    <w:p w:rsidR="00274DFC" w:rsidRPr="00E76310" w:rsidRDefault="00133689" w:rsidP="00133689">
      <w:pPr>
        <w:autoSpaceDE w:val="0"/>
        <w:autoSpaceDN w:val="0"/>
        <w:adjustRightInd w:val="0"/>
        <w:rPr>
          <w:rFonts w:eastAsia="HelenPro-Regular"/>
        </w:rPr>
      </w:pPr>
      <w:r w:rsidRPr="00133689">
        <w:rPr>
          <w:rFonts w:eastAsia="HelenPro-Regular"/>
        </w:rPr>
        <w:t>The ARCHITECT Free T3 assay is designed to have a precision of ≤</w:t>
      </w:r>
      <w:r>
        <w:rPr>
          <w:rFonts w:eastAsia="HelenPro-Regular"/>
        </w:rPr>
        <w:t xml:space="preserve"> 10% </w:t>
      </w:r>
      <w:r w:rsidRPr="00133689">
        <w:rPr>
          <w:rFonts w:eastAsia="HelenPro-Regular"/>
        </w:rPr>
        <w:t>(total CV).</w:t>
      </w:r>
    </w:p>
    <w:p w:rsidR="00CB66ED" w:rsidRPr="00274DFC" w:rsidRDefault="00133689" w:rsidP="00274DFC">
      <w:pPr>
        <w:autoSpaceDE w:val="0"/>
        <w:autoSpaceDN w:val="0"/>
        <w:adjustRightInd w:val="0"/>
        <w:rPr>
          <w:rFonts w:eastAsia="HelenPro-Regular"/>
        </w:rPr>
      </w:pPr>
      <w:r>
        <w:rPr>
          <w:noProof/>
        </w:rPr>
        <w:drawing>
          <wp:inline distT="0" distB="0" distL="0" distR="0" wp14:anchorId="663B79F8" wp14:editId="6204BEBF">
            <wp:extent cx="4229100" cy="2962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229100" cy="2962275"/>
                    </a:xfrm>
                    <a:prstGeom prst="rect">
                      <a:avLst/>
                    </a:prstGeom>
                  </pic:spPr>
                </pic:pic>
              </a:graphicData>
            </a:graphic>
          </wp:inline>
        </w:drawing>
      </w:r>
    </w:p>
    <w:p w:rsidR="0060398E" w:rsidRDefault="0060398E" w:rsidP="0060398E">
      <w:pPr>
        <w:autoSpaceDE w:val="0"/>
        <w:autoSpaceDN w:val="0"/>
        <w:adjustRightInd w:val="0"/>
        <w:rPr>
          <w:rFonts w:eastAsia="HelenPro-Regular"/>
        </w:rPr>
      </w:pPr>
    </w:p>
    <w:p w:rsidR="00E76310" w:rsidRPr="0060398E" w:rsidRDefault="00E76310" w:rsidP="0060398E">
      <w:pPr>
        <w:autoSpaceDE w:val="0"/>
        <w:autoSpaceDN w:val="0"/>
        <w:adjustRightInd w:val="0"/>
        <w:rPr>
          <w:rFonts w:eastAsia="HelenPro-Regular"/>
        </w:rPr>
      </w:pPr>
    </w:p>
    <w:p w:rsidR="00C53E37" w:rsidRPr="005D76E9" w:rsidRDefault="00C53E37" w:rsidP="00C53E37">
      <w:pPr>
        <w:pStyle w:val="Heading4"/>
        <w:rPr>
          <w:sz w:val="24"/>
          <w:szCs w:val="24"/>
        </w:rPr>
      </w:pPr>
      <w:r w:rsidRPr="005D76E9">
        <w:rPr>
          <w:sz w:val="24"/>
          <w:szCs w:val="24"/>
        </w:rPr>
        <w:t>Limitations of Procedure</w:t>
      </w:r>
      <w:r w:rsidR="00973EAF" w:rsidRPr="005D76E9">
        <w:rPr>
          <w:sz w:val="24"/>
          <w:szCs w:val="24"/>
        </w:rPr>
        <w:t xml:space="preserve"> </w:t>
      </w:r>
    </w:p>
    <w:p w:rsidR="00274DFC" w:rsidRPr="00133689" w:rsidRDefault="00133689" w:rsidP="00133689">
      <w:pPr>
        <w:autoSpaceDE w:val="0"/>
        <w:autoSpaceDN w:val="0"/>
        <w:adjustRightInd w:val="0"/>
        <w:rPr>
          <w:rFonts w:eastAsia="HelenPro-Regular"/>
        </w:rPr>
      </w:pPr>
      <w:r w:rsidRPr="00133689">
        <w:rPr>
          <w:rFonts w:eastAsia="HelenPro-Regular"/>
        </w:rPr>
        <w:t>Performance of this test has not been established with neonatal specimens.</w:t>
      </w:r>
    </w:p>
    <w:p w:rsidR="009B11DE" w:rsidRDefault="009B11DE" w:rsidP="002578A2">
      <w:pPr>
        <w:autoSpaceDE w:val="0"/>
        <w:autoSpaceDN w:val="0"/>
        <w:adjustRightInd w:val="0"/>
        <w:rPr>
          <w:rFonts w:eastAsia="HelenPro-Bold"/>
          <w:b/>
          <w:bCs/>
        </w:rPr>
      </w:pPr>
    </w:p>
    <w:p w:rsidR="00887473" w:rsidRPr="002578A2" w:rsidRDefault="002578A2" w:rsidP="002578A2">
      <w:pPr>
        <w:autoSpaceDE w:val="0"/>
        <w:autoSpaceDN w:val="0"/>
        <w:adjustRightInd w:val="0"/>
        <w:rPr>
          <w:rFonts w:eastAsia="HelenPro-Regular"/>
          <w:b/>
        </w:rPr>
      </w:pPr>
      <w:r w:rsidRPr="002578A2">
        <w:rPr>
          <w:rFonts w:eastAsia="HelenPro-Regular"/>
          <w:b/>
        </w:rPr>
        <w:lastRenderedPageBreak/>
        <w:t>Specificity</w:t>
      </w:r>
    </w:p>
    <w:p w:rsidR="00E76310" w:rsidRPr="00133689" w:rsidRDefault="00133689" w:rsidP="00133689">
      <w:pPr>
        <w:autoSpaceDE w:val="0"/>
        <w:autoSpaceDN w:val="0"/>
        <w:adjustRightInd w:val="0"/>
        <w:rPr>
          <w:rFonts w:eastAsia="HelenPro-Regular"/>
        </w:rPr>
      </w:pPr>
      <w:r w:rsidRPr="00133689">
        <w:rPr>
          <w:rFonts w:eastAsia="HelenPro-Regular"/>
        </w:rPr>
        <w:t>The ARCHITECT Free</w:t>
      </w:r>
      <w:r w:rsidR="00D506F0">
        <w:rPr>
          <w:rFonts w:eastAsia="HelenPro-Regular"/>
        </w:rPr>
        <w:t xml:space="preserve"> T</w:t>
      </w:r>
      <w:r w:rsidRPr="00133689">
        <w:rPr>
          <w:rFonts w:eastAsia="HelenPro-Regular"/>
        </w:rPr>
        <w:t>3 assay is des</w:t>
      </w:r>
      <w:r>
        <w:rPr>
          <w:rFonts w:eastAsia="HelenPro-Regular"/>
        </w:rPr>
        <w:t xml:space="preserve">igned to have a mean analytical </w:t>
      </w:r>
      <w:r w:rsidRPr="00133689">
        <w:rPr>
          <w:rFonts w:eastAsia="HelenPro-Regular"/>
        </w:rPr>
        <w:t xml:space="preserve">specificity of ≤ 0.001% cross reactivity with </w:t>
      </w:r>
      <w:proofErr w:type="spellStart"/>
      <w:r w:rsidRPr="00133689">
        <w:rPr>
          <w:rFonts w:eastAsia="HelenPro-Regular"/>
        </w:rPr>
        <w:t>thyroxine</w:t>
      </w:r>
      <w:proofErr w:type="spellEnd"/>
      <w:r w:rsidRPr="00133689">
        <w:rPr>
          <w:rFonts w:eastAsia="HelenPro-Regular"/>
        </w:rPr>
        <w:t xml:space="preserve"> (T4) at a concentration</w:t>
      </w:r>
      <w:r>
        <w:rPr>
          <w:rFonts w:eastAsia="HelenPro-Regular"/>
        </w:rPr>
        <w:t xml:space="preserve"> </w:t>
      </w:r>
      <w:r w:rsidRPr="00133689">
        <w:rPr>
          <w:rFonts w:eastAsia="HelenPro-Regular"/>
        </w:rPr>
        <w:t xml:space="preserve">of 1,000,000 </w:t>
      </w:r>
      <w:proofErr w:type="spellStart"/>
      <w:r w:rsidRPr="00133689">
        <w:rPr>
          <w:rFonts w:eastAsia="HelenPro-Regular"/>
        </w:rPr>
        <w:t>pg</w:t>
      </w:r>
      <w:proofErr w:type="spellEnd"/>
      <w:r w:rsidRPr="00133689">
        <w:rPr>
          <w:rFonts w:eastAsia="HelenPro-Regular"/>
        </w:rPr>
        <w:t>/</w:t>
      </w:r>
      <w:proofErr w:type="spellStart"/>
      <w:r w:rsidRPr="00133689">
        <w:rPr>
          <w:rFonts w:eastAsia="HelenPro-Regular"/>
        </w:rPr>
        <w:t>mL.</w:t>
      </w:r>
      <w:proofErr w:type="spellEnd"/>
      <w:r w:rsidRPr="00133689">
        <w:rPr>
          <w:noProof/>
        </w:rPr>
        <w:t xml:space="preserve"> </w:t>
      </w:r>
    </w:p>
    <w:p w:rsidR="009B11DE" w:rsidRPr="00133689" w:rsidRDefault="009B11DE" w:rsidP="009B11DE">
      <w:pPr>
        <w:autoSpaceDE w:val="0"/>
        <w:autoSpaceDN w:val="0"/>
        <w:adjustRightInd w:val="0"/>
        <w:rPr>
          <w:rFonts w:eastAsia="HelenPro-Bold"/>
          <w:b/>
          <w:bCs/>
        </w:rPr>
      </w:pPr>
    </w:p>
    <w:p w:rsidR="00133689" w:rsidRPr="00133689" w:rsidRDefault="00133689" w:rsidP="00133689">
      <w:pPr>
        <w:autoSpaceDE w:val="0"/>
        <w:autoSpaceDN w:val="0"/>
        <w:adjustRightInd w:val="0"/>
        <w:rPr>
          <w:rFonts w:eastAsia="HelenPro-Bold"/>
          <w:b/>
          <w:bCs/>
        </w:rPr>
      </w:pPr>
      <w:r w:rsidRPr="00133689">
        <w:rPr>
          <w:rFonts w:eastAsia="HelenPro-Bold"/>
          <w:b/>
          <w:bCs/>
        </w:rPr>
        <w:t>Interference</w:t>
      </w:r>
    </w:p>
    <w:p w:rsidR="00133689" w:rsidRPr="00133689" w:rsidRDefault="00133689" w:rsidP="00133689">
      <w:pPr>
        <w:autoSpaceDE w:val="0"/>
        <w:autoSpaceDN w:val="0"/>
        <w:adjustRightInd w:val="0"/>
        <w:rPr>
          <w:rFonts w:eastAsia="HelenPro-Regular"/>
        </w:rPr>
      </w:pPr>
      <w:r w:rsidRPr="00133689">
        <w:rPr>
          <w:rFonts w:eastAsia="HelenPro-Regular"/>
        </w:rPr>
        <w:t>The ARCHITECT Free T3 assay is de</w:t>
      </w:r>
      <w:r>
        <w:rPr>
          <w:rFonts w:eastAsia="HelenPro-Regular"/>
        </w:rPr>
        <w:t xml:space="preserve">signed to have a mean potential </w:t>
      </w:r>
      <w:r w:rsidRPr="00133689">
        <w:rPr>
          <w:rFonts w:eastAsia="HelenPro-Regular"/>
        </w:rPr>
        <w:t>interference from hemoglobin, bilirubin, triglycerides, and protein of &lt; 10%</w:t>
      </w:r>
      <w:r>
        <w:rPr>
          <w:rFonts w:eastAsia="HelenPro-Regular"/>
        </w:rPr>
        <w:t xml:space="preserve"> </w:t>
      </w:r>
      <w:r w:rsidRPr="00133689">
        <w:rPr>
          <w:rFonts w:eastAsia="HelenPro-Regular"/>
        </w:rPr>
        <w:t>at the levels indicated below.</w:t>
      </w:r>
    </w:p>
    <w:p w:rsidR="00133689" w:rsidRPr="00133689" w:rsidRDefault="00133689" w:rsidP="00133689">
      <w:pPr>
        <w:autoSpaceDE w:val="0"/>
        <w:autoSpaceDN w:val="0"/>
        <w:adjustRightInd w:val="0"/>
        <w:rPr>
          <w:rFonts w:eastAsia="HelenPro-Regular"/>
        </w:rPr>
      </w:pPr>
      <w:r w:rsidRPr="00133689">
        <w:rPr>
          <w:rFonts w:eastAsia="HelenPro-Bold"/>
          <w:b/>
          <w:bCs/>
        </w:rPr>
        <w:t xml:space="preserve">• </w:t>
      </w:r>
      <w:r w:rsidRPr="00133689">
        <w:rPr>
          <w:rFonts w:eastAsia="HelenPro-Regular"/>
        </w:rPr>
        <w:t xml:space="preserve">Hemoglobin - </w:t>
      </w:r>
      <w:r>
        <w:rPr>
          <w:rFonts w:eastAsia="HelenPro-Regular"/>
        </w:rPr>
        <w:tab/>
      </w:r>
      <w:r>
        <w:rPr>
          <w:rFonts w:eastAsia="HelenPro-Regular"/>
        </w:rPr>
        <w:tab/>
      </w:r>
      <w:r>
        <w:rPr>
          <w:rFonts w:eastAsia="HelenPro-Regular"/>
        </w:rPr>
        <w:tab/>
      </w:r>
      <w:r w:rsidRPr="00133689">
        <w:rPr>
          <w:rFonts w:eastAsia="HelenPro-Regular"/>
        </w:rPr>
        <w:t>≤ 500 mg/</w:t>
      </w:r>
      <w:proofErr w:type="spellStart"/>
      <w:r w:rsidRPr="00133689">
        <w:rPr>
          <w:rFonts w:eastAsia="HelenPro-Regular"/>
        </w:rPr>
        <w:t>dL</w:t>
      </w:r>
      <w:proofErr w:type="spellEnd"/>
    </w:p>
    <w:p w:rsidR="00133689" w:rsidRPr="00133689" w:rsidRDefault="00133689" w:rsidP="00133689">
      <w:pPr>
        <w:autoSpaceDE w:val="0"/>
        <w:autoSpaceDN w:val="0"/>
        <w:adjustRightInd w:val="0"/>
        <w:rPr>
          <w:rFonts w:eastAsia="HelenPro-Regular"/>
        </w:rPr>
      </w:pPr>
      <w:r w:rsidRPr="00133689">
        <w:rPr>
          <w:rFonts w:eastAsia="HelenPro-Bold"/>
          <w:b/>
          <w:bCs/>
        </w:rPr>
        <w:t xml:space="preserve">• </w:t>
      </w:r>
      <w:r w:rsidRPr="00133689">
        <w:rPr>
          <w:rFonts w:eastAsia="HelenPro-Regular"/>
        </w:rPr>
        <w:t>Bilirubin -</w:t>
      </w:r>
      <w:r>
        <w:rPr>
          <w:rFonts w:eastAsia="HelenPro-Regular"/>
        </w:rPr>
        <w:tab/>
      </w:r>
      <w:r>
        <w:rPr>
          <w:rFonts w:eastAsia="HelenPro-Regular"/>
        </w:rPr>
        <w:tab/>
      </w:r>
      <w:r>
        <w:rPr>
          <w:rFonts w:eastAsia="HelenPro-Regular"/>
        </w:rPr>
        <w:tab/>
      </w:r>
      <w:r>
        <w:rPr>
          <w:rFonts w:eastAsia="HelenPro-Regular"/>
        </w:rPr>
        <w:tab/>
      </w:r>
      <w:r w:rsidRPr="00133689">
        <w:rPr>
          <w:rFonts w:eastAsia="HelenPro-Regular"/>
        </w:rPr>
        <w:t xml:space="preserve"> ≤ 20 mg/</w:t>
      </w:r>
      <w:proofErr w:type="spellStart"/>
      <w:r w:rsidRPr="00133689">
        <w:rPr>
          <w:rFonts w:eastAsia="HelenPro-Regular"/>
        </w:rPr>
        <w:t>dL</w:t>
      </w:r>
      <w:proofErr w:type="spellEnd"/>
    </w:p>
    <w:p w:rsidR="00133689" w:rsidRPr="00133689" w:rsidRDefault="00133689" w:rsidP="00133689">
      <w:pPr>
        <w:autoSpaceDE w:val="0"/>
        <w:autoSpaceDN w:val="0"/>
        <w:adjustRightInd w:val="0"/>
        <w:rPr>
          <w:rFonts w:eastAsia="HelenPro-Regular"/>
        </w:rPr>
      </w:pPr>
      <w:r w:rsidRPr="00133689">
        <w:rPr>
          <w:rFonts w:eastAsia="HelenPro-Bold"/>
          <w:b/>
          <w:bCs/>
        </w:rPr>
        <w:t xml:space="preserve">• </w:t>
      </w:r>
      <w:r w:rsidRPr="00133689">
        <w:rPr>
          <w:rFonts w:eastAsia="HelenPro-Regular"/>
        </w:rPr>
        <w:t xml:space="preserve">Triglycerides - </w:t>
      </w:r>
      <w:r>
        <w:rPr>
          <w:rFonts w:eastAsia="HelenPro-Regular"/>
        </w:rPr>
        <w:tab/>
      </w:r>
      <w:r>
        <w:rPr>
          <w:rFonts w:eastAsia="HelenPro-Regular"/>
        </w:rPr>
        <w:tab/>
      </w:r>
      <w:r>
        <w:rPr>
          <w:rFonts w:eastAsia="HelenPro-Regular"/>
        </w:rPr>
        <w:tab/>
      </w:r>
      <w:r w:rsidRPr="00133689">
        <w:rPr>
          <w:rFonts w:eastAsia="HelenPro-Regular"/>
        </w:rPr>
        <w:t>≤ 2000 mg/</w:t>
      </w:r>
      <w:proofErr w:type="spellStart"/>
      <w:r w:rsidRPr="00133689">
        <w:rPr>
          <w:rFonts w:eastAsia="HelenPro-Regular"/>
        </w:rPr>
        <w:t>dL</w:t>
      </w:r>
      <w:proofErr w:type="spellEnd"/>
    </w:p>
    <w:p w:rsidR="005A7374" w:rsidRPr="00133689" w:rsidRDefault="00133689" w:rsidP="00133689">
      <w:pPr>
        <w:autoSpaceDE w:val="0"/>
        <w:autoSpaceDN w:val="0"/>
        <w:adjustRightInd w:val="0"/>
        <w:rPr>
          <w:rFonts w:eastAsia="HelenPro-Regular"/>
        </w:rPr>
      </w:pPr>
      <w:r w:rsidRPr="00133689">
        <w:rPr>
          <w:rFonts w:eastAsia="HelenPro-Bold"/>
          <w:b/>
          <w:bCs/>
        </w:rPr>
        <w:t xml:space="preserve">• </w:t>
      </w:r>
      <w:r w:rsidRPr="00133689">
        <w:rPr>
          <w:rFonts w:eastAsia="HelenPro-Regular"/>
        </w:rPr>
        <w:t xml:space="preserve">Protein - </w:t>
      </w:r>
      <w:r>
        <w:rPr>
          <w:rFonts w:eastAsia="HelenPro-Regular"/>
        </w:rPr>
        <w:tab/>
      </w:r>
      <w:r>
        <w:rPr>
          <w:rFonts w:eastAsia="HelenPro-Regular"/>
        </w:rPr>
        <w:tab/>
      </w:r>
      <w:r>
        <w:rPr>
          <w:rFonts w:eastAsia="HelenPro-Regular"/>
        </w:rPr>
        <w:tab/>
      </w:r>
      <w:r>
        <w:rPr>
          <w:rFonts w:eastAsia="HelenPro-Regular"/>
        </w:rPr>
        <w:tab/>
      </w:r>
      <w:r w:rsidRPr="00133689">
        <w:rPr>
          <w:rFonts w:eastAsia="HelenPro-Regular"/>
        </w:rPr>
        <w:t>≤ 12 g/</w:t>
      </w:r>
      <w:proofErr w:type="spellStart"/>
      <w:r w:rsidRPr="00133689">
        <w:rPr>
          <w:rFonts w:eastAsia="HelenPro-Regular"/>
        </w:rPr>
        <w:t>dL</w:t>
      </w:r>
      <w:proofErr w:type="spellEnd"/>
    </w:p>
    <w:p w:rsidR="00705494" w:rsidRDefault="00705494"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6B6078" w:rsidRDefault="006B6078" w:rsidP="005A7374">
      <w:pPr>
        <w:autoSpaceDE w:val="0"/>
        <w:autoSpaceDN w:val="0"/>
        <w:adjustRightInd w:val="0"/>
        <w:rPr>
          <w:rFonts w:eastAsia="HelenPro-Regular"/>
        </w:rPr>
      </w:pPr>
    </w:p>
    <w:p w:rsidR="00705494" w:rsidRDefault="00705494" w:rsidP="005A7374">
      <w:pPr>
        <w:autoSpaceDE w:val="0"/>
        <w:autoSpaceDN w:val="0"/>
        <w:adjustRightInd w:val="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D16B69" w:rsidRPr="00D506F0" w:rsidRDefault="00D16B69" w:rsidP="00D16B69">
      <w:pPr>
        <w:jc w:val="both"/>
        <w:rPr>
          <w:b/>
        </w:rPr>
      </w:pPr>
      <w:r w:rsidRPr="00D506F0">
        <w:rPr>
          <w:b/>
        </w:rPr>
        <w:t>References:</w:t>
      </w:r>
      <w:r w:rsidR="00973EAF" w:rsidRPr="00D506F0">
        <w:rPr>
          <w:b/>
        </w:rPr>
        <w:t xml:space="preserve"> </w:t>
      </w:r>
    </w:p>
    <w:p w:rsidR="000A13F2" w:rsidRPr="00D506F0" w:rsidRDefault="000A13F2" w:rsidP="00030CDD">
      <w:pPr>
        <w:pStyle w:val="ListParagraph"/>
        <w:numPr>
          <w:ilvl w:val="0"/>
          <w:numId w:val="4"/>
        </w:numPr>
        <w:rPr>
          <w:sz w:val="22"/>
          <w:szCs w:val="22"/>
        </w:rPr>
      </w:pPr>
      <w:r w:rsidRPr="00D506F0">
        <w:rPr>
          <w:sz w:val="22"/>
          <w:szCs w:val="22"/>
        </w:rPr>
        <w:t xml:space="preserve">ABBOTT ARCHITECT </w:t>
      </w:r>
      <w:r w:rsidR="002531B2" w:rsidRPr="00D506F0">
        <w:rPr>
          <w:sz w:val="22"/>
          <w:szCs w:val="22"/>
        </w:rPr>
        <w:t>Free T3</w:t>
      </w:r>
      <w:r w:rsidRPr="00D506F0">
        <w:rPr>
          <w:sz w:val="22"/>
          <w:szCs w:val="22"/>
        </w:rPr>
        <w:t xml:space="preserve"> package insert</w:t>
      </w:r>
    </w:p>
    <w:p w:rsidR="000A13F2" w:rsidRPr="00D506F0" w:rsidRDefault="000A13F2" w:rsidP="000A13F2">
      <w:pPr>
        <w:pStyle w:val="ListParagraph"/>
        <w:rPr>
          <w:sz w:val="22"/>
          <w:szCs w:val="22"/>
        </w:rPr>
      </w:pPr>
      <w:r w:rsidRPr="00D506F0">
        <w:rPr>
          <w:sz w:val="22"/>
          <w:szCs w:val="22"/>
        </w:rPr>
        <w:t>Abbott Laboratories</w:t>
      </w:r>
    </w:p>
    <w:p w:rsidR="000A13F2" w:rsidRPr="00D506F0" w:rsidRDefault="000A13F2" w:rsidP="000A13F2">
      <w:pPr>
        <w:pStyle w:val="ListParagraph"/>
        <w:rPr>
          <w:sz w:val="22"/>
          <w:szCs w:val="22"/>
        </w:rPr>
      </w:pPr>
      <w:r w:rsidRPr="00D506F0">
        <w:rPr>
          <w:sz w:val="22"/>
          <w:szCs w:val="22"/>
        </w:rPr>
        <w:t>Diagnostics Division</w:t>
      </w:r>
    </w:p>
    <w:p w:rsidR="000A13F2" w:rsidRPr="00D506F0" w:rsidRDefault="000A13F2" w:rsidP="000A13F2">
      <w:pPr>
        <w:pStyle w:val="ListParagraph"/>
        <w:rPr>
          <w:sz w:val="22"/>
          <w:szCs w:val="22"/>
        </w:rPr>
      </w:pPr>
      <w:r w:rsidRPr="00D506F0">
        <w:rPr>
          <w:sz w:val="22"/>
          <w:szCs w:val="22"/>
        </w:rPr>
        <w:t>Abbott Park, IL  60064</w:t>
      </w:r>
    </w:p>
    <w:p w:rsidR="00425BA0" w:rsidRPr="00D506F0" w:rsidRDefault="00444208" w:rsidP="00425BA0">
      <w:pPr>
        <w:pStyle w:val="ListParagraph"/>
        <w:rPr>
          <w:rFonts w:eastAsia="HelenPro-Bold"/>
          <w:b/>
          <w:bCs/>
          <w:sz w:val="20"/>
          <w:szCs w:val="20"/>
        </w:rPr>
      </w:pPr>
      <w:r w:rsidRPr="00D506F0">
        <w:rPr>
          <w:bCs/>
          <w:sz w:val="22"/>
          <w:szCs w:val="22"/>
        </w:rPr>
        <w:t>Sept</w:t>
      </w:r>
      <w:r w:rsidR="00BB5E83" w:rsidRPr="00D506F0">
        <w:rPr>
          <w:bCs/>
          <w:sz w:val="22"/>
          <w:szCs w:val="22"/>
        </w:rPr>
        <w:t xml:space="preserve"> 201</w:t>
      </w:r>
      <w:r w:rsidRPr="00D506F0">
        <w:rPr>
          <w:bCs/>
          <w:sz w:val="22"/>
          <w:szCs w:val="22"/>
        </w:rPr>
        <w:t>5</w:t>
      </w:r>
      <w:r w:rsidR="000A13F2" w:rsidRPr="00D506F0">
        <w:rPr>
          <w:bCs/>
          <w:sz w:val="22"/>
          <w:szCs w:val="22"/>
        </w:rPr>
        <w:t xml:space="preserve"> </w:t>
      </w:r>
      <w:r w:rsidRPr="00D506F0">
        <w:rPr>
          <w:rFonts w:eastAsia="HelenPro-Bold"/>
          <w:bCs/>
          <w:szCs w:val="28"/>
        </w:rPr>
        <w:t>G5-6683</w:t>
      </w:r>
      <w:r w:rsidRPr="00D506F0">
        <w:rPr>
          <w:rFonts w:eastAsia="HelenPro-Bold"/>
          <w:szCs w:val="28"/>
        </w:rPr>
        <w:t xml:space="preserve">/ </w:t>
      </w:r>
      <w:r w:rsidRPr="00D506F0">
        <w:rPr>
          <w:rFonts w:eastAsia="HelenPro-Bold"/>
          <w:bCs/>
          <w:szCs w:val="28"/>
        </w:rPr>
        <w:t>R07</w:t>
      </w:r>
    </w:p>
    <w:p w:rsidR="000A13F2" w:rsidRPr="00D506F0" w:rsidRDefault="000A13F2" w:rsidP="00425BA0">
      <w:pPr>
        <w:pStyle w:val="ListParagraph"/>
        <w:numPr>
          <w:ilvl w:val="0"/>
          <w:numId w:val="4"/>
        </w:numPr>
        <w:rPr>
          <w:rFonts w:eastAsia="HelenPro-Bold"/>
          <w:b/>
          <w:bCs/>
          <w:sz w:val="20"/>
          <w:szCs w:val="20"/>
        </w:rPr>
      </w:pPr>
      <w:r w:rsidRPr="00D506F0">
        <w:rPr>
          <w:sz w:val="22"/>
          <w:szCs w:val="22"/>
        </w:rPr>
        <w:t xml:space="preserve">ABBOTT ARCHITECT </w:t>
      </w:r>
      <w:r w:rsidR="002531B2" w:rsidRPr="00D506F0">
        <w:rPr>
          <w:sz w:val="22"/>
          <w:szCs w:val="22"/>
        </w:rPr>
        <w:t>Free</w:t>
      </w:r>
      <w:r w:rsidR="00BB5E83" w:rsidRPr="00D506F0">
        <w:rPr>
          <w:sz w:val="22"/>
          <w:szCs w:val="22"/>
        </w:rPr>
        <w:t xml:space="preserve"> </w:t>
      </w:r>
      <w:r w:rsidR="002531B2" w:rsidRPr="00D506F0">
        <w:rPr>
          <w:sz w:val="22"/>
          <w:szCs w:val="22"/>
        </w:rPr>
        <w:t>T3</w:t>
      </w:r>
      <w:r w:rsidR="003974C4" w:rsidRPr="00D506F0">
        <w:rPr>
          <w:sz w:val="22"/>
          <w:szCs w:val="22"/>
        </w:rPr>
        <w:t xml:space="preserve"> </w:t>
      </w:r>
      <w:r w:rsidRPr="00D506F0">
        <w:rPr>
          <w:sz w:val="22"/>
          <w:szCs w:val="22"/>
        </w:rPr>
        <w:t>Calibrator package insert</w:t>
      </w:r>
    </w:p>
    <w:p w:rsidR="000A13F2" w:rsidRPr="00D506F0" w:rsidRDefault="000A13F2" w:rsidP="000A13F2">
      <w:pPr>
        <w:pStyle w:val="ListParagraph"/>
        <w:rPr>
          <w:sz w:val="22"/>
          <w:szCs w:val="22"/>
        </w:rPr>
      </w:pPr>
      <w:r w:rsidRPr="00D506F0">
        <w:rPr>
          <w:sz w:val="22"/>
          <w:szCs w:val="22"/>
        </w:rPr>
        <w:t>Abbott Laboratories</w:t>
      </w:r>
    </w:p>
    <w:p w:rsidR="000A13F2" w:rsidRPr="00D506F0" w:rsidRDefault="000A13F2" w:rsidP="000A13F2">
      <w:pPr>
        <w:pStyle w:val="ListParagraph"/>
        <w:rPr>
          <w:sz w:val="22"/>
          <w:szCs w:val="22"/>
        </w:rPr>
      </w:pPr>
      <w:r w:rsidRPr="00D506F0">
        <w:rPr>
          <w:sz w:val="22"/>
          <w:szCs w:val="22"/>
        </w:rPr>
        <w:t>Diagnostics Division</w:t>
      </w:r>
    </w:p>
    <w:p w:rsidR="000A13F2" w:rsidRPr="00D506F0" w:rsidRDefault="000A13F2" w:rsidP="000A13F2">
      <w:pPr>
        <w:pStyle w:val="ListParagraph"/>
        <w:rPr>
          <w:sz w:val="22"/>
          <w:szCs w:val="22"/>
        </w:rPr>
      </w:pPr>
      <w:r w:rsidRPr="00D506F0">
        <w:rPr>
          <w:sz w:val="22"/>
          <w:szCs w:val="22"/>
        </w:rPr>
        <w:t>Abbott Park, IL  60064</w:t>
      </w:r>
    </w:p>
    <w:p w:rsidR="00173EA4" w:rsidRPr="00D506F0" w:rsidRDefault="000A13F2" w:rsidP="00246FA8">
      <w:pPr>
        <w:pStyle w:val="ListParagraph"/>
        <w:numPr>
          <w:ilvl w:val="0"/>
          <w:numId w:val="4"/>
        </w:numPr>
        <w:spacing w:after="72"/>
        <w:jc w:val="both"/>
      </w:pPr>
      <w:r w:rsidRPr="00D506F0">
        <w:t>Abbott ARCHITECT</w:t>
      </w:r>
      <w:r w:rsidR="00941AE5" w:rsidRPr="00D506F0">
        <w:rPr>
          <w:lang w:val="ru-RU"/>
        </w:rPr>
        <w:t xml:space="preserve"> Operator’s Guid</w:t>
      </w:r>
      <w:r w:rsidR="00941AE5" w:rsidRPr="00D506F0">
        <w:t>e</w:t>
      </w:r>
    </w:p>
    <w:p w:rsidR="00941AE5" w:rsidRPr="00D506F0" w:rsidRDefault="00941AE5" w:rsidP="00941AE5">
      <w:pPr>
        <w:spacing w:after="72"/>
        <w:jc w:val="both"/>
      </w:pPr>
    </w:p>
    <w:p w:rsidR="00941AE5" w:rsidRDefault="00941AE5" w:rsidP="00941AE5">
      <w:pPr>
        <w:spacing w:after="72"/>
        <w:jc w:val="both"/>
      </w:pPr>
    </w:p>
    <w:p w:rsidR="005D76E9" w:rsidRDefault="005D76E9"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bookmarkStart w:id="0" w:name="_GoBack"/>
      <w:bookmarkEnd w:id="0"/>
    </w:p>
    <w:sectPr w:rsidR="00157696" w:rsidRPr="00BC1EC4" w:rsidSect="00507B0C">
      <w:headerReference w:type="even" r:id="rId22"/>
      <w:headerReference w:type="default" r:id="rId23"/>
      <w:footerReference w:type="even" r:id="rId24"/>
      <w:footerReference w:type="default" r:id="rId25"/>
      <w:headerReference w:type="first" r:id="rId26"/>
      <w:footerReference w:type="first" r:id="rId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981" w:rsidRDefault="002C7981">
      <w:r>
        <w:separator/>
      </w:r>
    </w:p>
  </w:endnote>
  <w:endnote w:type="continuationSeparator" w:id="0">
    <w:p w:rsidR="002C7981" w:rsidRDefault="002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8070000" w:usb2="00000010" w:usb3="00000000" w:csb0="0002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70" w:rsidRDefault="00540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D506F0">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D506F0">
      <w:rPr>
        <w:noProof/>
        <w:sz w:val="20"/>
        <w:szCs w:val="20"/>
      </w:rPr>
      <w:t>11</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70" w:rsidRDefault="00540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981" w:rsidRDefault="002C7981">
      <w:r>
        <w:separator/>
      </w:r>
    </w:p>
  </w:footnote>
  <w:footnote w:type="continuationSeparator" w:id="0">
    <w:p w:rsidR="002C7981" w:rsidRDefault="002C7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70" w:rsidRDefault="00540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540470">
      <w:rPr>
        <w:b/>
        <w:sz w:val="20"/>
        <w:szCs w:val="20"/>
      </w:rPr>
      <w:t xml:space="preserve"> 4840-CH-165</w:t>
    </w:r>
  </w:p>
  <w:p w:rsidR="00B54C79" w:rsidRDefault="00B54C79" w:rsidP="00100BF8">
    <w:pPr>
      <w:jc w:val="right"/>
      <w:rPr>
        <w:sz w:val="20"/>
        <w:szCs w:val="20"/>
      </w:rPr>
    </w:pPr>
    <w:r>
      <w:rPr>
        <w:sz w:val="20"/>
        <w:szCs w:val="20"/>
      </w:rPr>
      <w:t xml:space="preserve">ARCHITECT </w:t>
    </w:r>
    <w:r w:rsidR="009E2662">
      <w:rPr>
        <w:sz w:val="20"/>
        <w:szCs w:val="20"/>
      </w:rPr>
      <w:t>Free 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470" w:rsidRDefault="00540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8B000DB"/>
    <w:multiLevelType w:val="hybridMultilevel"/>
    <w:tmpl w:val="228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E1894"/>
    <w:multiLevelType w:val="hybridMultilevel"/>
    <w:tmpl w:val="2D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713872"/>
    <w:multiLevelType w:val="hybridMultilevel"/>
    <w:tmpl w:val="896C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221DB"/>
    <w:multiLevelType w:val="hybridMultilevel"/>
    <w:tmpl w:val="32A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B2D94"/>
    <w:multiLevelType w:val="hybridMultilevel"/>
    <w:tmpl w:val="3E7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453BDF"/>
    <w:multiLevelType w:val="hybridMultilevel"/>
    <w:tmpl w:val="4E2E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8">
    <w:nsid w:val="69081BDF"/>
    <w:multiLevelType w:val="hybridMultilevel"/>
    <w:tmpl w:val="C30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C7B29"/>
    <w:multiLevelType w:val="hybridMultilevel"/>
    <w:tmpl w:val="600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AA77BE"/>
    <w:multiLevelType w:val="hybridMultilevel"/>
    <w:tmpl w:val="E6C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38"/>
  </w:num>
  <w:num w:numId="4">
    <w:abstractNumId w:val="19"/>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1"/>
  </w:num>
  <w:num w:numId="8">
    <w:abstractNumId w:val="0"/>
  </w:num>
  <w:num w:numId="9">
    <w:abstractNumId w:val="27"/>
  </w:num>
  <w:num w:numId="10">
    <w:abstractNumId w:val="22"/>
  </w:num>
  <w:num w:numId="11">
    <w:abstractNumId w:val="26"/>
  </w:num>
  <w:num w:numId="12">
    <w:abstractNumId w:val="4"/>
  </w:num>
  <w:num w:numId="13">
    <w:abstractNumId w:val="13"/>
  </w:num>
  <w:num w:numId="14">
    <w:abstractNumId w:val="17"/>
  </w:num>
  <w:num w:numId="15">
    <w:abstractNumId w:val="39"/>
  </w:num>
  <w:num w:numId="16">
    <w:abstractNumId w:val="24"/>
  </w:num>
  <w:num w:numId="17">
    <w:abstractNumId w:val="6"/>
  </w:num>
  <w:num w:numId="18">
    <w:abstractNumId w:val="30"/>
  </w:num>
  <w:num w:numId="19">
    <w:abstractNumId w:val="10"/>
  </w:num>
  <w:num w:numId="20">
    <w:abstractNumId w:val="14"/>
  </w:num>
  <w:num w:numId="21">
    <w:abstractNumId w:val="7"/>
  </w:num>
  <w:num w:numId="22">
    <w:abstractNumId w:val="25"/>
  </w:num>
  <w:num w:numId="23">
    <w:abstractNumId w:val="5"/>
  </w:num>
  <w:num w:numId="24">
    <w:abstractNumId w:val="31"/>
  </w:num>
  <w:num w:numId="25">
    <w:abstractNumId w:val="35"/>
  </w:num>
  <w:num w:numId="26">
    <w:abstractNumId w:val="16"/>
  </w:num>
  <w:num w:numId="27">
    <w:abstractNumId w:val="36"/>
  </w:num>
  <w:num w:numId="28">
    <w:abstractNumId w:val="18"/>
  </w:num>
  <w:num w:numId="29">
    <w:abstractNumId w:val="3"/>
  </w:num>
  <w:num w:numId="30">
    <w:abstractNumId w:val="8"/>
  </w:num>
  <w:num w:numId="31">
    <w:abstractNumId w:val="9"/>
  </w:num>
  <w:num w:numId="32">
    <w:abstractNumId w:val="29"/>
  </w:num>
  <w:num w:numId="33">
    <w:abstractNumId w:val="12"/>
  </w:num>
  <w:num w:numId="34">
    <w:abstractNumId w:val="20"/>
  </w:num>
  <w:num w:numId="35">
    <w:abstractNumId w:val="21"/>
  </w:num>
  <w:num w:numId="36">
    <w:abstractNumId w:val="2"/>
  </w:num>
  <w:num w:numId="37">
    <w:abstractNumId w:val="37"/>
  </w:num>
  <w:num w:numId="38">
    <w:abstractNumId w:val="34"/>
  </w:num>
  <w:num w:numId="39">
    <w:abstractNumId w:val="1"/>
  </w:num>
  <w:num w:numId="40">
    <w:abstractNumId w:val="28"/>
  </w:num>
  <w:num w:numId="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DE2"/>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26B1C"/>
    <w:rsid w:val="001318C3"/>
    <w:rsid w:val="00132081"/>
    <w:rsid w:val="00132894"/>
    <w:rsid w:val="00133689"/>
    <w:rsid w:val="00133F38"/>
    <w:rsid w:val="0014554C"/>
    <w:rsid w:val="001467C0"/>
    <w:rsid w:val="001528ED"/>
    <w:rsid w:val="00155687"/>
    <w:rsid w:val="00157696"/>
    <w:rsid w:val="0016247C"/>
    <w:rsid w:val="00167572"/>
    <w:rsid w:val="00172CF7"/>
    <w:rsid w:val="00173EA4"/>
    <w:rsid w:val="001756AB"/>
    <w:rsid w:val="00184D0E"/>
    <w:rsid w:val="00191F12"/>
    <w:rsid w:val="0019760C"/>
    <w:rsid w:val="001A639E"/>
    <w:rsid w:val="001B29A7"/>
    <w:rsid w:val="001B4267"/>
    <w:rsid w:val="001B5868"/>
    <w:rsid w:val="001C48DA"/>
    <w:rsid w:val="001C751A"/>
    <w:rsid w:val="001D3841"/>
    <w:rsid w:val="001D6AE0"/>
    <w:rsid w:val="001E079E"/>
    <w:rsid w:val="001E2474"/>
    <w:rsid w:val="001E74F9"/>
    <w:rsid w:val="001F32A9"/>
    <w:rsid w:val="001F6B7B"/>
    <w:rsid w:val="00211DD8"/>
    <w:rsid w:val="00216888"/>
    <w:rsid w:val="00232A7B"/>
    <w:rsid w:val="00246FA8"/>
    <w:rsid w:val="0025031C"/>
    <w:rsid w:val="002531B2"/>
    <w:rsid w:val="00253C1F"/>
    <w:rsid w:val="00255C54"/>
    <w:rsid w:val="002578A2"/>
    <w:rsid w:val="0026243F"/>
    <w:rsid w:val="002648A6"/>
    <w:rsid w:val="002649AA"/>
    <w:rsid w:val="002746A8"/>
    <w:rsid w:val="00274DFC"/>
    <w:rsid w:val="00294A08"/>
    <w:rsid w:val="002B0D2A"/>
    <w:rsid w:val="002B1993"/>
    <w:rsid w:val="002C0E55"/>
    <w:rsid w:val="002C2F49"/>
    <w:rsid w:val="002C7981"/>
    <w:rsid w:val="002C7FD5"/>
    <w:rsid w:val="002D18CA"/>
    <w:rsid w:val="002D2075"/>
    <w:rsid w:val="002D370D"/>
    <w:rsid w:val="002D38DF"/>
    <w:rsid w:val="002D70E2"/>
    <w:rsid w:val="002D72EC"/>
    <w:rsid w:val="002E528E"/>
    <w:rsid w:val="002E679B"/>
    <w:rsid w:val="002F52E0"/>
    <w:rsid w:val="003056A7"/>
    <w:rsid w:val="00312DAB"/>
    <w:rsid w:val="00317056"/>
    <w:rsid w:val="003356DF"/>
    <w:rsid w:val="00347BEC"/>
    <w:rsid w:val="00353FD5"/>
    <w:rsid w:val="0037463A"/>
    <w:rsid w:val="00380D60"/>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68A"/>
    <w:rsid w:val="00443DB3"/>
    <w:rsid w:val="00444208"/>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0DC"/>
    <w:rsid w:val="004C2C23"/>
    <w:rsid w:val="004C37CB"/>
    <w:rsid w:val="004C73AF"/>
    <w:rsid w:val="004D5329"/>
    <w:rsid w:val="004E0AFF"/>
    <w:rsid w:val="004E3937"/>
    <w:rsid w:val="004F5F8A"/>
    <w:rsid w:val="0050716A"/>
    <w:rsid w:val="00507B0C"/>
    <w:rsid w:val="005169F4"/>
    <w:rsid w:val="00523858"/>
    <w:rsid w:val="00533CE1"/>
    <w:rsid w:val="00540470"/>
    <w:rsid w:val="00551335"/>
    <w:rsid w:val="0055619E"/>
    <w:rsid w:val="0056023B"/>
    <w:rsid w:val="00570113"/>
    <w:rsid w:val="00574309"/>
    <w:rsid w:val="005765EB"/>
    <w:rsid w:val="005806E5"/>
    <w:rsid w:val="0058304A"/>
    <w:rsid w:val="005902C0"/>
    <w:rsid w:val="005A1D53"/>
    <w:rsid w:val="005A4739"/>
    <w:rsid w:val="005A7348"/>
    <w:rsid w:val="005A7374"/>
    <w:rsid w:val="005B0D1C"/>
    <w:rsid w:val="005B1BF7"/>
    <w:rsid w:val="005C4292"/>
    <w:rsid w:val="005D68AD"/>
    <w:rsid w:val="005D76E9"/>
    <w:rsid w:val="005E3AB5"/>
    <w:rsid w:val="005E3D52"/>
    <w:rsid w:val="005E48EE"/>
    <w:rsid w:val="005F3E81"/>
    <w:rsid w:val="0060398E"/>
    <w:rsid w:val="00607638"/>
    <w:rsid w:val="00610572"/>
    <w:rsid w:val="006107A2"/>
    <w:rsid w:val="0061553C"/>
    <w:rsid w:val="00621ABB"/>
    <w:rsid w:val="00623EFB"/>
    <w:rsid w:val="0063150E"/>
    <w:rsid w:val="00644800"/>
    <w:rsid w:val="00654386"/>
    <w:rsid w:val="006559EB"/>
    <w:rsid w:val="00656BB9"/>
    <w:rsid w:val="00671812"/>
    <w:rsid w:val="00674186"/>
    <w:rsid w:val="00682038"/>
    <w:rsid w:val="00687C2F"/>
    <w:rsid w:val="006A15AE"/>
    <w:rsid w:val="006A5580"/>
    <w:rsid w:val="006A5AAE"/>
    <w:rsid w:val="006B0A70"/>
    <w:rsid w:val="006B3C65"/>
    <w:rsid w:val="006B6078"/>
    <w:rsid w:val="006D28ED"/>
    <w:rsid w:val="006D40ED"/>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71FF"/>
    <w:rsid w:val="00765A01"/>
    <w:rsid w:val="007703C0"/>
    <w:rsid w:val="007840DD"/>
    <w:rsid w:val="00794A6F"/>
    <w:rsid w:val="007B09E3"/>
    <w:rsid w:val="007B0CCE"/>
    <w:rsid w:val="007B247B"/>
    <w:rsid w:val="007E4CE6"/>
    <w:rsid w:val="007E6C3C"/>
    <w:rsid w:val="0080146D"/>
    <w:rsid w:val="008036AC"/>
    <w:rsid w:val="00804822"/>
    <w:rsid w:val="00812CCF"/>
    <w:rsid w:val="00816ACE"/>
    <w:rsid w:val="00833E15"/>
    <w:rsid w:val="008352C0"/>
    <w:rsid w:val="00835A84"/>
    <w:rsid w:val="00841397"/>
    <w:rsid w:val="00846F9F"/>
    <w:rsid w:val="00847607"/>
    <w:rsid w:val="00861504"/>
    <w:rsid w:val="00863AA4"/>
    <w:rsid w:val="00864220"/>
    <w:rsid w:val="00872E9C"/>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E2859"/>
    <w:rsid w:val="008F7947"/>
    <w:rsid w:val="008F794A"/>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11DE"/>
    <w:rsid w:val="009B4C90"/>
    <w:rsid w:val="009D1D61"/>
    <w:rsid w:val="009D498B"/>
    <w:rsid w:val="009E0FF1"/>
    <w:rsid w:val="009E2662"/>
    <w:rsid w:val="009E49EB"/>
    <w:rsid w:val="009F0CBD"/>
    <w:rsid w:val="009F648F"/>
    <w:rsid w:val="00A015C6"/>
    <w:rsid w:val="00A016EE"/>
    <w:rsid w:val="00A06293"/>
    <w:rsid w:val="00A062F7"/>
    <w:rsid w:val="00A06412"/>
    <w:rsid w:val="00A06F60"/>
    <w:rsid w:val="00A1152E"/>
    <w:rsid w:val="00A1486D"/>
    <w:rsid w:val="00A15431"/>
    <w:rsid w:val="00A15B97"/>
    <w:rsid w:val="00A226F3"/>
    <w:rsid w:val="00A241F8"/>
    <w:rsid w:val="00A320E4"/>
    <w:rsid w:val="00A35DB6"/>
    <w:rsid w:val="00A408AE"/>
    <w:rsid w:val="00A5042D"/>
    <w:rsid w:val="00A52562"/>
    <w:rsid w:val="00A541AC"/>
    <w:rsid w:val="00A54DD8"/>
    <w:rsid w:val="00A554D4"/>
    <w:rsid w:val="00A67673"/>
    <w:rsid w:val="00A71728"/>
    <w:rsid w:val="00A71D1D"/>
    <w:rsid w:val="00A72EC0"/>
    <w:rsid w:val="00A81234"/>
    <w:rsid w:val="00A82E30"/>
    <w:rsid w:val="00A92E30"/>
    <w:rsid w:val="00A94552"/>
    <w:rsid w:val="00AA119D"/>
    <w:rsid w:val="00AA271B"/>
    <w:rsid w:val="00AA50C1"/>
    <w:rsid w:val="00AA7423"/>
    <w:rsid w:val="00AA7B6F"/>
    <w:rsid w:val="00AB5354"/>
    <w:rsid w:val="00AB793D"/>
    <w:rsid w:val="00AC0E64"/>
    <w:rsid w:val="00AD402C"/>
    <w:rsid w:val="00AD66A2"/>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94EE2"/>
    <w:rsid w:val="00BA0054"/>
    <w:rsid w:val="00BA3154"/>
    <w:rsid w:val="00BB5E83"/>
    <w:rsid w:val="00BB7014"/>
    <w:rsid w:val="00BC1EC4"/>
    <w:rsid w:val="00BC76E2"/>
    <w:rsid w:val="00BE40A6"/>
    <w:rsid w:val="00BF32B2"/>
    <w:rsid w:val="00BF4A58"/>
    <w:rsid w:val="00C10F06"/>
    <w:rsid w:val="00C12B0A"/>
    <w:rsid w:val="00C32412"/>
    <w:rsid w:val="00C3571A"/>
    <w:rsid w:val="00C44099"/>
    <w:rsid w:val="00C46D5D"/>
    <w:rsid w:val="00C53E37"/>
    <w:rsid w:val="00C61A99"/>
    <w:rsid w:val="00C63D0C"/>
    <w:rsid w:val="00C63D9F"/>
    <w:rsid w:val="00C661EB"/>
    <w:rsid w:val="00C90E57"/>
    <w:rsid w:val="00C912E2"/>
    <w:rsid w:val="00C967D5"/>
    <w:rsid w:val="00CA11D0"/>
    <w:rsid w:val="00CA5058"/>
    <w:rsid w:val="00CB66ED"/>
    <w:rsid w:val="00CC2751"/>
    <w:rsid w:val="00CC37B4"/>
    <w:rsid w:val="00CC3D62"/>
    <w:rsid w:val="00CE2DC7"/>
    <w:rsid w:val="00CF7868"/>
    <w:rsid w:val="00D006C7"/>
    <w:rsid w:val="00D16262"/>
    <w:rsid w:val="00D16B69"/>
    <w:rsid w:val="00D27C5A"/>
    <w:rsid w:val="00D339B0"/>
    <w:rsid w:val="00D506F0"/>
    <w:rsid w:val="00D5070C"/>
    <w:rsid w:val="00D50F05"/>
    <w:rsid w:val="00D5211B"/>
    <w:rsid w:val="00D60AFA"/>
    <w:rsid w:val="00D64E39"/>
    <w:rsid w:val="00D70A7B"/>
    <w:rsid w:val="00D71AF7"/>
    <w:rsid w:val="00D730A1"/>
    <w:rsid w:val="00D73BF8"/>
    <w:rsid w:val="00D77B64"/>
    <w:rsid w:val="00D80968"/>
    <w:rsid w:val="00D84ADA"/>
    <w:rsid w:val="00D84E28"/>
    <w:rsid w:val="00D94BB8"/>
    <w:rsid w:val="00D97908"/>
    <w:rsid w:val="00DA040A"/>
    <w:rsid w:val="00DA0D83"/>
    <w:rsid w:val="00DA6C6A"/>
    <w:rsid w:val="00DB3051"/>
    <w:rsid w:val="00DB49D0"/>
    <w:rsid w:val="00DC16C5"/>
    <w:rsid w:val="00DC56D1"/>
    <w:rsid w:val="00DD0481"/>
    <w:rsid w:val="00DD06E2"/>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76310"/>
    <w:rsid w:val="00E97A8C"/>
    <w:rsid w:val="00EA1269"/>
    <w:rsid w:val="00EA713D"/>
    <w:rsid w:val="00EB2F9F"/>
    <w:rsid w:val="00EB33FE"/>
    <w:rsid w:val="00EB72AA"/>
    <w:rsid w:val="00EC002B"/>
    <w:rsid w:val="00EC352F"/>
    <w:rsid w:val="00EC7B32"/>
    <w:rsid w:val="00ED2343"/>
    <w:rsid w:val="00ED4BBB"/>
    <w:rsid w:val="00ED5787"/>
    <w:rsid w:val="00EF4170"/>
    <w:rsid w:val="00EF7315"/>
    <w:rsid w:val="00F05CCD"/>
    <w:rsid w:val="00F13523"/>
    <w:rsid w:val="00F175CB"/>
    <w:rsid w:val="00F1787A"/>
    <w:rsid w:val="00F17F45"/>
    <w:rsid w:val="00F20C64"/>
    <w:rsid w:val="00F2292E"/>
    <w:rsid w:val="00F23218"/>
    <w:rsid w:val="00F25293"/>
    <w:rsid w:val="00F32BBD"/>
    <w:rsid w:val="00F3700B"/>
    <w:rsid w:val="00F55E7B"/>
    <w:rsid w:val="00F61480"/>
    <w:rsid w:val="00F66836"/>
    <w:rsid w:val="00F7103F"/>
    <w:rsid w:val="00F71F30"/>
    <w:rsid w:val="00F7630F"/>
    <w:rsid w:val="00F80AD3"/>
    <w:rsid w:val="00F82D85"/>
    <w:rsid w:val="00F84979"/>
    <w:rsid w:val="00F91000"/>
    <w:rsid w:val="00F91971"/>
    <w:rsid w:val="00F92520"/>
    <w:rsid w:val="00F92947"/>
    <w:rsid w:val="00F95946"/>
    <w:rsid w:val="00FA706C"/>
    <w:rsid w:val="00FB49F4"/>
    <w:rsid w:val="00FB7839"/>
    <w:rsid w:val="00FD0EC0"/>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724BD-7102-4A18-BB60-3F02203E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1740</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11460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2018-09-05T17:31:00Z</dcterms:created>
  <dcterms:modified xsi:type="dcterms:W3CDTF">2018-10-22T18:27:00Z</dcterms:modified>
</cp:coreProperties>
</file>