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EE29E2">
      <w:pPr>
        <w:rPr>
          <w:b/>
        </w:rPr>
      </w:pPr>
      <w:r>
        <w:rPr>
          <w:noProof/>
        </w:rPr>
        <w:drawing>
          <wp:inline distT="0" distB="0" distL="0" distR="0" wp14:anchorId="49D9E89C" wp14:editId="47BD84E9">
            <wp:extent cx="2095500" cy="571500"/>
            <wp:effectExtent l="0" t="0" r="0" b="0"/>
            <wp:docPr id="2" name="Picture 2"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D006C7" w:rsidRDefault="00A21F86" w:rsidP="006107A2">
      <w:pPr>
        <w:jc w:val="center"/>
        <w:rPr>
          <w:rFonts w:eastAsia="HelenPro-Regular"/>
          <w:b/>
          <w:sz w:val="28"/>
          <w:szCs w:val="28"/>
        </w:rPr>
      </w:pPr>
      <w:r>
        <w:rPr>
          <w:rFonts w:eastAsia="HelenPro-Regular"/>
          <w:b/>
          <w:sz w:val="28"/>
          <w:szCs w:val="28"/>
        </w:rPr>
        <w:t>ANTI-HCV</w:t>
      </w:r>
      <w:r>
        <w:rPr>
          <w:rFonts w:eastAsia="HelenPro-Regular"/>
          <w:b/>
          <w:sz w:val="28"/>
          <w:szCs w:val="28"/>
        </w:rPr>
        <w:tab/>
      </w:r>
    </w:p>
    <w:p w:rsidR="0056023B" w:rsidRPr="001A639E" w:rsidRDefault="004A2AA3" w:rsidP="006107A2">
      <w:pPr>
        <w:jc w:val="center"/>
        <w:rPr>
          <w:b/>
          <w:sz w:val="28"/>
          <w:szCs w:val="28"/>
        </w:rPr>
      </w:pPr>
      <w:r>
        <w:rPr>
          <w:b/>
          <w:sz w:val="28"/>
          <w:szCs w:val="28"/>
        </w:rPr>
        <w:t>SERUM</w:t>
      </w:r>
      <w:r w:rsidR="00C32412">
        <w:rPr>
          <w:b/>
          <w:sz w:val="28"/>
          <w:szCs w:val="28"/>
        </w:rPr>
        <w:t xml:space="preserve"> </w:t>
      </w:r>
      <w:r w:rsidR="006A71AF">
        <w:rPr>
          <w:b/>
          <w:sz w:val="28"/>
          <w:szCs w:val="28"/>
        </w:rPr>
        <w:t>OR PLASMA</w:t>
      </w:r>
    </w:p>
    <w:p w:rsidR="006107A2" w:rsidRDefault="0088112F" w:rsidP="006107A2">
      <w:pPr>
        <w:jc w:val="center"/>
        <w:rPr>
          <w:b/>
          <w:caps/>
          <w:sz w:val="28"/>
          <w:szCs w:val="28"/>
        </w:rPr>
      </w:pPr>
      <w:r>
        <w:rPr>
          <w:b/>
          <w:caps/>
          <w:sz w:val="28"/>
          <w:szCs w:val="28"/>
        </w:rPr>
        <w:t>ABBOTT ARCHITECT</w:t>
      </w:r>
    </w:p>
    <w:p w:rsidR="006559EB" w:rsidRPr="001A639E" w:rsidRDefault="006559EB" w:rsidP="006559EB">
      <w:pPr>
        <w:rPr>
          <w:b/>
          <w:sz w:val="28"/>
          <w:szCs w:val="28"/>
        </w:rPr>
      </w:pPr>
    </w:p>
    <w:p w:rsidR="008A7F96" w:rsidRPr="00973EAF" w:rsidRDefault="008A7F96" w:rsidP="008A7F96">
      <w:pPr>
        <w:rPr>
          <w:b/>
          <w:color w:val="FF0000"/>
          <w:sz w:val="28"/>
          <w:szCs w:val="28"/>
        </w:rPr>
      </w:pPr>
      <w:r w:rsidRPr="007E4CE6">
        <w:rPr>
          <w:b/>
          <w:sz w:val="28"/>
          <w:szCs w:val="28"/>
        </w:rPr>
        <w:t>Intended Use</w:t>
      </w:r>
      <w:r>
        <w:rPr>
          <w:b/>
          <w:sz w:val="28"/>
          <w:szCs w:val="28"/>
        </w:rPr>
        <w:t xml:space="preserve"> </w:t>
      </w:r>
    </w:p>
    <w:p w:rsidR="00A21F86" w:rsidRPr="00A21F86" w:rsidRDefault="00A21F86" w:rsidP="00A21F86">
      <w:pPr>
        <w:autoSpaceDE w:val="0"/>
        <w:autoSpaceDN w:val="0"/>
        <w:adjustRightInd w:val="0"/>
        <w:rPr>
          <w:rFonts w:eastAsia="HelenPro-Regular"/>
        </w:rPr>
      </w:pPr>
      <w:r w:rsidRPr="00A21F86">
        <w:rPr>
          <w:rFonts w:eastAsia="HelenPro-Regular"/>
        </w:rPr>
        <w:t>The ARCHITECT Anti-HCV assay is a</w:t>
      </w:r>
      <w:r>
        <w:rPr>
          <w:rFonts w:eastAsia="HelenPro-Regular"/>
        </w:rPr>
        <w:t xml:space="preserve"> </w:t>
      </w:r>
      <w:proofErr w:type="spellStart"/>
      <w:r>
        <w:rPr>
          <w:rFonts w:eastAsia="HelenPro-Regular"/>
        </w:rPr>
        <w:t>chemiluminescent</w:t>
      </w:r>
      <w:proofErr w:type="spellEnd"/>
      <w:r>
        <w:rPr>
          <w:rFonts w:eastAsia="HelenPro-Regular"/>
        </w:rPr>
        <w:t xml:space="preserve"> </w:t>
      </w:r>
      <w:proofErr w:type="spellStart"/>
      <w:r>
        <w:rPr>
          <w:rFonts w:eastAsia="HelenPro-Regular"/>
        </w:rPr>
        <w:t>microparticle</w:t>
      </w:r>
      <w:proofErr w:type="spellEnd"/>
      <w:r>
        <w:rPr>
          <w:rFonts w:eastAsia="HelenPro-Regular"/>
        </w:rPr>
        <w:t xml:space="preserve"> </w:t>
      </w:r>
      <w:r w:rsidRPr="00A21F86">
        <w:rPr>
          <w:rFonts w:eastAsia="HelenPro-Regular"/>
        </w:rPr>
        <w:t>immunoassay (CMIA) for the qualitative detection of immunoglobulin G</w:t>
      </w:r>
      <w:r>
        <w:rPr>
          <w:rFonts w:eastAsia="HelenPro-Regular"/>
        </w:rPr>
        <w:t xml:space="preserve"> </w:t>
      </w:r>
      <w:r w:rsidRPr="00A21F86">
        <w:rPr>
          <w:rFonts w:eastAsia="HelenPro-Regular"/>
        </w:rPr>
        <w:t>(</w:t>
      </w:r>
      <w:proofErr w:type="spellStart"/>
      <w:r w:rsidRPr="00A21F86">
        <w:rPr>
          <w:rFonts w:eastAsia="HelenPro-Regular"/>
        </w:rPr>
        <w:t>IgG</w:t>
      </w:r>
      <w:proofErr w:type="spellEnd"/>
      <w:r w:rsidRPr="00A21F86">
        <w:rPr>
          <w:rFonts w:eastAsia="HelenPro-Regular"/>
        </w:rPr>
        <w:t>) and immunoglobulin M (</w:t>
      </w:r>
      <w:proofErr w:type="spellStart"/>
      <w:r w:rsidRPr="00A21F86">
        <w:rPr>
          <w:rFonts w:eastAsia="HelenPro-Regular"/>
        </w:rPr>
        <w:t>IgM</w:t>
      </w:r>
      <w:proofErr w:type="spellEnd"/>
      <w:r w:rsidRPr="00A21F86">
        <w:rPr>
          <w:rFonts w:eastAsia="HelenPro-Regular"/>
        </w:rPr>
        <w:t>) antibodies to hepatitis C virus (anti</w:t>
      </w:r>
      <w:r w:rsidRPr="00A21F86">
        <w:rPr>
          <w:rFonts w:ascii="MS Mincho" w:eastAsia="MS Mincho" w:hAnsi="MS Mincho" w:cs="MS Mincho" w:hint="eastAsia"/>
        </w:rPr>
        <w:t>‑</w:t>
      </w:r>
      <w:r w:rsidRPr="00A21F86">
        <w:rPr>
          <w:rFonts w:eastAsia="HelenPro-Regular"/>
        </w:rPr>
        <w:t>HCV)</w:t>
      </w:r>
      <w:r>
        <w:rPr>
          <w:rFonts w:eastAsia="HelenPro-Regular"/>
        </w:rPr>
        <w:t xml:space="preserve"> </w:t>
      </w:r>
      <w:r w:rsidRPr="00A21F86">
        <w:rPr>
          <w:rFonts w:eastAsia="HelenPro-Regular"/>
        </w:rPr>
        <w:t>in human adult serum and plasma (potassium EDTA, lithium heparin,</w:t>
      </w:r>
      <w:r>
        <w:rPr>
          <w:rFonts w:eastAsia="HelenPro-Regular"/>
        </w:rPr>
        <w:t xml:space="preserve"> </w:t>
      </w:r>
      <w:r w:rsidRPr="00A21F86">
        <w:rPr>
          <w:rFonts w:eastAsia="HelenPro-Regular"/>
        </w:rPr>
        <w:t>and sodium heparin). Assay results, in conjunction with other laboratory</w:t>
      </w:r>
      <w:r>
        <w:rPr>
          <w:rFonts w:eastAsia="HelenPro-Regular"/>
        </w:rPr>
        <w:t xml:space="preserve"> </w:t>
      </w:r>
      <w:r w:rsidRPr="00A21F86">
        <w:rPr>
          <w:rFonts w:eastAsia="HelenPro-Regular"/>
        </w:rPr>
        <w:t>results and clinical information, may be used to provide presumptive</w:t>
      </w:r>
      <w:r>
        <w:rPr>
          <w:rFonts w:eastAsia="HelenPro-Regular"/>
        </w:rPr>
        <w:t xml:space="preserve"> </w:t>
      </w:r>
      <w:r w:rsidRPr="00A21F86">
        <w:rPr>
          <w:rFonts w:eastAsia="HelenPro-Regular"/>
        </w:rPr>
        <w:t>evidence of infection with HCV (state of infection or associated disease</w:t>
      </w:r>
      <w:r>
        <w:rPr>
          <w:rFonts w:eastAsia="HelenPro-Regular"/>
        </w:rPr>
        <w:t xml:space="preserve"> </w:t>
      </w:r>
      <w:r w:rsidRPr="00A21F86">
        <w:rPr>
          <w:rFonts w:eastAsia="HelenPro-Regular"/>
        </w:rPr>
        <w:t>not determined) in persons with signs and symptoms of hepatitis and in</w:t>
      </w:r>
      <w:r>
        <w:rPr>
          <w:rFonts w:eastAsia="HelenPro-Regular"/>
        </w:rPr>
        <w:t xml:space="preserve"> </w:t>
      </w:r>
      <w:r w:rsidRPr="00A21F86">
        <w:rPr>
          <w:rFonts w:eastAsia="HelenPro-Regular"/>
        </w:rPr>
        <w:t>persons at risk for hepatitis C infection.</w:t>
      </w:r>
    </w:p>
    <w:p w:rsidR="004A03BD" w:rsidRPr="00A21F86" w:rsidRDefault="00A21F86" w:rsidP="00A21F86">
      <w:pPr>
        <w:autoSpaceDE w:val="0"/>
        <w:autoSpaceDN w:val="0"/>
        <w:adjustRightInd w:val="0"/>
        <w:rPr>
          <w:rFonts w:eastAsia="HelenPro-Bold"/>
          <w:b/>
          <w:bCs/>
        </w:rPr>
      </w:pPr>
      <w:r w:rsidRPr="00A21F86">
        <w:rPr>
          <w:rFonts w:eastAsia="HelenPro-Bold"/>
          <w:b/>
          <w:bCs/>
        </w:rPr>
        <w:t>Warning: Not intended for use in scr</w:t>
      </w:r>
      <w:r>
        <w:rPr>
          <w:rFonts w:eastAsia="HelenPro-Bold"/>
          <w:b/>
          <w:bCs/>
        </w:rPr>
        <w:t xml:space="preserve">eening blood, plasma, or tissue </w:t>
      </w:r>
      <w:r w:rsidRPr="00A21F86">
        <w:rPr>
          <w:rFonts w:eastAsia="HelenPro-Bold"/>
          <w:b/>
          <w:bCs/>
        </w:rPr>
        <w:t xml:space="preserve">donors. </w:t>
      </w:r>
      <w:r w:rsidRPr="00A21F86">
        <w:rPr>
          <w:rFonts w:eastAsia="HelenPro-Regular"/>
        </w:rPr>
        <w:t>The effectiveness of ARCHITECT Anti-HCV for use in screening</w:t>
      </w:r>
      <w:r>
        <w:rPr>
          <w:rFonts w:eastAsia="HelenPro-Bold"/>
          <w:b/>
          <w:bCs/>
        </w:rPr>
        <w:t xml:space="preserve"> </w:t>
      </w:r>
      <w:r w:rsidRPr="00A21F86">
        <w:rPr>
          <w:rFonts w:eastAsia="HelenPro-Regular"/>
        </w:rPr>
        <w:t>blood, plasma, or tissue donors has not been established</w:t>
      </w:r>
      <w:r>
        <w:rPr>
          <w:rFonts w:ascii="HelenPro-Regular" w:eastAsia="HelenPro-Regular" w:cs="HelenPro-Regular"/>
          <w:sz w:val="16"/>
          <w:szCs w:val="16"/>
        </w:rPr>
        <w:t>.</w:t>
      </w:r>
      <w:r w:rsidR="00340B1A">
        <w:rPr>
          <w:rFonts w:eastAsia="HelenPro-Regular"/>
        </w:rPr>
        <w:t xml:space="preserve"> </w:t>
      </w:r>
      <w:r w:rsidR="00E70BBC" w:rsidRPr="00340B1A">
        <w:rPr>
          <w:rFonts w:eastAsia="HelenPro-Regular"/>
        </w:rPr>
        <w:t>Assay performance characteristics have not been established for</w:t>
      </w:r>
      <w:r w:rsidR="00340B1A">
        <w:rPr>
          <w:rFonts w:eastAsia="HelenPro-Regular"/>
        </w:rPr>
        <w:t xml:space="preserve"> </w:t>
      </w:r>
      <w:proofErr w:type="spellStart"/>
      <w:r w:rsidR="00E70BBC" w:rsidRPr="00340B1A">
        <w:rPr>
          <w:rFonts w:eastAsia="HelenPro-Regular"/>
        </w:rPr>
        <w:t>immunocompromised</w:t>
      </w:r>
      <w:proofErr w:type="spellEnd"/>
      <w:r w:rsidR="00E70BBC" w:rsidRPr="00340B1A">
        <w:rPr>
          <w:rFonts w:eastAsia="HelenPro-Regular"/>
        </w:rPr>
        <w:t xml:space="preserve"> or immunosuppressed patients. The user is responsible</w:t>
      </w:r>
      <w:r w:rsidR="00340B1A">
        <w:rPr>
          <w:rFonts w:eastAsia="HelenPro-Regular"/>
        </w:rPr>
        <w:t xml:space="preserve"> </w:t>
      </w:r>
      <w:r w:rsidR="00E70BBC" w:rsidRPr="00340B1A">
        <w:rPr>
          <w:rFonts w:eastAsia="HelenPro-Regular"/>
        </w:rPr>
        <w:t>for establishing their own assay performance characteristics in these</w:t>
      </w:r>
      <w:r w:rsidR="00340B1A">
        <w:rPr>
          <w:rFonts w:eastAsia="HelenPro-Regular"/>
        </w:rPr>
        <w:t xml:space="preserve"> </w:t>
      </w:r>
      <w:r w:rsidR="00E70BBC" w:rsidRPr="00340B1A">
        <w:rPr>
          <w:rFonts w:eastAsia="HelenPro-Regular"/>
        </w:rPr>
        <w:t>populations.</w:t>
      </w:r>
    </w:p>
    <w:p w:rsidR="00DC16C5" w:rsidRPr="00A062F7" w:rsidRDefault="00DC16C5" w:rsidP="00DC16C5">
      <w:pPr>
        <w:jc w:val="both"/>
        <w:rPr>
          <w:b/>
        </w:rPr>
      </w:pPr>
    </w:p>
    <w:p w:rsidR="0009322F" w:rsidRPr="00A062F7" w:rsidRDefault="006559EB" w:rsidP="006107A2">
      <w:pPr>
        <w:jc w:val="both"/>
        <w:rPr>
          <w:sz w:val="28"/>
          <w:szCs w:val="28"/>
        </w:rPr>
      </w:pPr>
      <w:r w:rsidRPr="00A062F7">
        <w:rPr>
          <w:b/>
          <w:sz w:val="28"/>
          <w:szCs w:val="28"/>
        </w:rPr>
        <w:t>Clinical Significance</w:t>
      </w:r>
      <w:r w:rsidR="006107A2" w:rsidRPr="00A062F7">
        <w:rPr>
          <w:sz w:val="28"/>
          <w:szCs w:val="28"/>
        </w:rPr>
        <w:t xml:space="preserve"> </w:t>
      </w:r>
    </w:p>
    <w:p w:rsidR="00A21F86" w:rsidRPr="00A21F86" w:rsidRDefault="00A21F86" w:rsidP="00A21F86">
      <w:pPr>
        <w:autoSpaceDE w:val="0"/>
        <w:autoSpaceDN w:val="0"/>
        <w:adjustRightInd w:val="0"/>
        <w:rPr>
          <w:rFonts w:eastAsia="HelenPro-Regular"/>
        </w:rPr>
      </w:pPr>
      <w:r w:rsidRPr="00A21F86">
        <w:rPr>
          <w:rFonts w:eastAsia="HelenPro-Regular"/>
        </w:rPr>
        <w:t>The ARCHITECT Anti-HCV assay is for</w:t>
      </w:r>
      <w:r>
        <w:rPr>
          <w:rFonts w:eastAsia="HelenPro-Regular"/>
        </w:rPr>
        <w:t xml:space="preserve"> the detection of antibodies to </w:t>
      </w:r>
      <w:r w:rsidRPr="00A21F86">
        <w:rPr>
          <w:rFonts w:eastAsia="HelenPro-Regular"/>
        </w:rPr>
        <w:t xml:space="preserve">the hepatitis C virus (HCV). </w:t>
      </w:r>
      <w:proofErr w:type="spellStart"/>
      <w:r w:rsidRPr="00A21F86">
        <w:rPr>
          <w:rFonts w:eastAsia="HelenPro-Regular"/>
        </w:rPr>
        <w:t>Chemiluminescent</w:t>
      </w:r>
      <w:proofErr w:type="spellEnd"/>
      <w:r w:rsidRPr="00A21F86">
        <w:rPr>
          <w:rFonts w:eastAsia="HelenPro-Regular"/>
        </w:rPr>
        <w:t xml:space="preserve"> immunoassays are a</w:t>
      </w:r>
      <w:r>
        <w:rPr>
          <w:rFonts w:eastAsia="HelenPro-Regular"/>
        </w:rPr>
        <w:t xml:space="preserve"> </w:t>
      </w:r>
      <w:r w:rsidRPr="00A21F86">
        <w:rPr>
          <w:rFonts w:eastAsia="HelenPro-Regular"/>
        </w:rPr>
        <w:t>variation of the enzyme immunoassay (EIA) principle. Solid phase EIAs,</w:t>
      </w:r>
      <w:r>
        <w:rPr>
          <w:rFonts w:eastAsia="HelenPro-Regular"/>
        </w:rPr>
        <w:t xml:space="preserve"> </w:t>
      </w:r>
      <w:r w:rsidRPr="00A21F86">
        <w:rPr>
          <w:rFonts w:eastAsia="HelenPro-Regular"/>
        </w:rPr>
        <w:t>first described in the early 1970s, use antigens and/or antibodies coated</w:t>
      </w:r>
      <w:r>
        <w:rPr>
          <w:rFonts w:eastAsia="HelenPro-Regular"/>
        </w:rPr>
        <w:t xml:space="preserve"> </w:t>
      </w:r>
      <w:r w:rsidRPr="00A21F86">
        <w:rPr>
          <w:rFonts w:eastAsia="HelenPro-Regular"/>
        </w:rPr>
        <w:t xml:space="preserve">on a surface to bind complementary analytes. The bound </w:t>
      </w:r>
      <w:proofErr w:type="spellStart"/>
      <w:r w:rsidRPr="00A21F86">
        <w:rPr>
          <w:rFonts w:eastAsia="HelenPro-Regular"/>
        </w:rPr>
        <w:t>analyte</w:t>
      </w:r>
      <w:proofErr w:type="spellEnd"/>
      <w:r w:rsidRPr="00A21F86">
        <w:rPr>
          <w:rFonts w:eastAsia="HelenPro-Regular"/>
        </w:rPr>
        <w:t xml:space="preserve"> is</w:t>
      </w:r>
      <w:r>
        <w:rPr>
          <w:rFonts w:eastAsia="HelenPro-Regular"/>
        </w:rPr>
        <w:t xml:space="preserve"> </w:t>
      </w:r>
      <w:r w:rsidRPr="00A21F86">
        <w:rPr>
          <w:rFonts w:eastAsia="HelenPro-Regular"/>
        </w:rPr>
        <w:t>detected by a series of antigen-antibody reactions. EIAs are available to</w:t>
      </w:r>
      <w:r>
        <w:rPr>
          <w:rFonts w:eastAsia="HelenPro-Regular"/>
        </w:rPr>
        <w:t xml:space="preserve"> </w:t>
      </w:r>
      <w:r w:rsidRPr="00A21F86">
        <w:rPr>
          <w:rFonts w:eastAsia="HelenPro-Regular"/>
        </w:rPr>
        <w:t>identify antigens and antibodies related to viral hepatitis infection. In the</w:t>
      </w:r>
    </w:p>
    <w:p w:rsidR="00A21F86" w:rsidRPr="00A21F86" w:rsidRDefault="00A21F86" w:rsidP="00A21F86">
      <w:pPr>
        <w:autoSpaceDE w:val="0"/>
        <w:autoSpaceDN w:val="0"/>
        <w:adjustRightInd w:val="0"/>
        <w:rPr>
          <w:rFonts w:eastAsia="HelenPro-Regular"/>
        </w:rPr>
      </w:pPr>
      <w:r w:rsidRPr="00A21F86">
        <w:rPr>
          <w:rFonts w:eastAsia="HelenPro-Regular"/>
        </w:rPr>
        <w:t>ARCHITECT Anti-HCV final reaction, bou</w:t>
      </w:r>
      <w:r>
        <w:rPr>
          <w:rFonts w:eastAsia="HelenPro-Regular"/>
        </w:rPr>
        <w:t xml:space="preserve">nd </w:t>
      </w:r>
      <w:proofErr w:type="spellStart"/>
      <w:r>
        <w:rPr>
          <w:rFonts w:eastAsia="HelenPro-Regular"/>
        </w:rPr>
        <w:t>acridinylated</w:t>
      </w:r>
      <w:proofErr w:type="spellEnd"/>
      <w:r>
        <w:rPr>
          <w:rFonts w:eastAsia="HelenPro-Regular"/>
        </w:rPr>
        <w:t xml:space="preserve"> conjugates are </w:t>
      </w:r>
      <w:r w:rsidRPr="00A21F86">
        <w:rPr>
          <w:rFonts w:eastAsia="HelenPro-Regular"/>
        </w:rPr>
        <w:t xml:space="preserve">used to generate a </w:t>
      </w:r>
      <w:proofErr w:type="spellStart"/>
      <w:r w:rsidRPr="00A21F86">
        <w:rPr>
          <w:rFonts w:eastAsia="HelenPro-Regular"/>
        </w:rPr>
        <w:t>chemiluminescent</w:t>
      </w:r>
      <w:proofErr w:type="spellEnd"/>
      <w:r w:rsidRPr="00A21F86">
        <w:rPr>
          <w:rFonts w:eastAsia="HelenPro-Regular"/>
        </w:rPr>
        <w:t xml:space="preserve"> signal.</w:t>
      </w:r>
      <w:r>
        <w:rPr>
          <w:rFonts w:eastAsia="HelenPro-Regular"/>
        </w:rPr>
        <w:t xml:space="preserve"> </w:t>
      </w:r>
      <w:r w:rsidRPr="00A21F86">
        <w:rPr>
          <w:rFonts w:eastAsia="HelenPro-Regular"/>
        </w:rPr>
        <w:t xml:space="preserve">HCV is a </w:t>
      </w:r>
      <w:proofErr w:type="spellStart"/>
      <w:r w:rsidRPr="00A21F86">
        <w:rPr>
          <w:rFonts w:eastAsia="HelenPro-Regular"/>
        </w:rPr>
        <w:t>bloodborne</w:t>
      </w:r>
      <w:proofErr w:type="spellEnd"/>
      <w:r w:rsidRPr="00A21F86">
        <w:rPr>
          <w:rFonts w:eastAsia="HelenPro-Regular"/>
        </w:rPr>
        <w:t xml:space="preserve"> virus. Serological studies employing EIAs for</w:t>
      </w:r>
      <w:r>
        <w:rPr>
          <w:rFonts w:eastAsia="HelenPro-Regular"/>
        </w:rPr>
        <w:t xml:space="preserve"> </w:t>
      </w:r>
      <w:r w:rsidRPr="00A21F86">
        <w:rPr>
          <w:rFonts w:eastAsia="HelenPro-Regular"/>
        </w:rPr>
        <w:t>detection of antibodies to recombinant antigens of HCV have established</w:t>
      </w:r>
      <w:r>
        <w:rPr>
          <w:rFonts w:eastAsia="HelenPro-Regular"/>
        </w:rPr>
        <w:t xml:space="preserve"> </w:t>
      </w:r>
      <w:r w:rsidRPr="00A21F86">
        <w:rPr>
          <w:rFonts w:eastAsia="HelenPro-Regular"/>
        </w:rPr>
        <w:t xml:space="preserve">HCV as the cause of most </w:t>
      </w:r>
      <w:proofErr w:type="spellStart"/>
      <w:r w:rsidRPr="00A21F86">
        <w:rPr>
          <w:rFonts w:eastAsia="HelenPro-Regular"/>
        </w:rPr>
        <w:t>bloodborne</w:t>
      </w:r>
      <w:proofErr w:type="spellEnd"/>
      <w:r w:rsidRPr="00A21F86">
        <w:rPr>
          <w:rFonts w:eastAsia="HelenPro-Regular"/>
        </w:rPr>
        <w:t xml:space="preserve"> as well as community-acquired non</w:t>
      </w:r>
      <w:r w:rsidRPr="00A21F86">
        <w:rPr>
          <w:rFonts w:ascii="MS Mincho" w:eastAsia="MS Mincho" w:hAnsi="MS Mincho" w:cs="MS Mincho" w:hint="eastAsia"/>
        </w:rPr>
        <w:t>‑</w:t>
      </w:r>
      <w:r w:rsidRPr="00A21F86">
        <w:rPr>
          <w:rFonts w:eastAsia="HelenPro-Regular"/>
        </w:rPr>
        <w:t>A, non</w:t>
      </w:r>
      <w:r w:rsidRPr="00A21F86">
        <w:rPr>
          <w:rFonts w:ascii="MS Mincho" w:eastAsia="MS Mincho" w:hAnsi="MS Mincho" w:cs="MS Mincho" w:hint="eastAsia"/>
        </w:rPr>
        <w:t>‑</w:t>
      </w:r>
      <w:r w:rsidRPr="00A21F86">
        <w:rPr>
          <w:rFonts w:eastAsia="HelenPro-Regular"/>
        </w:rPr>
        <w:t>B hepatitis. The presence of anti-HCV indicates that an</w:t>
      </w:r>
      <w:r>
        <w:rPr>
          <w:rFonts w:eastAsia="HelenPro-Regular"/>
        </w:rPr>
        <w:t xml:space="preserve"> </w:t>
      </w:r>
      <w:r w:rsidRPr="00A21F86">
        <w:rPr>
          <w:rFonts w:eastAsia="HelenPro-Regular"/>
        </w:rPr>
        <w:t>individual may have been infected with HCV, may harbor infectious HCV,</w:t>
      </w:r>
      <w:r>
        <w:rPr>
          <w:rFonts w:eastAsia="HelenPro-Regular"/>
        </w:rPr>
        <w:t xml:space="preserve"> </w:t>
      </w:r>
      <w:r w:rsidRPr="00A21F86">
        <w:rPr>
          <w:rFonts w:eastAsia="HelenPro-Regular"/>
        </w:rPr>
        <w:t xml:space="preserve">and/or may be capable of transmitting HCV infection. </w:t>
      </w:r>
      <w:r>
        <w:rPr>
          <w:rFonts w:eastAsia="HelenPro-Regular"/>
        </w:rPr>
        <w:t xml:space="preserve"> </w:t>
      </w:r>
      <w:r w:rsidRPr="00A21F86">
        <w:rPr>
          <w:rFonts w:eastAsia="HelenPro-Regular"/>
        </w:rPr>
        <w:t>Although the majority of infected individuals may be asymptomatic, HCV</w:t>
      </w:r>
      <w:r>
        <w:rPr>
          <w:rFonts w:eastAsia="HelenPro-Regular"/>
        </w:rPr>
        <w:t xml:space="preserve"> </w:t>
      </w:r>
      <w:r w:rsidRPr="00A21F86">
        <w:rPr>
          <w:rFonts w:eastAsia="HelenPro-Regular"/>
        </w:rPr>
        <w:t>infection may develop into chronic hepatitis, cirrhosis, and/or increased risk</w:t>
      </w:r>
      <w:r>
        <w:rPr>
          <w:rFonts w:eastAsia="HelenPro-Regular"/>
        </w:rPr>
        <w:t xml:space="preserve"> </w:t>
      </w:r>
      <w:r w:rsidRPr="00A21F86">
        <w:rPr>
          <w:rFonts w:eastAsia="HelenPro-Regular"/>
        </w:rPr>
        <w:t>of hepatocellular carcinoma. The implementation of blood donation</w:t>
      </w:r>
      <w:r>
        <w:rPr>
          <w:rFonts w:eastAsia="HelenPro-Regular"/>
        </w:rPr>
        <w:t xml:space="preserve"> </w:t>
      </w:r>
      <w:r w:rsidRPr="00A21F86">
        <w:rPr>
          <w:rFonts w:eastAsia="HelenPro-Regular"/>
        </w:rPr>
        <w:t>screening for anti-HCV by EIAs has led to a marked decline in the risk of</w:t>
      </w:r>
      <w:r>
        <w:rPr>
          <w:rFonts w:eastAsia="HelenPro-Regular"/>
        </w:rPr>
        <w:t xml:space="preserve"> </w:t>
      </w:r>
      <w:r w:rsidRPr="00A21F86">
        <w:rPr>
          <w:rFonts w:eastAsia="HelenPro-Regular"/>
        </w:rPr>
        <w:t xml:space="preserve">transfusion-transmitted hepatitis. </w:t>
      </w:r>
    </w:p>
    <w:p w:rsidR="00A21F86" w:rsidRPr="00A21F86" w:rsidRDefault="00A21F86" w:rsidP="00A21F86">
      <w:pPr>
        <w:autoSpaceDE w:val="0"/>
        <w:autoSpaceDN w:val="0"/>
        <w:adjustRightInd w:val="0"/>
        <w:rPr>
          <w:rFonts w:eastAsia="HelenPro-Regular"/>
        </w:rPr>
      </w:pPr>
      <w:r w:rsidRPr="00A21F86">
        <w:rPr>
          <w:rFonts w:eastAsia="HelenPro-Regular"/>
        </w:rPr>
        <w:t>ARCHITECT Anti-HCV has been designed t</w:t>
      </w:r>
      <w:r>
        <w:rPr>
          <w:rFonts w:eastAsia="HelenPro-Regular"/>
        </w:rPr>
        <w:t xml:space="preserve">o detect antibodies to putative </w:t>
      </w:r>
      <w:r w:rsidRPr="00A21F86">
        <w:rPr>
          <w:rFonts w:eastAsia="HelenPro-Regular"/>
        </w:rPr>
        <w:t>structural and nonstructural proteins of the HCV genome. The relationship</w:t>
      </w:r>
      <w:r>
        <w:rPr>
          <w:rFonts w:eastAsia="HelenPro-Regular"/>
        </w:rPr>
        <w:t xml:space="preserve"> </w:t>
      </w:r>
      <w:r w:rsidRPr="00A21F86">
        <w:rPr>
          <w:rFonts w:eastAsia="HelenPro-Regular"/>
        </w:rPr>
        <w:t>between the recombinant HCV proteins in ARCHITECT Anti-HCV and</w:t>
      </w:r>
      <w:r>
        <w:rPr>
          <w:rFonts w:eastAsia="HelenPro-Regular"/>
        </w:rPr>
        <w:t xml:space="preserve"> </w:t>
      </w:r>
      <w:r w:rsidRPr="00A21F86">
        <w:rPr>
          <w:rFonts w:eastAsia="HelenPro-Regular"/>
        </w:rPr>
        <w:t>the putative structural and nonstructural proteins of the HCV genome is</w:t>
      </w:r>
      <w:r>
        <w:rPr>
          <w:rFonts w:eastAsia="HelenPro-Regular"/>
        </w:rPr>
        <w:t xml:space="preserve"> </w:t>
      </w:r>
      <w:r w:rsidRPr="00A21F86">
        <w:rPr>
          <w:rFonts w:eastAsia="HelenPro-Regular"/>
        </w:rPr>
        <w:t xml:space="preserve">depicted below. </w:t>
      </w:r>
    </w:p>
    <w:p w:rsidR="00340B1A" w:rsidRPr="00A21F86" w:rsidRDefault="00A21F86" w:rsidP="00A21F86">
      <w:pPr>
        <w:autoSpaceDE w:val="0"/>
        <w:autoSpaceDN w:val="0"/>
        <w:adjustRightInd w:val="0"/>
        <w:rPr>
          <w:rFonts w:eastAsia="HelenPro-Regular"/>
        </w:rPr>
      </w:pPr>
      <w:r w:rsidRPr="00A21F86">
        <w:rPr>
          <w:rFonts w:eastAsia="HelenPro-Bold"/>
          <w:b/>
          <w:bCs/>
        </w:rPr>
        <w:t xml:space="preserve">• </w:t>
      </w:r>
      <w:r w:rsidRPr="00A21F86">
        <w:rPr>
          <w:rFonts w:eastAsia="HelenPro-Regular"/>
        </w:rPr>
        <w:t xml:space="preserve">HCr43: The HCr43 protein is expressed in </w:t>
      </w:r>
      <w:r w:rsidRPr="00A21F86">
        <w:rPr>
          <w:rFonts w:eastAsia="HelenPro-Regular"/>
          <w:i/>
          <w:iCs/>
        </w:rPr>
        <w:t xml:space="preserve">Escherichia coli </w:t>
      </w:r>
      <w:r w:rsidRPr="00A21F86">
        <w:rPr>
          <w:rFonts w:eastAsia="HelenPro-Regular"/>
        </w:rPr>
        <w:t>(</w:t>
      </w:r>
      <w:r w:rsidRPr="00A21F86">
        <w:rPr>
          <w:rFonts w:eastAsia="HelenPro-Regular"/>
          <w:i/>
          <w:iCs/>
        </w:rPr>
        <w:t>E. coli</w:t>
      </w:r>
      <w:r>
        <w:rPr>
          <w:rFonts w:eastAsia="HelenPro-Regular"/>
        </w:rPr>
        <w:t xml:space="preserve">) </w:t>
      </w:r>
      <w:r w:rsidRPr="00A21F86">
        <w:rPr>
          <w:rFonts w:eastAsia="HelenPro-Regular"/>
        </w:rPr>
        <w:t>and is composed of two noncontiguous coding regions of the HCV</w:t>
      </w:r>
      <w:r>
        <w:rPr>
          <w:rFonts w:eastAsia="HelenPro-Regular"/>
        </w:rPr>
        <w:t xml:space="preserve"> </w:t>
      </w:r>
      <w:r w:rsidRPr="00A21F86">
        <w:rPr>
          <w:rFonts w:eastAsia="HelenPro-Regular"/>
        </w:rPr>
        <w:t>genome sequence. The first region represents amino acids 1192 to</w:t>
      </w:r>
      <w:r>
        <w:rPr>
          <w:rFonts w:eastAsia="HelenPro-Regular"/>
        </w:rPr>
        <w:t xml:space="preserve"> </w:t>
      </w:r>
      <w:r w:rsidRPr="00A21F86">
        <w:rPr>
          <w:rFonts w:eastAsia="HelenPro-Regular"/>
        </w:rPr>
        <w:t>1457 (33c) of the HCV sequence. The second of the two regions</w:t>
      </w:r>
      <w:r>
        <w:rPr>
          <w:rFonts w:eastAsia="HelenPro-Regular"/>
        </w:rPr>
        <w:t xml:space="preserve"> </w:t>
      </w:r>
      <w:r w:rsidRPr="00A21F86">
        <w:rPr>
          <w:rFonts w:eastAsia="HelenPro-Regular"/>
        </w:rPr>
        <w:t>represents amino acids 1 to 150 (core) of the HCV sequence. Because</w:t>
      </w:r>
      <w:r>
        <w:rPr>
          <w:rFonts w:eastAsia="HelenPro-Regular"/>
        </w:rPr>
        <w:t xml:space="preserve"> </w:t>
      </w:r>
      <w:r w:rsidRPr="00A21F86">
        <w:rPr>
          <w:rFonts w:eastAsia="HelenPro-Regular"/>
        </w:rPr>
        <w:t xml:space="preserve">of the similarity of the genomic organization of the </w:t>
      </w:r>
      <w:proofErr w:type="spellStart"/>
      <w:r w:rsidRPr="00A21F86">
        <w:rPr>
          <w:rFonts w:eastAsia="HelenPro-Regular"/>
        </w:rPr>
        <w:t>flaviviruses</w:t>
      </w:r>
      <w:proofErr w:type="spellEnd"/>
      <w:r w:rsidRPr="00A21F86">
        <w:rPr>
          <w:rFonts w:eastAsia="HelenPro-Regular"/>
        </w:rPr>
        <w:t xml:space="preserve">, it </w:t>
      </w:r>
      <w:r w:rsidRPr="00A21F86">
        <w:rPr>
          <w:rFonts w:eastAsia="HelenPro-Regular"/>
        </w:rPr>
        <w:lastRenderedPageBreak/>
        <w:t>is</w:t>
      </w:r>
      <w:r>
        <w:rPr>
          <w:rFonts w:eastAsia="HelenPro-Regular"/>
        </w:rPr>
        <w:t xml:space="preserve"> </w:t>
      </w:r>
      <w:r w:rsidRPr="00A21F86">
        <w:rPr>
          <w:rFonts w:eastAsia="HelenPro-Regular"/>
        </w:rPr>
        <w:t>suggested that the first sequence is from the NS3 coding region and</w:t>
      </w:r>
      <w:r>
        <w:rPr>
          <w:rFonts w:eastAsia="HelenPro-Regular"/>
        </w:rPr>
        <w:t xml:space="preserve"> </w:t>
      </w:r>
      <w:r w:rsidRPr="00A21F86">
        <w:rPr>
          <w:rFonts w:eastAsia="HelenPro-Regular"/>
        </w:rPr>
        <w:t>the second sequence is from the core coding region of HCV.</w:t>
      </w:r>
    </w:p>
    <w:p w:rsidR="00A21F86" w:rsidRPr="00A21F86" w:rsidRDefault="00A21F86" w:rsidP="00A21F86">
      <w:pPr>
        <w:autoSpaceDE w:val="0"/>
        <w:autoSpaceDN w:val="0"/>
        <w:adjustRightInd w:val="0"/>
        <w:rPr>
          <w:rFonts w:eastAsia="HelenPro-Regular"/>
        </w:rPr>
      </w:pPr>
      <w:r w:rsidRPr="00A21F86">
        <w:rPr>
          <w:noProof/>
        </w:rPr>
        <w:drawing>
          <wp:inline distT="0" distB="0" distL="0" distR="0" wp14:anchorId="0F9C9954" wp14:editId="05B2DE8C">
            <wp:extent cx="5943600" cy="2455545"/>
            <wp:effectExtent l="0" t="0" r="0"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455545"/>
                    </a:xfrm>
                    <a:prstGeom prst="rect">
                      <a:avLst/>
                    </a:prstGeom>
                  </pic:spPr>
                </pic:pic>
              </a:graphicData>
            </a:graphic>
          </wp:inline>
        </w:drawing>
      </w:r>
    </w:p>
    <w:p w:rsidR="00A21F86" w:rsidRPr="00A21F86" w:rsidRDefault="00A21F86" w:rsidP="00A21F86">
      <w:pPr>
        <w:autoSpaceDE w:val="0"/>
        <w:autoSpaceDN w:val="0"/>
        <w:adjustRightInd w:val="0"/>
        <w:rPr>
          <w:rFonts w:eastAsia="HelenPro-Regular"/>
        </w:rPr>
      </w:pPr>
      <w:r w:rsidRPr="00A21F86">
        <w:rPr>
          <w:rFonts w:eastAsia="HelenPro-Bold"/>
          <w:b/>
          <w:bCs/>
        </w:rPr>
        <w:t xml:space="preserve">• </w:t>
      </w:r>
      <w:r w:rsidRPr="00A21F86">
        <w:rPr>
          <w:rFonts w:eastAsia="HelenPro-Regular"/>
        </w:rPr>
        <w:t>c100-3: The c100-3 antigen is a re</w:t>
      </w:r>
      <w:r>
        <w:rPr>
          <w:rFonts w:eastAsia="HelenPro-Regular"/>
        </w:rPr>
        <w:t xml:space="preserve">combinant HCV protein expressed </w:t>
      </w:r>
      <w:r w:rsidRPr="00A21F86">
        <w:rPr>
          <w:rFonts w:eastAsia="HelenPro-Regular"/>
        </w:rPr>
        <w:t xml:space="preserve">in </w:t>
      </w:r>
      <w:r w:rsidRPr="00A21F86">
        <w:rPr>
          <w:rFonts w:eastAsia="HelenPro-Bold"/>
          <w:i/>
          <w:iCs/>
        </w:rPr>
        <w:t xml:space="preserve">Saccharomyces </w:t>
      </w:r>
      <w:proofErr w:type="spellStart"/>
      <w:r w:rsidRPr="00A21F86">
        <w:rPr>
          <w:rFonts w:eastAsia="HelenPro-Bold"/>
          <w:i/>
          <w:iCs/>
        </w:rPr>
        <w:t>cerevisiae</w:t>
      </w:r>
      <w:proofErr w:type="spellEnd"/>
      <w:r w:rsidRPr="00A21F86">
        <w:rPr>
          <w:rFonts w:eastAsia="HelenPro-Bold"/>
          <w:i/>
          <w:iCs/>
        </w:rPr>
        <w:t xml:space="preserve"> </w:t>
      </w:r>
      <w:r w:rsidRPr="00A21F86">
        <w:rPr>
          <w:rFonts w:eastAsia="HelenPro-Regular"/>
        </w:rPr>
        <w:t>(yeast). The genomic organization of</w:t>
      </w:r>
      <w:r>
        <w:rPr>
          <w:rFonts w:eastAsia="HelenPro-Regular"/>
        </w:rPr>
        <w:t xml:space="preserve"> </w:t>
      </w:r>
      <w:proofErr w:type="spellStart"/>
      <w:r w:rsidRPr="00A21F86">
        <w:rPr>
          <w:rFonts w:eastAsia="HelenPro-Regular"/>
        </w:rPr>
        <w:t>flaviviruses</w:t>
      </w:r>
      <w:proofErr w:type="spellEnd"/>
      <w:r w:rsidRPr="00A21F86">
        <w:rPr>
          <w:rFonts w:eastAsia="HelenPro-Regular"/>
        </w:rPr>
        <w:t xml:space="preserve"> suggests that the cloned sequence is contained within</w:t>
      </w:r>
      <w:r>
        <w:rPr>
          <w:rFonts w:eastAsia="HelenPro-Regular"/>
        </w:rPr>
        <w:t xml:space="preserve"> </w:t>
      </w:r>
      <w:r w:rsidRPr="00A21F86">
        <w:rPr>
          <w:rFonts w:eastAsia="HelenPro-Regular"/>
        </w:rPr>
        <w:t>the putative nonstructural (NS3 and NS4) regions of HCV. The c100-3</w:t>
      </w:r>
      <w:r>
        <w:rPr>
          <w:rFonts w:eastAsia="HelenPro-Regular"/>
        </w:rPr>
        <w:t xml:space="preserve"> </w:t>
      </w:r>
      <w:r w:rsidRPr="00A21F86">
        <w:rPr>
          <w:rFonts w:eastAsia="HelenPro-Regular"/>
        </w:rPr>
        <w:t>protein is a chimeric fusion protein with 154 amino acids of human</w:t>
      </w:r>
      <w:r>
        <w:rPr>
          <w:rFonts w:eastAsia="HelenPro-Regular"/>
        </w:rPr>
        <w:t xml:space="preserve"> </w:t>
      </w:r>
      <w:r w:rsidRPr="00A21F86">
        <w:rPr>
          <w:rFonts w:eastAsia="HelenPro-Regular"/>
        </w:rPr>
        <w:t>superoxide dismutase (</w:t>
      </w:r>
      <w:proofErr w:type="spellStart"/>
      <w:r w:rsidRPr="00A21F86">
        <w:rPr>
          <w:rFonts w:eastAsia="HelenPro-Regular"/>
        </w:rPr>
        <w:t>hSOD</w:t>
      </w:r>
      <w:proofErr w:type="spellEnd"/>
      <w:r w:rsidRPr="00A21F86">
        <w:rPr>
          <w:rFonts w:eastAsia="HelenPro-Regular"/>
        </w:rPr>
        <w:t>), five linker amino acids, amino acids</w:t>
      </w:r>
      <w:r>
        <w:rPr>
          <w:rFonts w:eastAsia="HelenPro-Regular"/>
        </w:rPr>
        <w:t xml:space="preserve"> </w:t>
      </w:r>
      <w:r w:rsidRPr="00A21F86">
        <w:rPr>
          <w:rFonts w:eastAsia="HelenPro-Regular"/>
        </w:rPr>
        <w:t xml:space="preserve">number 1569 to 1931 of the HCV </w:t>
      </w:r>
      <w:proofErr w:type="spellStart"/>
      <w:r w:rsidRPr="00A21F86">
        <w:rPr>
          <w:rFonts w:eastAsia="HelenPro-Regular"/>
        </w:rPr>
        <w:t>polyprotein</w:t>
      </w:r>
      <w:proofErr w:type="spellEnd"/>
      <w:r w:rsidRPr="00A21F86">
        <w:rPr>
          <w:rFonts w:eastAsia="HelenPro-Regular"/>
        </w:rPr>
        <w:t>, and the additional five</w:t>
      </w:r>
      <w:r>
        <w:rPr>
          <w:rFonts w:eastAsia="HelenPro-Regular"/>
        </w:rPr>
        <w:t xml:space="preserve"> </w:t>
      </w:r>
      <w:r w:rsidRPr="00A21F86">
        <w:rPr>
          <w:rFonts w:eastAsia="HelenPro-Regular"/>
        </w:rPr>
        <w:t>amino acid linker at the carboxyl terminus.</w:t>
      </w:r>
      <w:r>
        <w:rPr>
          <w:rFonts w:eastAsia="HelenPro-Regular"/>
        </w:rPr>
        <w:t xml:space="preserve"> </w:t>
      </w:r>
      <w:r w:rsidRPr="00A21F86">
        <w:rPr>
          <w:rFonts w:eastAsia="HelenPro-Regular"/>
        </w:rPr>
        <w:t>Hepatitis C antigens HCr43 and c100-3 are prepared under US license</w:t>
      </w:r>
      <w:r>
        <w:rPr>
          <w:rFonts w:eastAsia="HelenPro-Regular"/>
        </w:rPr>
        <w:t xml:space="preserve"> </w:t>
      </w:r>
      <w:r w:rsidRPr="00A21F86">
        <w:rPr>
          <w:rFonts w:eastAsia="HelenPro-Regular"/>
        </w:rPr>
        <w:t>by Chiron Corporation under a shared manufacturing agreement. The</w:t>
      </w:r>
      <w:r>
        <w:rPr>
          <w:rFonts w:eastAsia="HelenPro-Regular"/>
        </w:rPr>
        <w:t xml:space="preserve"> </w:t>
      </w:r>
      <w:r w:rsidRPr="00A21F86">
        <w:rPr>
          <w:rFonts w:eastAsia="HelenPro-Regular"/>
        </w:rPr>
        <w:t>ARCHITECT Anti-HCV assay is manufactured under contract agreement</w:t>
      </w:r>
      <w:r>
        <w:rPr>
          <w:rFonts w:eastAsia="HelenPro-Regular"/>
        </w:rPr>
        <w:t xml:space="preserve"> </w:t>
      </w:r>
      <w:r w:rsidRPr="00A21F86">
        <w:rPr>
          <w:rFonts w:eastAsia="HelenPro-Regular"/>
        </w:rPr>
        <w:t>from Ortho Diagnostic Systems and Chiron Corporation.</w:t>
      </w:r>
    </w:p>
    <w:p w:rsidR="00340B1A" w:rsidRPr="00340B1A" w:rsidRDefault="00340B1A" w:rsidP="00340B1A">
      <w:pPr>
        <w:autoSpaceDE w:val="0"/>
        <w:autoSpaceDN w:val="0"/>
        <w:adjustRightInd w:val="0"/>
        <w:rPr>
          <w:rFonts w:eastAsia="HelenPro-Regular"/>
        </w:rPr>
      </w:pPr>
    </w:p>
    <w:p w:rsidR="008A7F96" w:rsidRPr="00460600" w:rsidRDefault="008A7F96" w:rsidP="008A7F96">
      <w:pPr>
        <w:jc w:val="both"/>
        <w:rPr>
          <w:color w:val="FF0000"/>
          <w:sz w:val="28"/>
          <w:szCs w:val="28"/>
        </w:rPr>
      </w:pPr>
      <w:r w:rsidRPr="00460600">
        <w:rPr>
          <w:b/>
          <w:sz w:val="28"/>
          <w:szCs w:val="28"/>
        </w:rPr>
        <w:t>Principle</w:t>
      </w:r>
      <w:r w:rsidRPr="00460600">
        <w:rPr>
          <w:sz w:val="28"/>
          <w:szCs w:val="28"/>
        </w:rPr>
        <w:t xml:space="preserve"> </w:t>
      </w:r>
    </w:p>
    <w:p w:rsidR="008A7F96" w:rsidRPr="00460600" w:rsidRDefault="008A7F96" w:rsidP="008A7F96">
      <w:pPr>
        <w:jc w:val="both"/>
      </w:pPr>
    </w:p>
    <w:p w:rsidR="00A21F86" w:rsidRPr="00A21F86" w:rsidRDefault="00A21F86" w:rsidP="00A21F86">
      <w:pPr>
        <w:autoSpaceDE w:val="0"/>
        <w:autoSpaceDN w:val="0"/>
        <w:adjustRightInd w:val="0"/>
        <w:rPr>
          <w:rFonts w:eastAsia="HelenPro-Regular"/>
        </w:rPr>
      </w:pPr>
      <w:r w:rsidRPr="00A21F86">
        <w:rPr>
          <w:rFonts w:eastAsia="HelenPro-Regular"/>
        </w:rPr>
        <w:t>The ARCHITECT Anti-HCV assay is</w:t>
      </w:r>
      <w:r>
        <w:rPr>
          <w:rFonts w:eastAsia="HelenPro-Regular"/>
        </w:rPr>
        <w:t xml:space="preserve"> a two-step immunoassay for the </w:t>
      </w:r>
      <w:r w:rsidRPr="00A21F86">
        <w:rPr>
          <w:rFonts w:eastAsia="HelenPro-Regular"/>
        </w:rPr>
        <w:t>qualitative detection of anti-HCV in human serum and plasma using CMIA</w:t>
      </w:r>
      <w:r>
        <w:rPr>
          <w:rFonts w:eastAsia="HelenPro-Regular"/>
        </w:rPr>
        <w:t xml:space="preserve"> </w:t>
      </w:r>
      <w:r w:rsidRPr="00A21F86">
        <w:rPr>
          <w:rFonts w:eastAsia="HelenPro-Regular"/>
        </w:rPr>
        <w:t xml:space="preserve">technology with flexible assay protocols, referred to as </w:t>
      </w:r>
      <w:proofErr w:type="spellStart"/>
      <w:r w:rsidRPr="00A21F86">
        <w:rPr>
          <w:rFonts w:eastAsia="HelenPro-Regular"/>
        </w:rPr>
        <w:t>Chemiflex</w:t>
      </w:r>
      <w:proofErr w:type="spellEnd"/>
      <w:r w:rsidRPr="00A21F86">
        <w:rPr>
          <w:rFonts w:eastAsia="HelenPro-Regular"/>
        </w:rPr>
        <w:t>.</w:t>
      </w:r>
      <w:r>
        <w:rPr>
          <w:rFonts w:eastAsia="HelenPro-Regular"/>
        </w:rPr>
        <w:t xml:space="preserve"> </w:t>
      </w:r>
      <w:r w:rsidRPr="00A21F86">
        <w:rPr>
          <w:rFonts w:eastAsia="HelenPro-Regular"/>
        </w:rPr>
        <w:t>In the first step, sample, recombinant HCV antigen coated paramagnetic</w:t>
      </w:r>
      <w:r>
        <w:rPr>
          <w:rFonts w:eastAsia="HelenPro-Regular"/>
        </w:rPr>
        <w:t xml:space="preserve"> </w:t>
      </w:r>
      <w:proofErr w:type="spellStart"/>
      <w:r w:rsidRPr="00A21F86">
        <w:rPr>
          <w:rFonts w:eastAsia="HelenPro-Regular"/>
        </w:rPr>
        <w:t>microparticles</w:t>
      </w:r>
      <w:proofErr w:type="spellEnd"/>
      <w:r w:rsidRPr="00A21F86">
        <w:rPr>
          <w:rFonts w:eastAsia="HelenPro-Regular"/>
        </w:rPr>
        <w:t>, and assay diluent are combined. Anti-HCV present in</w:t>
      </w:r>
      <w:r>
        <w:rPr>
          <w:rFonts w:eastAsia="HelenPro-Regular"/>
        </w:rPr>
        <w:t xml:space="preserve"> </w:t>
      </w:r>
      <w:r w:rsidRPr="00A21F86">
        <w:rPr>
          <w:rFonts w:eastAsia="HelenPro-Regular"/>
        </w:rPr>
        <w:t xml:space="preserve">the sample binds to the HCV coated </w:t>
      </w:r>
      <w:proofErr w:type="spellStart"/>
      <w:r w:rsidRPr="00A21F86">
        <w:rPr>
          <w:rFonts w:eastAsia="HelenPro-Regular"/>
        </w:rPr>
        <w:t>microparticles</w:t>
      </w:r>
      <w:proofErr w:type="spellEnd"/>
      <w:r w:rsidRPr="00A21F86">
        <w:rPr>
          <w:rFonts w:eastAsia="HelenPro-Regular"/>
        </w:rPr>
        <w:t>. After washing, antihuman</w:t>
      </w:r>
      <w:r>
        <w:rPr>
          <w:rFonts w:eastAsia="HelenPro-Regular"/>
        </w:rPr>
        <w:t xml:space="preserve"> </w:t>
      </w:r>
      <w:proofErr w:type="spellStart"/>
      <w:r w:rsidRPr="00A21F86">
        <w:rPr>
          <w:rFonts w:eastAsia="HelenPro-Regular"/>
        </w:rPr>
        <w:t>IgG</w:t>
      </w:r>
      <w:proofErr w:type="spellEnd"/>
      <w:r w:rsidRPr="00A21F86">
        <w:rPr>
          <w:rFonts w:eastAsia="HelenPro-Regular"/>
        </w:rPr>
        <w:t>/</w:t>
      </w:r>
      <w:proofErr w:type="spellStart"/>
      <w:r w:rsidRPr="00A21F86">
        <w:rPr>
          <w:rFonts w:eastAsia="HelenPro-Regular"/>
        </w:rPr>
        <w:t>IgM</w:t>
      </w:r>
      <w:proofErr w:type="spellEnd"/>
      <w:r w:rsidRPr="00A21F86">
        <w:rPr>
          <w:rFonts w:eastAsia="HelenPro-Regular"/>
        </w:rPr>
        <w:t xml:space="preserve"> </w:t>
      </w:r>
      <w:proofErr w:type="spellStart"/>
      <w:r w:rsidRPr="00A21F86">
        <w:rPr>
          <w:rFonts w:eastAsia="HelenPro-Regular"/>
        </w:rPr>
        <w:t>acridinium</w:t>
      </w:r>
      <w:proofErr w:type="spellEnd"/>
      <w:r w:rsidRPr="00A21F86">
        <w:rPr>
          <w:rFonts w:eastAsia="HelenPro-Regular"/>
        </w:rPr>
        <w:t>-labeled conjugate is added in the second</w:t>
      </w:r>
      <w:r>
        <w:rPr>
          <w:rFonts w:eastAsia="HelenPro-Regular"/>
        </w:rPr>
        <w:t xml:space="preserve"> </w:t>
      </w:r>
      <w:r w:rsidRPr="00A21F86">
        <w:rPr>
          <w:rFonts w:eastAsia="HelenPro-Regular"/>
        </w:rPr>
        <w:t>step. Following another wash cycle, pre-trigger and trigger solutions are</w:t>
      </w:r>
      <w:r>
        <w:rPr>
          <w:rFonts w:eastAsia="HelenPro-Regular"/>
        </w:rPr>
        <w:t xml:space="preserve"> </w:t>
      </w:r>
      <w:r w:rsidRPr="00A21F86">
        <w:rPr>
          <w:rFonts w:eastAsia="HelenPro-Regular"/>
        </w:rPr>
        <w:t xml:space="preserve">added to the reaction mixture. The resulting </w:t>
      </w:r>
      <w:proofErr w:type="spellStart"/>
      <w:r w:rsidRPr="00A21F86">
        <w:rPr>
          <w:rFonts w:eastAsia="HelenPro-Regular"/>
        </w:rPr>
        <w:t>chemiluminescent</w:t>
      </w:r>
      <w:proofErr w:type="spellEnd"/>
      <w:r w:rsidRPr="00A21F86">
        <w:rPr>
          <w:rFonts w:eastAsia="HelenPro-Regular"/>
        </w:rPr>
        <w:t xml:space="preserve"> reaction</w:t>
      </w:r>
      <w:r>
        <w:rPr>
          <w:rFonts w:eastAsia="HelenPro-Regular"/>
        </w:rPr>
        <w:t xml:space="preserve"> </w:t>
      </w:r>
      <w:r w:rsidRPr="00A21F86">
        <w:rPr>
          <w:rFonts w:eastAsia="HelenPro-Regular"/>
        </w:rPr>
        <w:t>is measured as relative light units (RLUs). A relationship exists between</w:t>
      </w:r>
      <w:r>
        <w:rPr>
          <w:rFonts w:eastAsia="HelenPro-Regular"/>
        </w:rPr>
        <w:t xml:space="preserve"> </w:t>
      </w:r>
      <w:r w:rsidRPr="00A21F86">
        <w:rPr>
          <w:rFonts w:eastAsia="HelenPro-Regular"/>
        </w:rPr>
        <w:t>the amount of anti-HCV in the sample and the RLUs detected by the</w:t>
      </w:r>
      <w:r>
        <w:rPr>
          <w:rFonts w:eastAsia="HelenPro-Regular"/>
        </w:rPr>
        <w:t xml:space="preserve"> </w:t>
      </w:r>
      <w:r w:rsidRPr="00A21F86">
        <w:rPr>
          <w:rFonts w:eastAsia="HelenPro-Regular"/>
        </w:rPr>
        <w:t xml:space="preserve">ARCHITECT </w:t>
      </w:r>
      <w:proofErr w:type="spellStart"/>
      <w:r w:rsidRPr="00A21F86">
        <w:rPr>
          <w:rFonts w:eastAsia="HelenPro-Regular"/>
          <w:i/>
          <w:iCs/>
        </w:rPr>
        <w:t>i</w:t>
      </w:r>
      <w:proofErr w:type="spellEnd"/>
      <w:r w:rsidRPr="00A21F86">
        <w:rPr>
          <w:rFonts w:eastAsia="HelenPro-Regular"/>
          <w:i/>
          <w:iCs/>
        </w:rPr>
        <w:t xml:space="preserve"> </w:t>
      </w:r>
      <w:r w:rsidRPr="00A21F86">
        <w:rPr>
          <w:rFonts w:eastAsia="HelenPro-Regular"/>
        </w:rPr>
        <w:t>optical system.</w:t>
      </w:r>
    </w:p>
    <w:p w:rsidR="00A21F86" w:rsidRPr="00A21F86" w:rsidRDefault="00A21F86" w:rsidP="00A21F86">
      <w:pPr>
        <w:autoSpaceDE w:val="0"/>
        <w:autoSpaceDN w:val="0"/>
        <w:adjustRightInd w:val="0"/>
        <w:rPr>
          <w:rFonts w:eastAsia="HelenPro-Regular"/>
        </w:rPr>
      </w:pPr>
      <w:r w:rsidRPr="00A21F86">
        <w:rPr>
          <w:rFonts w:eastAsia="HelenPro-Regular"/>
        </w:rPr>
        <w:t>The presence or absence of anti-HCV</w:t>
      </w:r>
      <w:r>
        <w:rPr>
          <w:rFonts w:eastAsia="HelenPro-Regular"/>
        </w:rPr>
        <w:t xml:space="preserve"> in the sample is determined by </w:t>
      </w:r>
      <w:r w:rsidRPr="00A21F86">
        <w:rPr>
          <w:rFonts w:eastAsia="HelenPro-Regular"/>
        </w:rPr>
        <w:t xml:space="preserve">comparing the </w:t>
      </w:r>
      <w:proofErr w:type="spellStart"/>
      <w:r w:rsidRPr="00A21F86">
        <w:rPr>
          <w:rFonts w:eastAsia="HelenPro-Regular"/>
        </w:rPr>
        <w:t>chemiluminescent</w:t>
      </w:r>
      <w:proofErr w:type="spellEnd"/>
      <w:r w:rsidRPr="00A21F86">
        <w:rPr>
          <w:rFonts w:eastAsia="HelenPro-Regular"/>
        </w:rPr>
        <w:t xml:space="preserve"> signal in the reaction to the cutoff signal</w:t>
      </w:r>
      <w:r>
        <w:rPr>
          <w:rFonts w:eastAsia="HelenPro-Regular"/>
        </w:rPr>
        <w:t xml:space="preserve"> </w:t>
      </w:r>
      <w:r w:rsidRPr="00A21F86">
        <w:rPr>
          <w:rFonts w:eastAsia="HelenPro-Regular"/>
        </w:rPr>
        <w:t>determined from an active ARCHITECT Anti-HCV calibration curve. If the</w:t>
      </w:r>
      <w:r>
        <w:rPr>
          <w:rFonts w:eastAsia="HelenPro-Regular"/>
        </w:rPr>
        <w:t xml:space="preserve"> </w:t>
      </w:r>
      <w:proofErr w:type="spellStart"/>
      <w:r w:rsidRPr="00A21F86">
        <w:rPr>
          <w:rFonts w:eastAsia="HelenPro-Regular"/>
        </w:rPr>
        <w:t>chemiluminescent</w:t>
      </w:r>
      <w:proofErr w:type="spellEnd"/>
      <w:r w:rsidRPr="00A21F86">
        <w:rPr>
          <w:rFonts w:eastAsia="HelenPro-Regular"/>
        </w:rPr>
        <w:t xml:space="preserve"> signal of the sample is greater than or equal to the</w:t>
      </w:r>
      <w:r>
        <w:rPr>
          <w:rFonts w:eastAsia="HelenPro-Regular"/>
        </w:rPr>
        <w:t xml:space="preserve"> </w:t>
      </w:r>
      <w:r w:rsidRPr="00A21F86">
        <w:rPr>
          <w:rFonts w:eastAsia="HelenPro-Regular"/>
        </w:rPr>
        <w:t>cutoff signal, the sample is considered reactive for anti-HCV.</w:t>
      </w:r>
    </w:p>
    <w:p w:rsidR="00A21F86" w:rsidRPr="00A21F86" w:rsidRDefault="00A21F86" w:rsidP="00A21F86">
      <w:pPr>
        <w:autoSpaceDE w:val="0"/>
        <w:autoSpaceDN w:val="0"/>
        <w:adjustRightInd w:val="0"/>
        <w:rPr>
          <w:rFonts w:eastAsia="HelenPro-Regular"/>
        </w:rPr>
      </w:pPr>
      <w:r w:rsidRPr="00A21F86">
        <w:rPr>
          <w:rFonts w:eastAsia="HelenPro-Regular"/>
        </w:rPr>
        <w:t>For additional information on system and assay technology, refer to the</w:t>
      </w:r>
    </w:p>
    <w:p w:rsidR="006E6E5C" w:rsidRPr="00A21F86" w:rsidRDefault="00A21F86" w:rsidP="00A21F86">
      <w:pPr>
        <w:autoSpaceDE w:val="0"/>
        <w:autoSpaceDN w:val="0"/>
        <w:adjustRightInd w:val="0"/>
        <w:rPr>
          <w:rFonts w:eastAsia="HelenPro-Regular"/>
        </w:rPr>
      </w:pPr>
      <w:r w:rsidRPr="00A21F86">
        <w:rPr>
          <w:rFonts w:eastAsia="HelenPro-Regular"/>
        </w:rPr>
        <w:t>ARCHITECT System Operations Manual, Section 3.</w:t>
      </w:r>
    </w:p>
    <w:p w:rsidR="00503E74" w:rsidRDefault="00503E74" w:rsidP="006559EB">
      <w:pPr>
        <w:rPr>
          <w:b/>
          <w:sz w:val="28"/>
          <w:szCs w:val="28"/>
        </w:rPr>
      </w:pPr>
    </w:p>
    <w:p w:rsidR="006559EB" w:rsidRPr="00460600" w:rsidRDefault="006559EB" w:rsidP="006559EB">
      <w:pPr>
        <w:rPr>
          <w:b/>
          <w:sz w:val="28"/>
          <w:szCs w:val="28"/>
        </w:rPr>
      </w:pPr>
      <w:r w:rsidRPr="00460600">
        <w:rPr>
          <w:b/>
          <w:sz w:val="28"/>
          <w:szCs w:val="28"/>
        </w:rPr>
        <w:t>Specimen Collection and Handling</w:t>
      </w:r>
      <w:r w:rsidR="00D60AFA" w:rsidRPr="00460600">
        <w:rPr>
          <w:b/>
          <w:sz w:val="28"/>
          <w:szCs w:val="28"/>
        </w:rPr>
        <w:t xml:space="preserve"> </w:t>
      </w:r>
    </w:p>
    <w:p w:rsidR="004A03BD" w:rsidRPr="00460600" w:rsidRDefault="004A03BD" w:rsidP="006559EB">
      <w:pPr>
        <w:rPr>
          <w:b/>
        </w:rPr>
      </w:pPr>
    </w:p>
    <w:p w:rsidR="00D77B64" w:rsidRDefault="00D77B64" w:rsidP="00D77B64">
      <w:pPr>
        <w:autoSpaceDE w:val="0"/>
        <w:autoSpaceDN w:val="0"/>
        <w:adjustRightInd w:val="0"/>
        <w:rPr>
          <w:rFonts w:eastAsia="HelenPro-Bold"/>
          <w:b/>
          <w:bCs/>
        </w:rPr>
      </w:pPr>
      <w:r w:rsidRPr="00460600">
        <w:rPr>
          <w:rFonts w:eastAsia="HelenPro-Bold"/>
          <w:b/>
          <w:bCs/>
        </w:rPr>
        <w:t>Suitable Specimens</w:t>
      </w:r>
    </w:p>
    <w:p w:rsidR="006E6E5C" w:rsidRPr="006E6E5C" w:rsidRDefault="006E6E5C" w:rsidP="00D77B64">
      <w:pPr>
        <w:autoSpaceDE w:val="0"/>
        <w:autoSpaceDN w:val="0"/>
        <w:adjustRightInd w:val="0"/>
        <w:rPr>
          <w:rFonts w:eastAsia="HelenPro-Bold"/>
          <w:bCs/>
        </w:rPr>
      </w:pPr>
      <w:r w:rsidRPr="006E6E5C">
        <w:rPr>
          <w:rFonts w:eastAsia="HelenPro-Bold"/>
          <w:bCs/>
        </w:rPr>
        <w:lastRenderedPageBreak/>
        <w:t>Verified Specimen types</w:t>
      </w:r>
      <w:r>
        <w:rPr>
          <w:rFonts w:eastAsia="HelenPro-Bold"/>
          <w:bCs/>
        </w:rPr>
        <w:t>:</w:t>
      </w:r>
    </w:p>
    <w:p w:rsidR="00AA7423" w:rsidRPr="00E8215F" w:rsidRDefault="00A21F86" w:rsidP="005F4FCB">
      <w:pPr>
        <w:autoSpaceDE w:val="0"/>
        <w:autoSpaceDN w:val="0"/>
        <w:adjustRightInd w:val="0"/>
        <w:ind w:left="720"/>
        <w:rPr>
          <w:rFonts w:eastAsia="HelenPro-Regular"/>
        </w:rPr>
      </w:pPr>
      <w:r>
        <w:rPr>
          <w:noProof/>
        </w:rPr>
        <w:drawing>
          <wp:inline distT="0" distB="0" distL="0" distR="0" wp14:anchorId="560D2CE6" wp14:editId="1E84F49C">
            <wp:extent cx="3962400" cy="11715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62400" cy="1171575"/>
                    </a:xfrm>
                    <a:prstGeom prst="rect">
                      <a:avLst/>
                    </a:prstGeom>
                  </pic:spPr>
                </pic:pic>
              </a:graphicData>
            </a:graphic>
          </wp:inline>
        </w:drawing>
      </w:r>
    </w:p>
    <w:p w:rsidR="00503E74" w:rsidRPr="00E8215F" w:rsidRDefault="00503E74" w:rsidP="00503E74">
      <w:pPr>
        <w:pStyle w:val="ListParagraph"/>
        <w:autoSpaceDE w:val="0"/>
        <w:autoSpaceDN w:val="0"/>
        <w:adjustRightInd w:val="0"/>
        <w:ind w:left="1440"/>
        <w:rPr>
          <w:rFonts w:eastAsia="HelenPro-Regular"/>
        </w:rPr>
      </w:pPr>
    </w:p>
    <w:p w:rsidR="00503E74" w:rsidRPr="00E8215F" w:rsidRDefault="00503E74" w:rsidP="00503E74">
      <w:pPr>
        <w:autoSpaceDE w:val="0"/>
        <w:autoSpaceDN w:val="0"/>
        <w:adjustRightInd w:val="0"/>
        <w:rPr>
          <w:rFonts w:eastAsia="HelenPro-Regular"/>
        </w:rPr>
      </w:pPr>
      <w:r w:rsidRPr="00E8215F">
        <w:rPr>
          <w:rFonts w:eastAsia="HelenPro-Regular"/>
        </w:rPr>
        <w:t>Do not use specimens with the following conditions:</w:t>
      </w:r>
    </w:p>
    <w:p w:rsidR="00503E74" w:rsidRPr="00E8215F" w:rsidRDefault="00503E74" w:rsidP="00E8215F">
      <w:pPr>
        <w:autoSpaceDE w:val="0"/>
        <w:autoSpaceDN w:val="0"/>
        <w:adjustRightInd w:val="0"/>
        <w:ind w:left="720"/>
        <w:rPr>
          <w:rFonts w:eastAsia="HelenPro-Regular"/>
        </w:rPr>
      </w:pPr>
      <w:r w:rsidRPr="00E8215F">
        <w:rPr>
          <w:rFonts w:eastAsia="HelenPro-Regular"/>
        </w:rPr>
        <w:t>• heat-inactivated</w:t>
      </w:r>
    </w:p>
    <w:p w:rsidR="00503E74" w:rsidRPr="00E8215F" w:rsidRDefault="00503E74" w:rsidP="00E8215F">
      <w:pPr>
        <w:autoSpaceDE w:val="0"/>
        <w:autoSpaceDN w:val="0"/>
        <w:adjustRightInd w:val="0"/>
        <w:ind w:left="720"/>
        <w:rPr>
          <w:rFonts w:eastAsia="HelenPro-Regular"/>
        </w:rPr>
      </w:pPr>
      <w:r w:rsidRPr="00E8215F">
        <w:rPr>
          <w:rFonts w:eastAsia="HelenPro-Regular"/>
        </w:rPr>
        <w:t>• pooled</w:t>
      </w:r>
    </w:p>
    <w:p w:rsidR="00503E74" w:rsidRPr="00E8215F" w:rsidRDefault="00503E74" w:rsidP="00E8215F">
      <w:pPr>
        <w:autoSpaceDE w:val="0"/>
        <w:autoSpaceDN w:val="0"/>
        <w:adjustRightInd w:val="0"/>
        <w:ind w:left="720"/>
        <w:rPr>
          <w:rFonts w:eastAsia="HelenPro-Regular"/>
        </w:rPr>
      </w:pPr>
      <w:r w:rsidRPr="00E8215F">
        <w:rPr>
          <w:rFonts w:eastAsia="HelenPro-Regular"/>
        </w:rPr>
        <w:t xml:space="preserve">• grossly </w:t>
      </w:r>
      <w:proofErr w:type="spellStart"/>
      <w:r w:rsidRPr="00E8215F">
        <w:rPr>
          <w:rFonts w:eastAsia="HelenPro-Regular"/>
        </w:rPr>
        <w:t>hemolyzed</w:t>
      </w:r>
      <w:proofErr w:type="spellEnd"/>
    </w:p>
    <w:p w:rsidR="00503E74" w:rsidRPr="00E8215F" w:rsidRDefault="00503E74" w:rsidP="00E8215F">
      <w:pPr>
        <w:autoSpaceDE w:val="0"/>
        <w:autoSpaceDN w:val="0"/>
        <w:adjustRightInd w:val="0"/>
        <w:ind w:left="720"/>
        <w:rPr>
          <w:rFonts w:eastAsia="HelenPro-Regular"/>
        </w:rPr>
      </w:pPr>
      <w:r w:rsidRPr="00E8215F">
        <w:rPr>
          <w:rFonts w:eastAsia="HelenPro-Regular"/>
        </w:rPr>
        <w:t>• obvious microbial contamination</w:t>
      </w:r>
    </w:p>
    <w:p w:rsidR="00503E74" w:rsidRPr="00E8215F" w:rsidRDefault="00503E74" w:rsidP="00503E74">
      <w:pPr>
        <w:autoSpaceDE w:val="0"/>
        <w:autoSpaceDN w:val="0"/>
        <w:adjustRightInd w:val="0"/>
        <w:rPr>
          <w:rFonts w:eastAsia="HelenPro-Regular"/>
        </w:rPr>
      </w:pPr>
      <w:r w:rsidRPr="00E8215F">
        <w:rPr>
          <w:rFonts w:eastAsia="HelenPro-Regular"/>
        </w:rPr>
        <w:t>• Performance has not been established for the use of cadaveric</w:t>
      </w:r>
      <w:r w:rsidR="00E8215F">
        <w:rPr>
          <w:rFonts w:eastAsia="HelenPro-Regular"/>
        </w:rPr>
        <w:t xml:space="preserve"> </w:t>
      </w:r>
      <w:r w:rsidRPr="00E8215F">
        <w:rPr>
          <w:rFonts w:eastAsia="HelenPro-Regular"/>
        </w:rPr>
        <w:t>specimens or the use of body fluids other than human serum and</w:t>
      </w:r>
      <w:r w:rsidR="00E8215F">
        <w:rPr>
          <w:rFonts w:eastAsia="HelenPro-Regular"/>
        </w:rPr>
        <w:t xml:space="preserve"> </w:t>
      </w:r>
      <w:r w:rsidRPr="00E8215F">
        <w:rPr>
          <w:rFonts w:eastAsia="HelenPro-Regular"/>
        </w:rPr>
        <w:t>plasma.</w:t>
      </w:r>
    </w:p>
    <w:p w:rsidR="00D84ADA" w:rsidRPr="00E8215F" w:rsidRDefault="00D84ADA" w:rsidP="00D70A7B">
      <w:pPr>
        <w:autoSpaceDE w:val="0"/>
        <w:autoSpaceDN w:val="0"/>
        <w:adjustRightInd w:val="0"/>
        <w:rPr>
          <w:rFonts w:eastAsia="HelenPro-Regular"/>
        </w:rPr>
      </w:pPr>
    </w:p>
    <w:p w:rsidR="00DC16C5" w:rsidRPr="005E48EE" w:rsidRDefault="00DC16C5" w:rsidP="00DC16C5">
      <w:pPr>
        <w:autoSpaceDE w:val="0"/>
        <w:autoSpaceDN w:val="0"/>
        <w:adjustRightInd w:val="0"/>
        <w:rPr>
          <w:rFonts w:eastAsia="HelenPro-Regular"/>
          <w:b/>
        </w:rPr>
      </w:pPr>
      <w:r w:rsidRPr="005E48EE">
        <w:rPr>
          <w:rFonts w:eastAsia="HelenPro-Regular"/>
          <w:b/>
        </w:rPr>
        <w:t>Specimen Storage</w:t>
      </w:r>
    </w:p>
    <w:p w:rsidR="002D6496" w:rsidRPr="002D6496" w:rsidRDefault="006E6E5C" w:rsidP="002D6496">
      <w:pPr>
        <w:autoSpaceDE w:val="0"/>
        <w:autoSpaceDN w:val="0"/>
        <w:adjustRightInd w:val="0"/>
        <w:rPr>
          <w:rFonts w:eastAsia="HelenPro-Regular"/>
        </w:rPr>
      </w:pPr>
      <w:r w:rsidRPr="002D6496">
        <w:rPr>
          <w:rFonts w:eastAsia="HelenPro-Regular"/>
        </w:rPr>
        <w:t xml:space="preserve"> </w:t>
      </w:r>
      <w:r w:rsidR="002D6496" w:rsidRPr="002D6496">
        <w:rPr>
          <w:rFonts w:eastAsia="HelenPro-Regular"/>
        </w:rPr>
        <w:t>Specimens may be stored on or off the clot, red blood cells, or separator gel</w:t>
      </w:r>
      <w:r w:rsidR="002D6496">
        <w:rPr>
          <w:rFonts w:eastAsia="HelenPro-Regular"/>
        </w:rPr>
        <w:t xml:space="preserve"> </w:t>
      </w:r>
      <w:r w:rsidR="002D6496" w:rsidRPr="002D6496">
        <w:rPr>
          <w:rFonts w:eastAsia="HelenPro-Regular"/>
        </w:rPr>
        <w:t>for</w:t>
      </w:r>
    </w:p>
    <w:p w:rsidR="002D6496" w:rsidRPr="002D6496" w:rsidRDefault="002D6496" w:rsidP="002D6496">
      <w:pPr>
        <w:autoSpaceDE w:val="0"/>
        <w:autoSpaceDN w:val="0"/>
        <w:adjustRightInd w:val="0"/>
        <w:ind w:left="720"/>
        <w:rPr>
          <w:rFonts w:eastAsia="HelenPro-Regular"/>
        </w:rPr>
      </w:pPr>
      <w:r w:rsidRPr="002D6496">
        <w:rPr>
          <w:rFonts w:eastAsia="HelenPro-Bold"/>
          <w:b/>
          <w:bCs/>
        </w:rPr>
        <w:t xml:space="preserve">• </w:t>
      </w:r>
      <w:r w:rsidRPr="002D6496">
        <w:rPr>
          <w:rFonts w:eastAsia="HelenPro-Regular"/>
        </w:rPr>
        <w:t>up to 3 days at room temperature (study performed at 21°C to 22°C) or</w:t>
      </w:r>
    </w:p>
    <w:p w:rsidR="002D6496" w:rsidRPr="002D6496" w:rsidRDefault="002D6496" w:rsidP="002D6496">
      <w:pPr>
        <w:autoSpaceDE w:val="0"/>
        <w:autoSpaceDN w:val="0"/>
        <w:adjustRightInd w:val="0"/>
        <w:ind w:left="720"/>
        <w:rPr>
          <w:rFonts w:eastAsia="HelenPro-Regular"/>
        </w:rPr>
      </w:pPr>
      <w:r w:rsidRPr="002D6496">
        <w:rPr>
          <w:rFonts w:eastAsia="HelenPro-Bold"/>
          <w:b/>
          <w:bCs/>
        </w:rPr>
        <w:t xml:space="preserve">• </w:t>
      </w:r>
      <w:r w:rsidRPr="002D6496">
        <w:rPr>
          <w:rFonts w:eastAsia="HelenPro-Regular"/>
        </w:rPr>
        <w:t>up to 7 days at 2-8°C.</w:t>
      </w:r>
    </w:p>
    <w:p w:rsidR="002D6496" w:rsidRPr="002D6496" w:rsidRDefault="002D6496" w:rsidP="002D6496">
      <w:pPr>
        <w:autoSpaceDE w:val="0"/>
        <w:autoSpaceDN w:val="0"/>
        <w:adjustRightInd w:val="0"/>
        <w:rPr>
          <w:rFonts w:eastAsia="HelenPro-Regular"/>
        </w:rPr>
      </w:pPr>
      <w:r w:rsidRPr="002D6496">
        <w:rPr>
          <w:rFonts w:eastAsia="HelenPro-Bold"/>
          <w:b/>
          <w:bCs/>
        </w:rPr>
        <w:t xml:space="preserve">• </w:t>
      </w:r>
      <w:r w:rsidRPr="002D6496">
        <w:rPr>
          <w:rFonts w:eastAsia="HelenPro-Regular"/>
        </w:rPr>
        <w:t>If testing will be delayed more than 3 da</w:t>
      </w:r>
      <w:r>
        <w:rPr>
          <w:rFonts w:eastAsia="HelenPro-Regular"/>
        </w:rPr>
        <w:t xml:space="preserve">ys for specimens stored at room </w:t>
      </w:r>
      <w:r w:rsidRPr="002D6496">
        <w:rPr>
          <w:rFonts w:eastAsia="HelenPro-Regular"/>
        </w:rPr>
        <w:t>temperature or more than 7 days for specimens stored at 2-8°C, remove serum</w:t>
      </w:r>
      <w:r>
        <w:rPr>
          <w:rFonts w:eastAsia="HelenPro-Regular"/>
        </w:rPr>
        <w:t xml:space="preserve"> </w:t>
      </w:r>
      <w:r w:rsidRPr="002D6496">
        <w:rPr>
          <w:rFonts w:eastAsia="HelenPro-Regular"/>
        </w:rPr>
        <w:t>or plasma from the clot, red blood cells, or separator gel and store at -20°C</w:t>
      </w:r>
      <w:r>
        <w:rPr>
          <w:rFonts w:eastAsia="HelenPro-Regular"/>
        </w:rPr>
        <w:t xml:space="preserve"> </w:t>
      </w:r>
      <w:r w:rsidRPr="002D6496">
        <w:rPr>
          <w:rFonts w:eastAsia="HelenPro-Regular"/>
        </w:rPr>
        <w:t>or colder.</w:t>
      </w:r>
    </w:p>
    <w:p w:rsidR="00B24260" w:rsidRPr="002D6496" w:rsidRDefault="002D6496" w:rsidP="002D6496">
      <w:pPr>
        <w:autoSpaceDE w:val="0"/>
        <w:autoSpaceDN w:val="0"/>
        <w:adjustRightInd w:val="0"/>
        <w:ind w:firstLine="720"/>
        <w:rPr>
          <w:rFonts w:eastAsia="HelenPro-Regular"/>
        </w:rPr>
      </w:pPr>
      <w:r w:rsidRPr="002D6496">
        <w:rPr>
          <w:rFonts w:eastAsia="HelenPro-Bold"/>
          <w:b/>
          <w:bCs/>
        </w:rPr>
        <w:t xml:space="preserve">• </w:t>
      </w:r>
      <w:r w:rsidRPr="002D6496">
        <w:rPr>
          <w:rFonts w:eastAsia="HelenPro-Regular"/>
        </w:rPr>
        <w:t>Avoid more than three freeze/thaw cycles.</w:t>
      </w:r>
    </w:p>
    <w:p w:rsidR="00AA7423" w:rsidRDefault="00AA7423" w:rsidP="00C32412">
      <w:pPr>
        <w:autoSpaceDE w:val="0"/>
        <w:autoSpaceDN w:val="0"/>
        <w:adjustRightInd w:val="0"/>
        <w:rPr>
          <w:rFonts w:eastAsia="HelenPro-Bold"/>
          <w:b/>
          <w:bCs/>
        </w:rPr>
      </w:pPr>
    </w:p>
    <w:p w:rsidR="00D64E39" w:rsidRPr="00BC76E2" w:rsidRDefault="00C32412" w:rsidP="00C32412">
      <w:pPr>
        <w:autoSpaceDE w:val="0"/>
        <w:autoSpaceDN w:val="0"/>
        <w:adjustRightInd w:val="0"/>
        <w:rPr>
          <w:rFonts w:eastAsia="HelenPro-Regular"/>
        </w:rPr>
      </w:pPr>
      <w:r w:rsidRPr="00C32412">
        <w:rPr>
          <w:rFonts w:eastAsia="HelenPro-Bold"/>
          <w:b/>
          <w:bCs/>
        </w:rPr>
        <w:t xml:space="preserve">NOTE: </w:t>
      </w:r>
      <w:r w:rsidRPr="00C32412">
        <w:rPr>
          <w:rFonts w:eastAsia="HelenPro-Regular"/>
        </w:rPr>
        <w:t>Stored specimens must be inspected for particulates. If present,</w:t>
      </w:r>
      <w:r>
        <w:rPr>
          <w:rFonts w:eastAsia="HelenPro-Regular"/>
        </w:rPr>
        <w:t xml:space="preserve"> </w:t>
      </w:r>
      <w:r w:rsidRPr="00C32412">
        <w:rPr>
          <w:rFonts w:eastAsia="HelenPro-Regular"/>
        </w:rPr>
        <w:t>mix and centrifuge the specimen to remove particulates prior to testing</w:t>
      </w:r>
      <w:r>
        <w:rPr>
          <w:rFonts w:ascii="HelenPro-Regular" w:eastAsia="HelenPro-Regular" w:cs="HelenPro-Regular"/>
          <w:sz w:val="16"/>
          <w:szCs w:val="16"/>
        </w:rPr>
        <w:t>.</w:t>
      </w:r>
    </w:p>
    <w:p w:rsidR="00AB793D" w:rsidRDefault="00AB793D" w:rsidP="00F7103F">
      <w:pPr>
        <w:tabs>
          <w:tab w:val="left" w:pos="0"/>
        </w:tabs>
        <w:rPr>
          <w:rFonts w:eastAsia="HelenPro-Regular"/>
        </w:rPr>
      </w:pPr>
    </w:p>
    <w:p w:rsidR="007E4CE6" w:rsidRPr="00081C7F" w:rsidRDefault="00AE6F5B" w:rsidP="00AE6F5B">
      <w:pPr>
        <w:rPr>
          <w:b/>
        </w:rPr>
      </w:pPr>
      <w:r w:rsidRPr="007E4CE6">
        <w:rPr>
          <w:b/>
          <w:sz w:val="28"/>
          <w:szCs w:val="28"/>
        </w:rPr>
        <w:t>Materials and Equipment Required</w:t>
      </w:r>
      <w:r w:rsidR="00D60AFA">
        <w:rPr>
          <w:b/>
          <w:sz w:val="28"/>
          <w:szCs w:val="28"/>
        </w:rPr>
        <w:t xml:space="preserve"> </w:t>
      </w:r>
    </w:p>
    <w:p w:rsidR="00F7103F" w:rsidRPr="00F7103F" w:rsidRDefault="00F7103F" w:rsidP="00973EAF">
      <w:pPr>
        <w:ind w:firstLine="720"/>
      </w:pPr>
      <w:r w:rsidRPr="00F7103F">
        <w:rPr>
          <w:b/>
        </w:rPr>
        <w:t>TEST INSTRUMENT</w:t>
      </w:r>
      <w:r w:rsidRPr="00F7103F">
        <w:t>:  Abbott ARCHITECT System</w:t>
      </w:r>
    </w:p>
    <w:p w:rsidR="006D40ED" w:rsidRDefault="006D40ED" w:rsidP="00F7103F">
      <w:pPr>
        <w:rPr>
          <w:b/>
        </w:rPr>
      </w:pPr>
    </w:p>
    <w:p w:rsidR="00276040" w:rsidRDefault="00276040" w:rsidP="00973EAF">
      <w:pPr>
        <w:ind w:firstLine="720"/>
        <w:rPr>
          <w:b/>
        </w:rPr>
      </w:pPr>
    </w:p>
    <w:p w:rsidR="00276040" w:rsidRDefault="00276040" w:rsidP="00973EAF">
      <w:pPr>
        <w:ind w:firstLine="720"/>
        <w:rPr>
          <w:b/>
        </w:rPr>
      </w:pPr>
    </w:p>
    <w:p w:rsidR="00F7103F" w:rsidRPr="00F7103F" w:rsidRDefault="00F7103F" w:rsidP="00973EAF">
      <w:pPr>
        <w:ind w:firstLine="720"/>
        <w:rPr>
          <w:b/>
        </w:rPr>
      </w:pPr>
      <w:r w:rsidRPr="00F7103F">
        <w:rPr>
          <w:b/>
        </w:rPr>
        <w:t>MATERIALS PROVIDED</w:t>
      </w:r>
    </w:p>
    <w:p w:rsidR="00F7103F" w:rsidRPr="00173EA4" w:rsidRDefault="00F7103F" w:rsidP="00F7103F"/>
    <w:p w:rsidR="00F7103F" w:rsidRPr="00276040" w:rsidRDefault="00F7103F" w:rsidP="00973EAF">
      <w:pPr>
        <w:ind w:firstLine="720"/>
      </w:pPr>
      <w:r w:rsidRPr="006E6E5C">
        <w:rPr>
          <w:rFonts w:eastAsia="HelenPro-Regular"/>
        </w:rPr>
        <w:t xml:space="preserve"> </w:t>
      </w:r>
      <w:r w:rsidR="00276040" w:rsidRPr="00276040">
        <w:rPr>
          <w:rFonts w:eastAsia="HelenPro-Regular"/>
        </w:rPr>
        <w:t>1L79 ARCHITECT Anti-HCV Reagent Kit</w:t>
      </w:r>
    </w:p>
    <w:p w:rsidR="005F4FCB" w:rsidRDefault="005F4FCB" w:rsidP="00973EAF">
      <w:pPr>
        <w:ind w:firstLine="720"/>
        <w:rPr>
          <w:b/>
        </w:rPr>
      </w:pPr>
    </w:p>
    <w:p w:rsidR="00F7103F" w:rsidRPr="00F7103F" w:rsidRDefault="00F7103F" w:rsidP="00973EAF">
      <w:pPr>
        <w:ind w:firstLine="720"/>
        <w:rPr>
          <w:b/>
        </w:rPr>
      </w:pPr>
      <w:r w:rsidRPr="00F7103F">
        <w:rPr>
          <w:b/>
        </w:rPr>
        <w:t>MATERIALS REQUIRED BUT NOT PROVIDED</w:t>
      </w:r>
    </w:p>
    <w:p w:rsidR="00F7103F" w:rsidRPr="00F7103F" w:rsidRDefault="00F7103F" w:rsidP="00F7103F"/>
    <w:p w:rsidR="008036AC" w:rsidRPr="00B54C79" w:rsidRDefault="008036AC" w:rsidP="008036AC">
      <w:pPr>
        <w:autoSpaceDE w:val="0"/>
        <w:autoSpaceDN w:val="0"/>
        <w:adjustRightInd w:val="0"/>
        <w:rPr>
          <w:rFonts w:eastAsia="HelenPro-Regular"/>
        </w:rPr>
      </w:pPr>
      <w:r w:rsidRPr="00B54C79">
        <w:rPr>
          <w:rFonts w:eastAsia="HelenPro-Bold"/>
          <w:b/>
          <w:bCs/>
        </w:rPr>
        <w:t>•</w:t>
      </w:r>
      <w:r w:rsidR="00B54C79">
        <w:rPr>
          <w:rFonts w:eastAsia="HelenPro-Regular"/>
        </w:rPr>
        <w:t xml:space="preserve"> </w:t>
      </w:r>
      <w:r w:rsidRPr="00B54C79">
        <w:rPr>
          <w:rFonts w:eastAsia="HelenPro-Regular"/>
        </w:rPr>
        <w:t xml:space="preserve">ARCHITECT </w:t>
      </w:r>
      <w:proofErr w:type="spellStart"/>
      <w:r w:rsidRPr="00B54C79">
        <w:rPr>
          <w:rFonts w:eastAsia="HelenPro-Bold"/>
          <w:i/>
          <w:iCs/>
        </w:rPr>
        <w:t>i</w:t>
      </w:r>
      <w:proofErr w:type="spellEnd"/>
      <w:r w:rsidRPr="00B54C79">
        <w:rPr>
          <w:rFonts w:eastAsia="HelenPro-Bold"/>
          <w:i/>
          <w:iCs/>
        </w:rPr>
        <w:t xml:space="preserve"> </w:t>
      </w:r>
      <w:r w:rsidRPr="00B54C79">
        <w:rPr>
          <w:rFonts w:eastAsia="HelenPro-Regular"/>
        </w:rPr>
        <w:t>System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r w:rsidR="000A1924" w:rsidRPr="00276040">
        <w:rPr>
          <w:rFonts w:eastAsia="HelenPro-Regular"/>
        </w:rPr>
        <w:t xml:space="preserve">Anti-HCV </w:t>
      </w:r>
      <w:r w:rsidR="008036AC" w:rsidRPr="00B54C79">
        <w:rPr>
          <w:rFonts w:eastAsia="HelenPro-Regular"/>
        </w:rPr>
        <w:t>Assay file, may be obtained from: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Pr>
          <w:rFonts w:eastAsia="HelenPro-Regular"/>
        </w:rPr>
        <w:t xml:space="preserve">System e-Assay CD-ROM found on </w:t>
      </w:r>
      <w:r w:rsidR="008036AC" w:rsidRPr="00B54C79">
        <w:rPr>
          <w:rFonts w:eastAsia="HelenPro-Regular"/>
        </w:rPr>
        <w:t>www.abbottdiagnostics.com</w:t>
      </w:r>
    </w:p>
    <w:p w:rsidR="008036AC" w:rsidRPr="00B54C79" w:rsidRDefault="00B54C79" w:rsidP="008036AC">
      <w:pPr>
        <w:autoSpaceDE w:val="0"/>
        <w:autoSpaceDN w:val="0"/>
        <w:adjustRightInd w:val="0"/>
        <w:rPr>
          <w:rFonts w:eastAsia="HelenPro-Regular"/>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sidR="008036AC" w:rsidRPr="00B54C79">
        <w:rPr>
          <w:rFonts w:eastAsia="HelenPro-Bold"/>
          <w:i/>
          <w:iCs/>
        </w:rPr>
        <w:t>i</w:t>
      </w:r>
      <w:proofErr w:type="spellEnd"/>
      <w:r w:rsidR="008036AC" w:rsidRPr="00B54C79">
        <w:rPr>
          <w:rFonts w:eastAsia="HelenPro-Bold"/>
          <w:i/>
          <w:iCs/>
        </w:rPr>
        <w:t xml:space="preserve"> </w:t>
      </w:r>
      <w:r w:rsidR="008036AC" w:rsidRPr="00B54C79">
        <w:rPr>
          <w:rFonts w:eastAsia="HelenPro-Regular"/>
        </w:rPr>
        <w:t>System Assay CD-ROM</w:t>
      </w:r>
    </w:p>
    <w:p w:rsidR="00276040" w:rsidRPr="00276040" w:rsidRDefault="00B54C79" w:rsidP="00276040">
      <w:pPr>
        <w:autoSpaceDE w:val="0"/>
        <w:autoSpaceDN w:val="0"/>
        <w:adjustRightInd w:val="0"/>
        <w:rPr>
          <w:rFonts w:eastAsia="HelenPro-Regular"/>
        </w:rPr>
      </w:pPr>
      <w:r w:rsidRPr="00276040">
        <w:rPr>
          <w:rFonts w:eastAsia="HelenPro-Bold"/>
          <w:b/>
          <w:bCs/>
        </w:rPr>
        <w:t>•</w:t>
      </w:r>
      <w:r w:rsidRPr="00276040">
        <w:rPr>
          <w:rFonts w:eastAsia="HelenPro-Regular"/>
        </w:rPr>
        <w:t xml:space="preserve"> </w:t>
      </w:r>
      <w:r w:rsidR="00276040" w:rsidRPr="00276040">
        <w:rPr>
          <w:rFonts w:eastAsia="HelenPro-Regular"/>
        </w:rPr>
        <w:t>1L79-01 ARCHITECT Anti-HCV Calibrator</w:t>
      </w:r>
    </w:p>
    <w:p w:rsidR="00276040" w:rsidRPr="00276040" w:rsidRDefault="00276040" w:rsidP="00276040">
      <w:pPr>
        <w:autoSpaceDE w:val="0"/>
        <w:autoSpaceDN w:val="0"/>
        <w:adjustRightInd w:val="0"/>
        <w:rPr>
          <w:rFonts w:eastAsia="HelenPro-Regular"/>
        </w:rPr>
      </w:pPr>
      <w:r w:rsidRPr="00276040">
        <w:rPr>
          <w:rFonts w:eastAsia="HelenPro-Bold"/>
          <w:b/>
          <w:bCs/>
        </w:rPr>
        <w:lastRenderedPageBreak/>
        <w:t xml:space="preserve">• </w:t>
      </w:r>
      <w:r w:rsidRPr="00276040">
        <w:rPr>
          <w:rFonts w:eastAsia="HelenPro-Regular"/>
        </w:rPr>
        <w:t>1L79-10 ARCHITECT Anti-HCV Controls</w:t>
      </w:r>
    </w:p>
    <w:p w:rsidR="008036AC" w:rsidRPr="00B54C79" w:rsidRDefault="00B54C79" w:rsidP="00276040">
      <w:pPr>
        <w:autoSpaceDE w:val="0"/>
        <w:autoSpaceDN w:val="0"/>
        <w:adjustRightInd w:val="0"/>
        <w:rPr>
          <w:rFonts w:eastAsia="HelenPro-Bold"/>
          <w:i/>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Pretrigger</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Trigger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Pr>
          <w:rFonts w:eastAsia="HelenPro-Bold"/>
          <w:i/>
          <w:iCs/>
        </w:rPr>
        <w:t>i</w:t>
      </w:r>
      <w:proofErr w:type="spellEnd"/>
      <w:r>
        <w:rPr>
          <w:rFonts w:eastAsia="HelenPro-Bold"/>
          <w:i/>
          <w:iCs/>
        </w:rPr>
        <w:t xml:space="preserve"> </w:t>
      </w:r>
      <w:r w:rsidRPr="00B54C79">
        <w:rPr>
          <w:rFonts w:eastAsia="HelenPro-Bold"/>
          <w:iCs/>
        </w:rPr>
        <w:t>Wash Buffer</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Reaction Vessels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Sample Cups</w:t>
      </w:r>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proofErr w:type="spellStart"/>
      <w:r w:rsidRPr="00B54C79">
        <w:rPr>
          <w:rFonts w:eastAsia="HelenPro-Bold"/>
          <w:iCs/>
        </w:rPr>
        <w:t>Septums</w:t>
      </w:r>
      <w:proofErr w:type="spellEnd"/>
    </w:p>
    <w:p w:rsidR="008036AC" w:rsidRPr="00B54C79" w:rsidRDefault="00B54C79" w:rsidP="008036AC">
      <w:pPr>
        <w:autoSpaceDE w:val="0"/>
        <w:autoSpaceDN w:val="0"/>
        <w:adjustRightInd w:val="0"/>
        <w:rPr>
          <w:rFonts w:eastAsia="HelenPro-Bold"/>
          <w:iCs/>
        </w:rPr>
      </w:pPr>
      <w:r w:rsidRPr="00B54C79">
        <w:rPr>
          <w:rFonts w:eastAsia="HelenPro-Bold"/>
          <w:b/>
          <w:bCs/>
        </w:rPr>
        <w:t>•</w:t>
      </w:r>
      <w:r>
        <w:rPr>
          <w:rFonts w:eastAsia="HelenPro-Regular"/>
        </w:rPr>
        <w:t xml:space="preserve"> </w:t>
      </w:r>
      <w:r w:rsidR="008036AC" w:rsidRPr="00B54C79">
        <w:rPr>
          <w:rFonts w:eastAsia="HelenPro-Regular"/>
        </w:rPr>
        <w:t xml:space="preserve">ARCHITECT </w:t>
      </w:r>
      <w:proofErr w:type="spellStart"/>
      <w:r>
        <w:rPr>
          <w:rFonts w:eastAsia="HelenPro-Bold"/>
          <w:i/>
          <w:iCs/>
        </w:rPr>
        <w:t>i</w:t>
      </w:r>
      <w:proofErr w:type="spellEnd"/>
      <w:r>
        <w:rPr>
          <w:rFonts w:eastAsia="HelenPro-Bold"/>
          <w:i/>
          <w:iCs/>
        </w:rPr>
        <w:t xml:space="preserve"> </w:t>
      </w:r>
      <w:r w:rsidRPr="00B54C79">
        <w:rPr>
          <w:rFonts w:eastAsia="HelenPro-Bold"/>
          <w:iCs/>
        </w:rPr>
        <w:t>Replacement Caps</w:t>
      </w:r>
    </w:p>
    <w:p w:rsidR="00952933" w:rsidRPr="00B54C79" w:rsidRDefault="008036AC" w:rsidP="00B54C79">
      <w:pPr>
        <w:rPr>
          <w:b/>
        </w:rPr>
      </w:pPr>
      <w:r w:rsidRPr="00B54C79">
        <w:rPr>
          <w:rFonts w:eastAsia="HelenPro-Bold"/>
          <w:b/>
          <w:bCs/>
        </w:rPr>
        <w:t>•</w:t>
      </w:r>
      <w:r w:rsidR="00B54C79">
        <w:rPr>
          <w:rFonts w:eastAsia="HelenPro-Regular"/>
        </w:rPr>
        <w:t xml:space="preserve"> </w:t>
      </w:r>
      <w:r w:rsidRPr="00B54C79">
        <w:rPr>
          <w:rFonts w:eastAsia="HelenPro-Regular"/>
        </w:rPr>
        <w:t>Pipettes or pipette tips (optional) to deliver the specified volumes.</w:t>
      </w:r>
    </w:p>
    <w:p w:rsidR="005E48EE" w:rsidRDefault="005E48EE" w:rsidP="00507B0C">
      <w:pPr>
        <w:rPr>
          <w:b/>
          <w:sz w:val="28"/>
          <w:szCs w:val="28"/>
        </w:rPr>
      </w:pPr>
    </w:p>
    <w:p w:rsidR="00507B0C" w:rsidRPr="004A03BD" w:rsidRDefault="00507B0C" w:rsidP="00507B0C">
      <w:pPr>
        <w:rPr>
          <w:b/>
          <w:sz w:val="28"/>
          <w:szCs w:val="28"/>
        </w:rPr>
      </w:pPr>
      <w:r w:rsidRPr="004A03BD">
        <w:rPr>
          <w:b/>
          <w:sz w:val="28"/>
          <w:szCs w:val="28"/>
        </w:rPr>
        <w:t xml:space="preserve">Reagent Handling and Storage: </w:t>
      </w:r>
    </w:p>
    <w:p w:rsidR="00507B0C" w:rsidRDefault="00507B0C" w:rsidP="004A03BD">
      <w:pPr>
        <w:spacing w:before="72" w:after="43"/>
        <w:rPr>
          <w:b/>
          <w:color w:val="000000"/>
          <w:szCs w:val="15"/>
        </w:rPr>
      </w:pPr>
    </w:p>
    <w:p w:rsidR="00F7103F" w:rsidRPr="00F7103F" w:rsidRDefault="00F7103F" w:rsidP="00F7103F">
      <w:pPr>
        <w:pStyle w:val="txt"/>
        <w:numPr>
          <w:ilvl w:val="12"/>
          <w:numId w:val="0"/>
        </w:numPr>
        <w:rPr>
          <w:b/>
          <w:sz w:val="24"/>
          <w:szCs w:val="24"/>
        </w:rPr>
      </w:pPr>
      <w:r w:rsidRPr="00F7103F">
        <w:rPr>
          <w:b/>
          <w:i/>
          <w:sz w:val="24"/>
          <w:szCs w:val="24"/>
        </w:rPr>
        <w:t>CAUTION</w:t>
      </w:r>
      <w:r w:rsidRPr="00F7103F">
        <w:rPr>
          <w:b/>
          <w:sz w:val="24"/>
          <w:szCs w:val="24"/>
        </w:rPr>
        <w:t>:</w:t>
      </w:r>
    </w:p>
    <w:p w:rsidR="00F7103F" w:rsidRPr="00B54C79" w:rsidRDefault="00F7103F" w:rsidP="00B54C79">
      <w:pPr>
        <w:pStyle w:val="ListParagraph"/>
        <w:numPr>
          <w:ilvl w:val="0"/>
          <w:numId w:val="16"/>
        </w:numPr>
        <w:rPr>
          <w:rFonts w:eastAsia="HelenPro-Regular"/>
        </w:rPr>
      </w:pPr>
      <w:r w:rsidRPr="00B54C79">
        <w:rPr>
          <w:rFonts w:eastAsia="HelenPro-Regular"/>
        </w:rPr>
        <w:t>For in vitro diagnostic use.</w:t>
      </w:r>
    </w:p>
    <w:p w:rsidR="00F7103F" w:rsidRPr="00F7103F" w:rsidRDefault="00F7103F" w:rsidP="00F7103F">
      <w:pPr>
        <w:rPr>
          <w:rFonts w:eastAsia="HelenPro-Regular"/>
        </w:rPr>
      </w:pPr>
      <w:r w:rsidRPr="00F7103F">
        <w:rPr>
          <w:rFonts w:eastAsia="HelenPro-Regular"/>
          <w:b/>
          <w:bCs/>
        </w:rPr>
        <w:t xml:space="preserve">CAUTION: </w:t>
      </w:r>
      <w:r w:rsidRPr="00F7103F">
        <w:rPr>
          <w:rFonts w:eastAsia="HelenPro-Regular"/>
        </w:rPr>
        <w:t>This product requires the handling of human specimens.</w:t>
      </w:r>
    </w:p>
    <w:p w:rsidR="00F7103F" w:rsidRPr="00F7103F" w:rsidRDefault="00F7103F" w:rsidP="00F7103F">
      <w:pPr>
        <w:rPr>
          <w:rFonts w:eastAsia="HelenPro-Regular"/>
        </w:rPr>
      </w:pPr>
      <w:r w:rsidRPr="00F7103F">
        <w:rPr>
          <w:rFonts w:eastAsia="HelenPro-Regular"/>
        </w:rPr>
        <w:t>It is recommended that all human sourced materials be considered</w:t>
      </w:r>
    </w:p>
    <w:p w:rsidR="00F7103F" w:rsidRPr="00F7103F" w:rsidRDefault="00F7103F" w:rsidP="00F7103F">
      <w:pPr>
        <w:rPr>
          <w:rFonts w:eastAsia="HelenPro-Regular"/>
        </w:rPr>
      </w:pPr>
      <w:r w:rsidRPr="00F7103F">
        <w:rPr>
          <w:rFonts w:eastAsia="HelenPro-Regular"/>
        </w:rPr>
        <w:t>potentially infectious and be handled in accordance with the OSHA</w:t>
      </w:r>
    </w:p>
    <w:p w:rsidR="004A03BD" w:rsidRDefault="00F7103F" w:rsidP="00DC16C5">
      <w:pPr>
        <w:rPr>
          <w:rFonts w:eastAsia="HelenPro-Regular"/>
        </w:rPr>
      </w:pPr>
      <w:r w:rsidRPr="00F7103F">
        <w:rPr>
          <w:rFonts w:eastAsia="HelenPro-Regular"/>
        </w:rPr>
        <w:t xml:space="preserve">Standard on </w:t>
      </w:r>
      <w:proofErr w:type="spellStart"/>
      <w:r w:rsidRPr="00F7103F">
        <w:rPr>
          <w:rFonts w:eastAsia="HelenPro-Regular"/>
        </w:rPr>
        <w:t>Bloodborne</w:t>
      </w:r>
      <w:proofErr w:type="spellEnd"/>
      <w:r w:rsidRPr="00F7103F">
        <w:rPr>
          <w:rFonts w:eastAsia="HelenPro-Regular"/>
        </w:rPr>
        <w:t xml:space="preserve"> Pathogens. Biosafety Level 2 or other</w:t>
      </w:r>
      <w:r w:rsidR="00DC16C5">
        <w:rPr>
          <w:rFonts w:eastAsia="HelenPro-Regular"/>
        </w:rPr>
        <w:t xml:space="preserve"> </w:t>
      </w:r>
      <w:r w:rsidRPr="00F7103F">
        <w:rPr>
          <w:rFonts w:eastAsia="HelenPro-Regular"/>
        </w:rPr>
        <w:t>appropriate biosafety practices should be used for materials that contain or are suspected of containing infectious agents.</w:t>
      </w:r>
    </w:p>
    <w:p w:rsidR="002056B4" w:rsidRDefault="002056B4" w:rsidP="0038442D">
      <w:pPr>
        <w:autoSpaceDE w:val="0"/>
        <w:autoSpaceDN w:val="0"/>
        <w:adjustRightInd w:val="0"/>
        <w:rPr>
          <w:rFonts w:eastAsia="HelenPro-Bold"/>
          <w:b/>
          <w:bCs/>
        </w:rPr>
      </w:pPr>
    </w:p>
    <w:p w:rsidR="0038442D" w:rsidRPr="0038442D" w:rsidRDefault="0038442D" w:rsidP="0038442D">
      <w:pPr>
        <w:autoSpaceDE w:val="0"/>
        <w:autoSpaceDN w:val="0"/>
        <w:adjustRightInd w:val="0"/>
        <w:rPr>
          <w:rFonts w:eastAsia="HelenPro-Bold"/>
          <w:b/>
          <w:bCs/>
        </w:rPr>
      </w:pPr>
      <w:r w:rsidRPr="0038442D">
        <w:rPr>
          <w:rFonts w:eastAsia="HelenPro-Bold"/>
          <w:b/>
          <w:bCs/>
        </w:rPr>
        <w:t>Reagent Handling</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Do not use reagent kits beyond the expiration date.</w:t>
      </w:r>
    </w:p>
    <w:p w:rsidR="00B54C79"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Bold"/>
          <w:b/>
          <w:bCs/>
        </w:rPr>
        <w:t>Do not pool reagents within a kit or between reagent kits.</w:t>
      </w:r>
    </w:p>
    <w:p w:rsidR="00B54C79" w:rsidRPr="00470CE6" w:rsidRDefault="00AA7423" w:rsidP="00470CE6">
      <w:pPr>
        <w:pStyle w:val="ListParagraph"/>
        <w:numPr>
          <w:ilvl w:val="0"/>
          <w:numId w:val="16"/>
        </w:numPr>
        <w:autoSpaceDE w:val="0"/>
        <w:autoSpaceDN w:val="0"/>
        <w:adjustRightInd w:val="0"/>
        <w:rPr>
          <w:rFonts w:eastAsia="HelenPro-Regular"/>
        </w:rPr>
      </w:pPr>
      <w:r w:rsidRPr="00470CE6">
        <w:rPr>
          <w:rFonts w:eastAsia="HelenPro-Regular"/>
        </w:rPr>
        <w:t xml:space="preserve">Before loading the </w:t>
      </w:r>
      <w:r w:rsidR="00A911E0">
        <w:rPr>
          <w:rFonts w:eastAsia="HelenPro-Regular"/>
        </w:rPr>
        <w:t>reagent k</w:t>
      </w:r>
      <w:r w:rsidRPr="00470CE6">
        <w:rPr>
          <w:rFonts w:eastAsia="HelenPro-Regular"/>
        </w:rPr>
        <w:t>it on the system</w:t>
      </w:r>
      <w:r w:rsidR="00470CE6" w:rsidRPr="00470CE6">
        <w:rPr>
          <w:rFonts w:eastAsia="HelenPro-Regular"/>
        </w:rPr>
        <w:t xml:space="preserve"> </w:t>
      </w:r>
      <w:r w:rsidRPr="00470CE6">
        <w:rPr>
          <w:rFonts w:eastAsia="HelenPro-Regular"/>
        </w:rPr>
        <w:t xml:space="preserve">for the first time, the </w:t>
      </w:r>
      <w:proofErr w:type="spellStart"/>
      <w:r w:rsidRPr="00470CE6">
        <w:rPr>
          <w:rFonts w:eastAsia="HelenPro-Regular"/>
        </w:rPr>
        <w:t>microparticle</w:t>
      </w:r>
      <w:proofErr w:type="spellEnd"/>
      <w:r w:rsidRPr="00470CE6">
        <w:rPr>
          <w:rFonts w:eastAsia="HelenPro-Regular"/>
        </w:rPr>
        <w:t xml:space="preserve"> bottle requires mixing to </w:t>
      </w:r>
      <w:proofErr w:type="spellStart"/>
      <w:r w:rsidRPr="00470CE6">
        <w:rPr>
          <w:rFonts w:eastAsia="HelenPro-Regular"/>
        </w:rPr>
        <w:t>resuspend</w:t>
      </w:r>
      <w:proofErr w:type="spellEnd"/>
      <w:r w:rsidR="00470CE6" w:rsidRPr="00470CE6">
        <w:rPr>
          <w:rFonts w:eastAsia="HelenPro-Regular"/>
        </w:rPr>
        <w:t xml:space="preserve"> </w:t>
      </w:r>
      <w:proofErr w:type="spellStart"/>
      <w:r w:rsidRPr="00470CE6">
        <w:rPr>
          <w:rFonts w:eastAsia="HelenPro-Regular"/>
        </w:rPr>
        <w:t>microparticles</w:t>
      </w:r>
      <w:proofErr w:type="spellEnd"/>
      <w:r w:rsidRPr="00470CE6">
        <w:rPr>
          <w:rFonts w:eastAsia="HelenPro-Regular"/>
        </w:rPr>
        <w:t xml:space="preserve"> that have settled during shipment</w:t>
      </w:r>
      <w:r w:rsidRPr="00470CE6">
        <w:rPr>
          <w:rFonts w:ascii="HelenPro-Regular" w:eastAsia="HelenPro-Regular" w:cs="HelenPro-Regular"/>
          <w:sz w:val="16"/>
          <w:szCs w:val="16"/>
        </w:rPr>
        <w:t>.</w:t>
      </w:r>
    </w:p>
    <w:p w:rsidR="00B54C79" w:rsidRPr="00B54C79" w:rsidRDefault="00B54C79" w:rsidP="00B54C79">
      <w:pPr>
        <w:pStyle w:val="ListParagraph"/>
        <w:numPr>
          <w:ilvl w:val="0"/>
          <w:numId w:val="16"/>
        </w:numPr>
        <w:autoSpaceDE w:val="0"/>
        <w:autoSpaceDN w:val="0"/>
        <w:adjustRightInd w:val="0"/>
        <w:rPr>
          <w:rFonts w:eastAsia="HelenPro-Bold"/>
          <w:b/>
          <w:bCs/>
        </w:rPr>
      </w:pPr>
      <w:proofErr w:type="spellStart"/>
      <w:r w:rsidRPr="00B54C79">
        <w:rPr>
          <w:rFonts w:eastAsia="HelenPro-Bold"/>
          <w:b/>
          <w:bCs/>
        </w:rPr>
        <w:t>Septums</w:t>
      </w:r>
      <w:proofErr w:type="spellEnd"/>
      <w:r w:rsidRPr="00B54C79">
        <w:rPr>
          <w:rFonts w:eastAsia="HelenPro-Bold"/>
          <w:b/>
          <w:bCs/>
        </w:rPr>
        <w:t xml:space="preserve"> MUST be used to prevent reagent evaporation and contamination and to ensure reagent integrity. Reliability of assay results cannot be guaranteed if </w:t>
      </w:r>
      <w:proofErr w:type="spellStart"/>
      <w:r w:rsidRPr="00B54C79">
        <w:rPr>
          <w:rFonts w:eastAsia="HelenPro-Bold"/>
          <w:b/>
          <w:bCs/>
        </w:rPr>
        <w:t>septums</w:t>
      </w:r>
      <w:proofErr w:type="spellEnd"/>
      <w:r w:rsidRPr="00B54C79">
        <w:rPr>
          <w:rFonts w:eastAsia="HelenPro-Bold"/>
          <w:b/>
          <w:bCs/>
        </w:rPr>
        <w:t xml:space="preserve"> are not used according to the instructions in the package insert.</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To avoid contamination, wear clean gloves when placing a septum on an uncapped reagent bottle.</w:t>
      </w:r>
    </w:p>
    <w:p w:rsidR="00C32412" w:rsidRPr="00B54C79" w:rsidRDefault="00B54C79" w:rsidP="00B54C79">
      <w:pPr>
        <w:pStyle w:val="ListParagraph"/>
        <w:numPr>
          <w:ilvl w:val="0"/>
          <w:numId w:val="16"/>
        </w:numPr>
        <w:autoSpaceDE w:val="0"/>
        <w:autoSpaceDN w:val="0"/>
        <w:adjustRightInd w:val="0"/>
        <w:rPr>
          <w:rFonts w:eastAsia="HelenPro-Bold"/>
          <w:b/>
          <w:bCs/>
        </w:rPr>
      </w:pPr>
      <w:r w:rsidRPr="00B54C79">
        <w:rPr>
          <w:rFonts w:eastAsia="HelenPro-Regular"/>
        </w:rPr>
        <w:t xml:space="preserve">Once a septum has been placed on the reagent bottle, </w:t>
      </w:r>
      <w:r w:rsidRPr="00B54C79">
        <w:rPr>
          <w:rFonts w:eastAsia="HelenPro-Bold"/>
          <w:b/>
          <w:bCs/>
        </w:rPr>
        <w:t xml:space="preserve">do not invert the bottle </w:t>
      </w:r>
      <w:r w:rsidRPr="00B54C79">
        <w:rPr>
          <w:rFonts w:eastAsia="HelenPro-Regular"/>
        </w:rPr>
        <w:t>as this will result in reagent leakage and may</w:t>
      </w:r>
      <w:r w:rsidRPr="00B54C79">
        <w:rPr>
          <w:rFonts w:eastAsia="HelenPro-Bold"/>
          <w:b/>
          <w:bCs/>
        </w:rPr>
        <w:t xml:space="preserve"> </w:t>
      </w:r>
      <w:r w:rsidRPr="00B54C79">
        <w:rPr>
          <w:rFonts w:eastAsia="HelenPro-Regular"/>
        </w:rPr>
        <w:t>compromise assay results.</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Over time, residual liquids may dry on the septum surface. These are typically dried salts and have no effect on assay efficacy.</w:t>
      </w:r>
    </w:p>
    <w:p w:rsidR="00B54C79" w:rsidRPr="00B54C79" w:rsidRDefault="00B54C79" w:rsidP="00B54C79">
      <w:pPr>
        <w:pStyle w:val="ListParagraph"/>
        <w:numPr>
          <w:ilvl w:val="0"/>
          <w:numId w:val="16"/>
        </w:numPr>
        <w:autoSpaceDE w:val="0"/>
        <w:autoSpaceDN w:val="0"/>
        <w:adjustRightInd w:val="0"/>
        <w:rPr>
          <w:rFonts w:eastAsia="HelenPro-Regular"/>
        </w:rPr>
      </w:pPr>
      <w:r w:rsidRPr="00B54C79">
        <w:rPr>
          <w:rFonts w:eastAsia="HelenPro-Regular"/>
        </w:rPr>
        <w:t>For a detailed discussion of handling precautions during system operation, refer to the ARCHITECT System Operations Manual, Section 7.</w:t>
      </w:r>
    </w:p>
    <w:p w:rsidR="0038442D" w:rsidRPr="00C32412" w:rsidRDefault="0038442D" w:rsidP="0038442D">
      <w:pPr>
        <w:autoSpaceDE w:val="0"/>
        <w:autoSpaceDN w:val="0"/>
        <w:adjustRightInd w:val="0"/>
        <w:rPr>
          <w:rFonts w:eastAsia="HelenPro-Bold"/>
          <w:b/>
          <w:bCs/>
        </w:rPr>
      </w:pPr>
    </w:p>
    <w:p w:rsidR="0038442D" w:rsidRPr="00C32412" w:rsidRDefault="0038442D" w:rsidP="0038442D">
      <w:pPr>
        <w:autoSpaceDE w:val="0"/>
        <w:autoSpaceDN w:val="0"/>
        <w:adjustRightInd w:val="0"/>
        <w:rPr>
          <w:rFonts w:eastAsia="HelenPro-Bold"/>
          <w:b/>
          <w:bCs/>
        </w:rPr>
      </w:pPr>
      <w:r w:rsidRPr="00C32412">
        <w:rPr>
          <w:rFonts w:eastAsia="HelenPro-Bold"/>
          <w:b/>
          <w:bCs/>
        </w:rPr>
        <w:t>Reagent Storage</w:t>
      </w:r>
    </w:p>
    <w:p w:rsidR="00E70BBC" w:rsidRPr="00E70BBC" w:rsidRDefault="00E70BBC" w:rsidP="00E70BBC">
      <w:pPr>
        <w:autoSpaceDE w:val="0"/>
        <w:autoSpaceDN w:val="0"/>
        <w:adjustRightInd w:val="0"/>
        <w:ind w:left="720"/>
        <w:rPr>
          <w:rFonts w:eastAsia="HelenPro-Regular"/>
        </w:rPr>
      </w:pPr>
      <w:r w:rsidRPr="00E70BBC">
        <w:rPr>
          <w:rFonts w:eastAsia="HelenPro-Bold"/>
          <w:b/>
          <w:bCs/>
        </w:rPr>
        <w:t xml:space="preserve">• </w:t>
      </w:r>
      <w:r w:rsidRPr="00E70BBC">
        <w:rPr>
          <w:rFonts w:eastAsia="HelenPro-Regular"/>
        </w:rPr>
        <w:t xml:space="preserve">The ARCHITECT </w:t>
      </w:r>
      <w:r w:rsidR="00276040">
        <w:rPr>
          <w:rFonts w:eastAsia="HelenPro-Regular"/>
        </w:rPr>
        <w:t>Anti-HCV</w:t>
      </w:r>
      <w:r w:rsidRPr="00E70BBC">
        <w:rPr>
          <w:rFonts w:eastAsia="HelenPro-Regular"/>
        </w:rPr>
        <w:t xml:space="preserve"> Reagent Kit must be stored at 2</w:t>
      </w:r>
      <w:r w:rsidRPr="00E70BBC">
        <w:rPr>
          <w:rFonts w:ascii="MS Mincho" w:eastAsia="MS Mincho" w:hAnsi="MS Mincho" w:cs="MS Mincho" w:hint="eastAsia"/>
        </w:rPr>
        <w:t>‑</w:t>
      </w:r>
      <w:r w:rsidRPr="00E70BBC">
        <w:rPr>
          <w:rFonts w:eastAsia="HelenPro-Regular"/>
        </w:rPr>
        <w:t>8°C</w:t>
      </w:r>
      <w:r>
        <w:rPr>
          <w:rFonts w:eastAsia="HelenPro-Regular"/>
        </w:rPr>
        <w:t xml:space="preserve"> </w:t>
      </w:r>
      <w:r w:rsidRPr="00E70BBC">
        <w:rPr>
          <w:rFonts w:eastAsia="HelenPro-Regular"/>
        </w:rPr>
        <w:t>in an upright position and may be used immediately after removal from</w:t>
      </w:r>
      <w:r>
        <w:rPr>
          <w:rFonts w:eastAsia="HelenPro-Regular"/>
        </w:rPr>
        <w:t xml:space="preserve"> </w:t>
      </w:r>
      <w:r w:rsidRPr="00E70BBC">
        <w:rPr>
          <w:rFonts w:eastAsia="HelenPro-Regular"/>
        </w:rPr>
        <w:t>2</w:t>
      </w:r>
      <w:r w:rsidRPr="00E70BBC">
        <w:rPr>
          <w:rFonts w:ascii="MS Mincho" w:eastAsia="MS Mincho" w:hAnsi="MS Mincho" w:cs="MS Mincho" w:hint="eastAsia"/>
        </w:rPr>
        <w:t>‑</w:t>
      </w:r>
      <w:r w:rsidRPr="00E70BBC">
        <w:rPr>
          <w:rFonts w:eastAsia="HelenPro-Regular"/>
        </w:rPr>
        <w:t>8°C storage.</w:t>
      </w:r>
    </w:p>
    <w:p w:rsidR="00E70BBC" w:rsidRPr="00E70BBC" w:rsidRDefault="00E70BBC" w:rsidP="00E70BBC">
      <w:pPr>
        <w:autoSpaceDE w:val="0"/>
        <w:autoSpaceDN w:val="0"/>
        <w:adjustRightInd w:val="0"/>
        <w:ind w:left="720"/>
        <w:rPr>
          <w:rFonts w:eastAsia="HelenPro-Regular"/>
        </w:rPr>
      </w:pPr>
      <w:r w:rsidRPr="00E70BBC">
        <w:rPr>
          <w:rFonts w:eastAsia="HelenPro-Bold"/>
          <w:b/>
          <w:bCs/>
        </w:rPr>
        <w:t xml:space="preserve">• </w:t>
      </w:r>
      <w:r w:rsidRPr="00E70BBC">
        <w:rPr>
          <w:rFonts w:eastAsia="HelenPro-Regular"/>
        </w:rPr>
        <w:t>When stored and handled as directed, the reagents are stable until the</w:t>
      </w:r>
      <w:r>
        <w:rPr>
          <w:rFonts w:eastAsia="HelenPro-Regular"/>
        </w:rPr>
        <w:t xml:space="preserve"> </w:t>
      </w:r>
      <w:r w:rsidRPr="00E70BBC">
        <w:rPr>
          <w:rFonts w:eastAsia="HelenPro-Regular"/>
        </w:rPr>
        <w:t>expiration date.</w:t>
      </w:r>
    </w:p>
    <w:p w:rsidR="00531F75" w:rsidRPr="00E70BBC" w:rsidRDefault="00E70BBC" w:rsidP="00E70BBC">
      <w:pPr>
        <w:autoSpaceDE w:val="0"/>
        <w:autoSpaceDN w:val="0"/>
        <w:adjustRightInd w:val="0"/>
        <w:ind w:left="720"/>
        <w:rPr>
          <w:rFonts w:eastAsia="HelenPro-Regular"/>
        </w:rPr>
      </w:pPr>
      <w:r w:rsidRPr="00E70BBC">
        <w:rPr>
          <w:rFonts w:eastAsia="HelenPro-Bold"/>
          <w:b/>
          <w:bCs/>
        </w:rPr>
        <w:lastRenderedPageBreak/>
        <w:t xml:space="preserve">• </w:t>
      </w:r>
      <w:r w:rsidRPr="00E70BBC">
        <w:rPr>
          <w:rFonts w:eastAsia="HelenPro-Regular"/>
        </w:rPr>
        <w:t xml:space="preserve">The ARCHITECT </w:t>
      </w:r>
      <w:r w:rsidR="00276040">
        <w:rPr>
          <w:rFonts w:eastAsia="HelenPro-Regular"/>
        </w:rPr>
        <w:t>Anti-HCV</w:t>
      </w:r>
      <w:r w:rsidR="00276040" w:rsidRPr="00E70BBC">
        <w:rPr>
          <w:rFonts w:eastAsia="HelenPro-Regular"/>
        </w:rPr>
        <w:t xml:space="preserve"> </w:t>
      </w:r>
      <w:r w:rsidRPr="00E70BBC">
        <w:rPr>
          <w:rFonts w:eastAsia="HelenPro-Regular"/>
        </w:rPr>
        <w:t>Reagent Kit may be stored on board the</w:t>
      </w:r>
      <w:r>
        <w:rPr>
          <w:rFonts w:eastAsia="HelenPro-Regular"/>
        </w:rPr>
        <w:t xml:space="preserve"> </w:t>
      </w:r>
      <w:r w:rsidRPr="00E70BBC">
        <w:rPr>
          <w:rFonts w:eastAsia="HelenPro-Regular"/>
        </w:rPr>
        <w:t xml:space="preserve">ARCHITECT </w:t>
      </w:r>
      <w:proofErr w:type="spellStart"/>
      <w:r w:rsidRPr="00E70BBC">
        <w:rPr>
          <w:rFonts w:eastAsia="HelenPro-Regular"/>
          <w:i/>
          <w:iCs/>
        </w:rPr>
        <w:t>i</w:t>
      </w:r>
      <w:proofErr w:type="spellEnd"/>
      <w:r w:rsidRPr="00E70BBC">
        <w:rPr>
          <w:rFonts w:eastAsia="HelenPro-Regular"/>
          <w:i/>
          <w:iCs/>
        </w:rPr>
        <w:t xml:space="preserve"> </w:t>
      </w:r>
      <w:r w:rsidRPr="00E70BBC">
        <w:rPr>
          <w:rFonts w:eastAsia="HelenPro-Regular"/>
        </w:rPr>
        <w:t>System for a maximum of 30 days. After 30 days, the reagent</w:t>
      </w:r>
      <w:r>
        <w:rPr>
          <w:rFonts w:eastAsia="HelenPro-Regular"/>
        </w:rPr>
        <w:t xml:space="preserve"> </w:t>
      </w:r>
      <w:r w:rsidRPr="00E70BBC">
        <w:rPr>
          <w:rFonts w:eastAsia="HelenPro-Regular"/>
        </w:rPr>
        <w:t>kit must be discarded. For information on tracking onboard time, refer to the</w:t>
      </w:r>
      <w:r>
        <w:rPr>
          <w:rFonts w:eastAsia="HelenPro-Regular"/>
        </w:rPr>
        <w:t xml:space="preserve"> </w:t>
      </w:r>
      <w:r w:rsidRPr="00E70BBC">
        <w:rPr>
          <w:rFonts w:eastAsia="HelenPro-Regular"/>
        </w:rPr>
        <w:t>ARCHITECT System Operations Manual, Section 5.</w:t>
      </w:r>
      <w:r w:rsidR="00531F75" w:rsidRPr="00E70BBC">
        <w:rPr>
          <w:rFonts w:eastAsia="HelenPro-Regular"/>
        </w:rPr>
        <w:t xml:space="preserve"> </w:t>
      </w:r>
    </w:p>
    <w:p w:rsidR="0038442D" w:rsidRPr="00B54C79" w:rsidRDefault="000A37B5" w:rsidP="000A37B5">
      <w:pPr>
        <w:pStyle w:val="ListParagraph"/>
        <w:autoSpaceDE w:val="0"/>
        <w:autoSpaceDN w:val="0"/>
        <w:adjustRightInd w:val="0"/>
        <w:rPr>
          <w:rFonts w:eastAsia="HelenPro-Regular"/>
        </w:rPr>
      </w:pPr>
      <w:r w:rsidRPr="00E70BBC">
        <w:rPr>
          <w:rFonts w:eastAsia="HelenPro-Bold"/>
          <w:b/>
          <w:bCs/>
        </w:rPr>
        <w:t xml:space="preserve">• </w:t>
      </w:r>
      <w:r w:rsidR="00B54C79" w:rsidRPr="00B54C79">
        <w:rPr>
          <w:rFonts w:eastAsia="HelenPro-Regular"/>
        </w:rPr>
        <w:t xml:space="preserve">Reagents may be stored on or off the ARCHITECT </w:t>
      </w:r>
      <w:proofErr w:type="spellStart"/>
      <w:r w:rsidR="00B54C79" w:rsidRPr="00B54C79">
        <w:rPr>
          <w:rFonts w:eastAsia="HelenPro-Bold"/>
          <w:i/>
          <w:iCs/>
        </w:rPr>
        <w:t>i</w:t>
      </w:r>
      <w:proofErr w:type="spellEnd"/>
      <w:r w:rsidR="00B54C79" w:rsidRPr="00B54C79">
        <w:rPr>
          <w:rFonts w:eastAsia="HelenPro-Bold"/>
          <w:i/>
          <w:iCs/>
        </w:rPr>
        <w:t xml:space="preserve"> </w:t>
      </w:r>
      <w:r w:rsidR="00B54C79" w:rsidRPr="00B54C79">
        <w:rPr>
          <w:rFonts w:eastAsia="HelenPro-Regular"/>
        </w:rPr>
        <w:t xml:space="preserve">System. If reagents are removed from the system, store them at 2-8°C (with </w:t>
      </w:r>
      <w:proofErr w:type="spellStart"/>
      <w:r w:rsidR="00B54C79" w:rsidRPr="00B54C79">
        <w:rPr>
          <w:rFonts w:eastAsia="HelenPro-Regular"/>
        </w:rPr>
        <w:t>septums</w:t>
      </w:r>
      <w:proofErr w:type="spellEnd"/>
      <w:r w:rsidR="00B54C79" w:rsidRPr="00B54C79">
        <w:rPr>
          <w:rFonts w:eastAsia="HelenPro-Regular"/>
        </w:rPr>
        <w:t xml:space="preserve"> and replacement caps) in an upright position. For reagents stored off the system, it is recommended that they be stored in their original trays and boxes to ensure they remain upright. </w:t>
      </w:r>
      <w:r w:rsidR="00B54C79" w:rsidRPr="00B54C79">
        <w:rPr>
          <w:rFonts w:eastAsia="HelenPro-Bold"/>
          <w:b/>
          <w:bCs/>
        </w:rPr>
        <w:t xml:space="preserve">If the </w:t>
      </w:r>
      <w:proofErr w:type="spellStart"/>
      <w:r w:rsidR="00B54C79" w:rsidRPr="00B54C79">
        <w:rPr>
          <w:rFonts w:eastAsia="HelenPro-Bold"/>
          <w:b/>
          <w:bCs/>
        </w:rPr>
        <w:t>microparticle</w:t>
      </w:r>
      <w:proofErr w:type="spellEnd"/>
      <w:r w:rsidR="00B54C79" w:rsidRPr="00B54C79">
        <w:rPr>
          <w:rFonts w:eastAsia="HelenPro-Bold"/>
          <w:b/>
          <w:bCs/>
        </w:rPr>
        <w:t xml:space="preserve"> bottle does</w:t>
      </w:r>
      <w:r w:rsidR="00B54C79" w:rsidRPr="00B54C79">
        <w:rPr>
          <w:rFonts w:eastAsia="HelenPro-Regular"/>
        </w:rPr>
        <w:t xml:space="preserve"> </w:t>
      </w:r>
      <w:r w:rsidR="00B54C79" w:rsidRPr="00B54C79">
        <w:rPr>
          <w:rFonts w:eastAsia="HelenPro-Bold"/>
          <w:b/>
          <w:bCs/>
        </w:rPr>
        <w:t>not remain upright (with a septum installed) while in refrigerated</w:t>
      </w:r>
      <w:r w:rsidR="00B54C79" w:rsidRPr="00B54C79">
        <w:rPr>
          <w:rFonts w:eastAsia="HelenPro-Regular"/>
        </w:rPr>
        <w:t xml:space="preserve"> </w:t>
      </w:r>
      <w:r w:rsidR="00B54C79" w:rsidRPr="00B54C79">
        <w:rPr>
          <w:rFonts w:eastAsia="HelenPro-Bold"/>
          <w:b/>
          <w:bCs/>
        </w:rPr>
        <w:t xml:space="preserve">storage off the system, the reagent kit must be discarded. </w:t>
      </w:r>
      <w:r w:rsidR="00B54C79" w:rsidRPr="00B54C79">
        <w:rPr>
          <w:rFonts w:eastAsia="HelenPro-Regular"/>
        </w:rPr>
        <w:t>For information on unloading reagents, refer to the ARCHITECT System Operations Manual, Section 5.</w:t>
      </w:r>
    </w:p>
    <w:p w:rsidR="00DB3051" w:rsidRDefault="00DB3051" w:rsidP="00B36577">
      <w:pPr>
        <w:spacing w:after="72"/>
        <w:rPr>
          <w:rStyle w:val="BodyBold"/>
          <w:rFonts w:ascii="Times New Roman" w:hAnsi="Times New Roman"/>
          <w:sz w:val="24"/>
          <w:szCs w:val="24"/>
        </w:rPr>
      </w:pPr>
    </w:p>
    <w:p w:rsidR="00CA11D0" w:rsidRPr="00B54C79" w:rsidRDefault="00B54C79" w:rsidP="00B36577">
      <w:pPr>
        <w:spacing w:after="72"/>
      </w:pPr>
      <w:r>
        <w:rPr>
          <w:rStyle w:val="BodyBold"/>
          <w:rFonts w:ascii="Times New Roman" w:hAnsi="Times New Roman"/>
          <w:sz w:val="24"/>
          <w:szCs w:val="24"/>
        </w:rPr>
        <w:t>Reagents</w:t>
      </w:r>
    </w:p>
    <w:p w:rsidR="009F648F" w:rsidRDefault="00276040" w:rsidP="009F648F">
      <w:pPr>
        <w:pStyle w:val="txt"/>
        <w:ind w:left="0"/>
        <w:rPr>
          <w:sz w:val="24"/>
          <w:szCs w:val="24"/>
        </w:rPr>
      </w:pPr>
      <w:r>
        <w:rPr>
          <w:noProof/>
        </w:rPr>
        <w:drawing>
          <wp:inline distT="0" distB="0" distL="0" distR="0" wp14:anchorId="33D04DD6" wp14:editId="0CF5F9BF">
            <wp:extent cx="4219575" cy="25050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19575" cy="2505075"/>
                    </a:xfrm>
                    <a:prstGeom prst="rect">
                      <a:avLst/>
                    </a:prstGeom>
                  </pic:spPr>
                </pic:pic>
              </a:graphicData>
            </a:graphic>
          </wp:inline>
        </w:drawing>
      </w:r>
    </w:p>
    <w:p w:rsidR="000A37B5" w:rsidRDefault="000A37B5" w:rsidP="009F648F">
      <w:pPr>
        <w:pStyle w:val="txt"/>
        <w:ind w:left="0"/>
        <w:rPr>
          <w:sz w:val="24"/>
          <w:szCs w:val="24"/>
        </w:rPr>
      </w:pPr>
    </w:p>
    <w:p w:rsidR="00B54C79" w:rsidRPr="009F648F" w:rsidRDefault="00B54C79" w:rsidP="009F648F">
      <w:pPr>
        <w:pStyle w:val="txt"/>
        <w:ind w:left="0"/>
        <w:rPr>
          <w:sz w:val="24"/>
          <w:szCs w:val="24"/>
        </w:rPr>
      </w:pPr>
      <w:r>
        <w:rPr>
          <w:noProof/>
        </w:rPr>
        <w:drawing>
          <wp:inline distT="0" distB="0" distL="0" distR="0" wp14:anchorId="54DB7671" wp14:editId="13D02B77">
            <wp:extent cx="43815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81500" cy="1590675"/>
                    </a:xfrm>
                    <a:prstGeom prst="rect">
                      <a:avLst/>
                    </a:prstGeom>
                  </pic:spPr>
                </pic:pic>
              </a:graphicData>
            </a:graphic>
          </wp:inline>
        </w:drawing>
      </w:r>
    </w:p>
    <w:p w:rsidR="002056B4" w:rsidRPr="002056B4" w:rsidRDefault="00B36577" w:rsidP="002056B4">
      <w:pPr>
        <w:autoSpaceDE w:val="0"/>
        <w:autoSpaceDN w:val="0"/>
        <w:adjustRightInd w:val="0"/>
        <w:rPr>
          <w:rFonts w:eastAsia="HelenPro-Regular"/>
        </w:rPr>
      </w:pPr>
      <w:r w:rsidRPr="00100BF8">
        <w:rPr>
          <w:b/>
        </w:rPr>
        <w:t>Calibrator:</w:t>
      </w:r>
      <w:r w:rsidRPr="00100BF8">
        <w:t xml:space="preserve">  </w:t>
      </w:r>
      <w:r w:rsidR="000453C0" w:rsidRPr="00276040">
        <w:rPr>
          <w:rFonts w:eastAsia="HelenPro-Regular"/>
        </w:rPr>
        <w:t>1L79-01 ARCHITECT Anti-HCV Calibrator</w:t>
      </w:r>
    </w:p>
    <w:p w:rsidR="00C3571A" w:rsidRPr="00AA7423" w:rsidRDefault="00C3571A" w:rsidP="00C3571A">
      <w:pPr>
        <w:autoSpaceDE w:val="0"/>
        <w:autoSpaceDN w:val="0"/>
        <w:adjustRightInd w:val="0"/>
        <w:rPr>
          <w:rFonts w:eastAsia="HelenPro-Regular"/>
        </w:rPr>
      </w:pPr>
    </w:p>
    <w:p w:rsidR="00973EAF" w:rsidRPr="00973EAF" w:rsidRDefault="00B36577" w:rsidP="00973EAF">
      <w:pPr>
        <w:spacing w:after="43"/>
        <w:rPr>
          <w:i/>
          <w:color w:val="FF0000"/>
          <w:szCs w:val="15"/>
        </w:rPr>
      </w:pPr>
      <w:r w:rsidRPr="00AA7423">
        <w:rPr>
          <w:b/>
        </w:rPr>
        <w:t>Quality Control:</w:t>
      </w:r>
      <w:r w:rsidR="00CA11D0" w:rsidRPr="00AA7423">
        <w:t xml:space="preserve">  </w:t>
      </w:r>
      <w:r w:rsidR="000453C0" w:rsidRPr="00276040">
        <w:rPr>
          <w:rFonts w:eastAsia="HelenPro-Regular"/>
        </w:rPr>
        <w:t>1L79-10 ARCHITECT Anti-HCV Controls</w:t>
      </w:r>
      <w:r w:rsidR="000453C0" w:rsidRPr="00B54C79">
        <w:rPr>
          <w:rFonts w:eastAsia="HelenPro-Regular"/>
        </w:rPr>
        <w:t xml:space="preserve"> </w:t>
      </w:r>
      <w:r w:rsidR="00B54C79" w:rsidRPr="00B54C79">
        <w:rPr>
          <w:rFonts w:eastAsia="HelenPro-Regular"/>
        </w:rPr>
        <w:t>or other control material</w:t>
      </w:r>
    </w:p>
    <w:p w:rsidR="00A911E0" w:rsidRDefault="0025031C" w:rsidP="00E70BBC">
      <w:pPr>
        <w:rPr>
          <w:b/>
          <w:sz w:val="28"/>
          <w:szCs w:val="28"/>
        </w:rPr>
      </w:pPr>
      <w:r w:rsidRPr="00162EEA">
        <w:rPr>
          <w:b/>
          <w:szCs w:val="14"/>
        </w:rPr>
        <w:t xml:space="preserve"> </w:t>
      </w:r>
    </w:p>
    <w:p w:rsidR="00D60AFA" w:rsidRPr="00973EAF" w:rsidRDefault="00AE6F5B" w:rsidP="00D60AFA">
      <w:pPr>
        <w:spacing w:after="43"/>
        <w:rPr>
          <w:i/>
          <w:color w:val="FF0000"/>
          <w:szCs w:val="15"/>
        </w:rPr>
      </w:pPr>
      <w:r w:rsidRPr="007E4CE6">
        <w:rPr>
          <w:b/>
          <w:sz w:val="28"/>
          <w:szCs w:val="28"/>
        </w:rPr>
        <w:t>Calibration</w:t>
      </w:r>
      <w:r w:rsidR="00D60AFA">
        <w:rPr>
          <w:b/>
          <w:sz w:val="28"/>
          <w:szCs w:val="28"/>
        </w:rPr>
        <w:t xml:space="preserve"> </w:t>
      </w:r>
    </w:p>
    <w:p w:rsidR="00AE6F5B" w:rsidRDefault="00AE6F5B" w:rsidP="00AE6F5B">
      <w:pPr>
        <w:rPr>
          <w:b/>
          <w:sz w:val="28"/>
          <w:szCs w:val="28"/>
        </w:rPr>
      </w:pPr>
    </w:p>
    <w:p w:rsidR="00644800" w:rsidRPr="00B36577" w:rsidRDefault="00644800" w:rsidP="00644800">
      <w:pPr>
        <w:ind w:firstLine="720"/>
        <w:rPr>
          <w:b/>
        </w:rPr>
      </w:pPr>
      <w:r w:rsidRPr="00B36577">
        <w:rPr>
          <w:b/>
        </w:rPr>
        <w:lastRenderedPageBreak/>
        <w:t xml:space="preserve">Frequency:  </w:t>
      </w:r>
    </w:p>
    <w:p w:rsidR="00CC3D62" w:rsidRDefault="00D70A7B" w:rsidP="00E4787B">
      <w:pPr>
        <w:autoSpaceDE w:val="0"/>
        <w:autoSpaceDN w:val="0"/>
        <w:adjustRightInd w:val="0"/>
        <w:ind w:left="720"/>
        <w:rPr>
          <w:rFonts w:ascii="HelenPro-Regular" w:hAnsi="HelenPro-Regular" w:cs="HelenPro-Regular"/>
          <w:sz w:val="16"/>
          <w:szCs w:val="16"/>
        </w:rPr>
      </w:pPr>
      <w:r>
        <w:t>Recalibration is required with each new reagent lot number.</w:t>
      </w:r>
    </w:p>
    <w:p w:rsidR="0055619E" w:rsidRDefault="0055619E" w:rsidP="00CC3D62">
      <w:pPr>
        <w:autoSpaceDE w:val="0"/>
        <w:autoSpaceDN w:val="0"/>
        <w:adjustRightInd w:val="0"/>
        <w:ind w:left="720"/>
        <w:rPr>
          <w:b/>
          <w:highlight w:val="cyan"/>
        </w:rPr>
      </w:pPr>
    </w:p>
    <w:p w:rsidR="00CC3D62" w:rsidRPr="0055619E" w:rsidRDefault="00CC3D62" w:rsidP="00CC3D62">
      <w:pPr>
        <w:autoSpaceDE w:val="0"/>
        <w:autoSpaceDN w:val="0"/>
        <w:adjustRightInd w:val="0"/>
        <w:ind w:left="720"/>
        <w:rPr>
          <w:b/>
        </w:rPr>
      </w:pPr>
      <w:r w:rsidRPr="0055619E">
        <w:rPr>
          <w:b/>
        </w:rPr>
        <w:t>A new calibration is required:</w:t>
      </w:r>
    </w:p>
    <w:p w:rsidR="00CC3D62" w:rsidRPr="0055619E" w:rsidRDefault="00CC3D62" w:rsidP="00CC3D62">
      <w:pPr>
        <w:autoSpaceDE w:val="0"/>
        <w:autoSpaceDN w:val="0"/>
        <w:adjustRightInd w:val="0"/>
        <w:ind w:left="720"/>
        <w:rPr>
          <w:b/>
        </w:rPr>
      </w:pPr>
    </w:p>
    <w:p w:rsidR="0056023B" w:rsidRDefault="0056023B" w:rsidP="0056023B">
      <w:pPr>
        <w:numPr>
          <w:ilvl w:val="0"/>
          <w:numId w:val="5"/>
        </w:numPr>
        <w:autoSpaceDE w:val="0"/>
        <w:autoSpaceDN w:val="0"/>
        <w:adjustRightInd w:val="0"/>
      </w:pPr>
      <w:r w:rsidRPr="0056023B">
        <w:rPr>
          <w:rFonts w:eastAsia="HelenPro-Regular"/>
        </w:rPr>
        <w:t>If quality control results do not meet acceptance criteria defined by your</w:t>
      </w:r>
      <w:r>
        <w:t xml:space="preserve"> </w:t>
      </w:r>
      <w:r w:rsidRPr="0056023B">
        <w:rPr>
          <w:rFonts w:eastAsia="HelenPro-Regular"/>
        </w:rPr>
        <w:t>laboratory, patient values may be suspect. Follow the established quality</w:t>
      </w:r>
      <w:r>
        <w:t xml:space="preserve"> </w:t>
      </w:r>
      <w:r w:rsidRPr="0056023B">
        <w:rPr>
          <w:rFonts w:eastAsia="HelenPro-Regular"/>
        </w:rPr>
        <w:t>control procedures for your laboratory. Recalibration may be necessary.</w:t>
      </w:r>
    </w:p>
    <w:p w:rsidR="00CC3D62" w:rsidRPr="0056023B" w:rsidRDefault="0056023B" w:rsidP="00912FE4">
      <w:pPr>
        <w:numPr>
          <w:ilvl w:val="0"/>
          <w:numId w:val="5"/>
        </w:numPr>
        <w:autoSpaceDE w:val="0"/>
        <w:autoSpaceDN w:val="0"/>
        <w:adjustRightInd w:val="0"/>
      </w:pPr>
      <w:r w:rsidRPr="0056023B">
        <w:rPr>
          <w:rFonts w:eastAsia="HelenPro-Regular"/>
        </w:rPr>
        <w:t>Review quality control results and acceptance criteria following a</w:t>
      </w:r>
      <w:r w:rsidR="00912FE4">
        <w:t xml:space="preserve"> </w:t>
      </w:r>
      <w:r w:rsidRPr="00912FE4">
        <w:rPr>
          <w:rFonts w:eastAsia="HelenPro-Regular"/>
        </w:rPr>
        <w:t>change of reagent or calibrator lot.</w:t>
      </w:r>
    </w:p>
    <w:p w:rsidR="00CC3D62" w:rsidRPr="00924B1D" w:rsidRDefault="00CC3D62" w:rsidP="00E4787B">
      <w:pPr>
        <w:autoSpaceDE w:val="0"/>
        <w:autoSpaceDN w:val="0"/>
        <w:adjustRightInd w:val="0"/>
        <w:ind w:left="720"/>
      </w:pPr>
    </w:p>
    <w:p w:rsidR="002056B4" w:rsidRDefault="005E3AB5" w:rsidP="002056B4">
      <w:pPr>
        <w:autoSpaceDE w:val="0"/>
        <w:autoSpaceDN w:val="0"/>
        <w:adjustRightInd w:val="0"/>
        <w:rPr>
          <w:rFonts w:eastAsia="HelenPro-Regular"/>
        </w:rPr>
      </w:pPr>
      <w:r w:rsidRPr="007E4CE6">
        <w:rPr>
          <w:b/>
        </w:rPr>
        <w:t>Calibrator Required:</w:t>
      </w:r>
      <w:r w:rsidRPr="007E4CE6">
        <w:t xml:space="preserve">  </w:t>
      </w:r>
      <w:r w:rsidR="000453C0" w:rsidRPr="00276040">
        <w:rPr>
          <w:rFonts w:eastAsia="HelenPro-Regular"/>
        </w:rPr>
        <w:t>1L79-01 ARCHITECT Anti-HCV Calibrator</w:t>
      </w:r>
    </w:p>
    <w:p w:rsidR="00236ADE" w:rsidRPr="00236ADE" w:rsidRDefault="00236ADE" w:rsidP="00236ADE">
      <w:pPr>
        <w:autoSpaceDE w:val="0"/>
        <w:autoSpaceDN w:val="0"/>
        <w:adjustRightInd w:val="0"/>
        <w:ind w:left="720"/>
        <w:rPr>
          <w:rFonts w:eastAsia="HelenPro-Regular"/>
        </w:rPr>
      </w:pPr>
      <w:r w:rsidRPr="00236ADE">
        <w:rPr>
          <w:rFonts w:eastAsia="HelenPro-Regular"/>
        </w:rPr>
        <w:t xml:space="preserve">The ARCHITECT </w:t>
      </w:r>
      <w:proofErr w:type="spellStart"/>
      <w:r w:rsidRPr="00236ADE">
        <w:rPr>
          <w:rFonts w:eastAsia="HelenPro-Regular"/>
          <w:i/>
          <w:iCs/>
        </w:rPr>
        <w:t>i</w:t>
      </w:r>
      <w:proofErr w:type="spellEnd"/>
      <w:r w:rsidRPr="00236ADE">
        <w:rPr>
          <w:rFonts w:eastAsia="HelenPro-Regular"/>
          <w:i/>
          <w:iCs/>
        </w:rPr>
        <w:t xml:space="preserve"> </w:t>
      </w:r>
      <w:r w:rsidRPr="00236ADE">
        <w:rPr>
          <w:rFonts w:eastAsia="HelenPro-Regular"/>
        </w:rPr>
        <w:t>System calculates the cu</w:t>
      </w:r>
      <w:r>
        <w:rPr>
          <w:rFonts w:eastAsia="HelenPro-Regular"/>
        </w:rPr>
        <w:t xml:space="preserve">toff Relative Light Units (RLU) </w:t>
      </w:r>
      <w:r w:rsidRPr="00236ADE">
        <w:rPr>
          <w:rFonts w:eastAsia="HelenPro-Regular"/>
        </w:rPr>
        <w:t xml:space="preserve">from the mean </w:t>
      </w:r>
      <w:proofErr w:type="spellStart"/>
      <w:r w:rsidRPr="00236ADE">
        <w:rPr>
          <w:rFonts w:eastAsia="HelenPro-Regular"/>
        </w:rPr>
        <w:t>chemiluminescent</w:t>
      </w:r>
      <w:proofErr w:type="spellEnd"/>
      <w:r w:rsidRPr="00236ADE">
        <w:rPr>
          <w:rFonts w:eastAsia="HelenPro-Regular"/>
        </w:rPr>
        <w:t xml:space="preserve"> signal of three Anti-HCV Calibrator 1</w:t>
      </w:r>
      <w:r>
        <w:rPr>
          <w:rFonts w:eastAsia="HelenPro-Regular"/>
        </w:rPr>
        <w:t xml:space="preserve"> </w:t>
      </w:r>
      <w:r w:rsidRPr="00236ADE">
        <w:rPr>
          <w:rFonts w:eastAsia="HelenPro-Regular"/>
        </w:rPr>
        <w:t>replicates. The acceptability of the calibration is assessed against a</w:t>
      </w:r>
      <w:r>
        <w:rPr>
          <w:rFonts w:eastAsia="HelenPro-Regular"/>
        </w:rPr>
        <w:t xml:space="preserve"> </w:t>
      </w:r>
      <w:r w:rsidRPr="00236ADE">
        <w:rPr>
          <w:rFonts w:eastAsia="HelenPro-Regular"/>
        </w:rPr>
        <w:t>parameter. If the calibration is acceptable, the cutoff RLU is calculated by</w:t>
      </w:r>
      <w:r>
        <w:rPr>
          <w:rFonts w:eastAsia="HelenPro-Regular"/>
        </w:rPr>
        <w:t xml:space="preserve"> </w:t>
      </w:r>
      <w:r w:rsidRPr="00236ADE">
        <w:rPr>
          <w:rFonts w:eastAsia="HelenPro-Regular"/>
        </w:rPr>
        <w:t>multiplying the Anti-HCV Calibrator 1 mean RLU by 0.074.</w:t>
      </w:r>
    </w:p>
    <w:p w:rsidR="00236ADE" w:rsidRPr="00236ADE" w:rsidRDefault="00236ADE" w:rsidP="00236ADE">
      <w:pPr>
        <w:autoSpaceDE w:val="0"/>
        <w:autoSpaceDN w:val="0"/>
        <w:adjustRightInd w:val="0"/>
        <w:ind w:left="720" w:firstLine="720"/>
        <w:rPr>
          <w:rFonts w:eastAsia="HelenPro-Regular"/>
        </w:rPr>
      </w:pPr>
      <w:r w:rsidRPr="00236ADE">
        <w:rPr>
          <w:rFonts w:eastAsia="HelenPro-Regular"/>
        </w:rPr>
        <w:t>Cutoff RLU = Calibrator 1 Mean RLU x 0.074</w:t>
      </w:r>
    </w:p>
    <w:p w:rsidR="00340B1A" w:rsidRPr="00236ADE" w:rsidRDefault="00236ADE" w:rsidP="00236ADE">
      <w:pPr>
        <w:autoSpaceDE w:val="0"/>
        <w:autoSpaceDN w:val="0"/>
        <w:adjustRightInd w:val="0"/>
        <w:ind w:left="720"/>
        <w:rPr>
          <w:rFonts w:eastAsia="HelenPro-Regular"/>
        </w:rPr>
      </w:pPr>
      <w:r w:rsidRPr="00236ADE">
        <w:rPr>
          <w:rFonts w:eastAsia="HelenPro-Regular"/>
        </w:rPr>
        <w:t xml:space="preserve">The acceptable calibration is stored by the ARCHITECT </w:t>
      </w:r>
      <w:proofErr w:type="spellStart"/>
      <w:r w:rsidRPr="00236ADE">
        <w:rPr>
          <w:rFonts w:eastAsia="HelenPro-Regular"/>
          <w:i/>
          <w:iCs/>
        </w:rPr>
        <w:t>i</w:t>
      </w:r>
      <w:proofErr w:type="spellEnd"/>
      <w:r w:rsidRPr="00236ADE">
        <w:rPr>
          <w:rFonts w:eastAsia="HelenPro-Regular"/>
          <w:i/>
          <w:iCs/>
        </w:rPr>
        <w:t xml:space="preserve"> </w:t>
      </w:r>
      <w:r>
        <w:rPr>
          <w:rFonts w:eastAsia="HelenPro-Regular"/>
        </w:rPr>
        <w:t xml:space="preserve">System for use </w:t>
      </w:r>
      <w:r w:rsidRPr="00236ADE">
        <w:rPr>
          <w:rFonts w:eastAsia="HelenPro-Regular"/>
        </w:rPr>
        <w:t>with any reagent kit of that lot. The calibration should be used in conjunction</w:t>
      </w:r>
      <w:r>
        <w:rPr>
          <w:rFonts w:eastAsia="HelenPro-Regular"/>
        </w:rPr>
        <w:t xml:space="preserve"> </w:t>
      </w:r>
      <w:r w:rsidRPr="00236ADE">
        <w:rPr>
          <w:rFonts w:eastAsia="HelenPro-Regular"/>
        </w:rPr>
        <w:t>with control ranges to determine the validity of the calibration.</w:t>
      </w:r>
    </w:p>
    <w:p w:rsidR="007966D6" w:rsidRDefault="007966D6" w:rsidP="004F5F8A">
      <w:pPr>
        <w:ind w:firstLine="720"/>
        <w:rPr>
          <w:b/>
        </w:rPr>
      </w:pPr>
    </w:p>
    <w:p w:rsidR="0025031C" w:rsidRPr="00236ADE" w:rsidRDefault="0025031C" w:rsidP="004F5F8A">
      <w:pPr>
        <w:ind w:firstLine="720"/>
        <w:rPr>
          <w:b/>
        </w:rPr>
      </w:pPr>
      <w:r w:rsidRPr="00236ADE">
        <w:rPr>
          <w:b/>
        </w:rPr>
        <w:t>Reagents:</w:t>
      </w:r>
    </w:p>
    <w:p w:rsidR="005F4FCB" w:rsidRPr="00340B1A" w:rsidRDefault="00236ADE" w:rsidP="00236ADE">
      <w:pPr>
        <w:autoSpaceDE w:val="0"/>
        <w:autoSpaceDN w:val="0"/>
        <w:adjustRightInd w:val="0"/>
        <w:ind w:left="720"/>
        <w:rPr>
          <w:rFonts w:eastAsia="HelenPro-Regular"/>
        </w:rPr>
      </w:pPr>
      <w:r w:rsidRPr="00236ADE">
        <w:rPr>
          <w:rFonts w:eastAsia="HelenPro-Regular"/>
        </w:rPr>
        <w:t>1 Bottle (4 mL) ARCHITECT Anti-HCV C</w:t>
      </w:r>
      <w:r>
        <w:rPr>
          <w:rFonts w:eastAsia="HelenPro-Regular"/>
        </w:rPr>
        <w:t xml:space="preserve">alibrator 1 is </w:t>
      </w:r>
      <w:proofErr w:type="spellStart"/>
      <w:r>
        <w:rPr>
          <w:rFonts w:eastAsia="HelenPro-Regular"/>
        </w:rPr>
        <w:t>recalcified</w:t>
      </w:r>
      <w:proofErr w:type="spellEnd"/>
      <w:r>
        <w:rPr>
          <w:rFonts w:eastAsia="HelenPro-Regular"/>
        </w:rPr>
        <w:t xml:space="preserve">, </w:t>
      </w:r>
      <w:r w:rsidRPr="00236ADE">
        <w:rPr>
          <w:rFonts w:eastAsia="HelenPro-Regular"/>
        </w:rPr>
        <w:t xml:space="preserve">heat-inactivated anti-HCV positive human plasma in </w:t>
      </w:r>
      <w:proofErr w:type="spellStart"/>
      <w:r w:rsidRPr="00236ADE">
        <w:rPr>
          <w:rFonts w:eastAsia="HelenPro-Regular"/>
        </w:rPr>
        <w:t>recalcified</w:t>
      </w:r>
      <w:proofErr w:type="spellEnd"/>
      <w:r w:rsidRPr="00236ADE">
        <w:rPr>
          <w:rFonts w:eastAsia="HelenPro-Regular"/>
        </w:rPr>
        <w:t xml:space="preserve"> anti-HCV</w:t>
      </w:r>
      <w:r>
        <w:rPr>
          <w:rFonts w:eastAsia="HelenPro-Regular"/>
        </w:rPr>
        <w:t xml:space="preserve"> </w:t>
      </w:r>
      <w:r w:rsidRPr="00236ADE">
        <w:rPr>
          <w:rFonts w:eastAsia="HelenPro-Regular"/>
        </w:rPr>
        <w:t>negative human plasma. Calibrator 1 is green and contains Acid Yellow</w:t>
      </w:r>
      <w:r>
        <w:rPr>
          <w:rFonts w:eastAsia="HelenPro-Regular"/>
        </w:rPr>
        <w:t xml:space="preserve"> </w:t>
      </w:r>
      <w:r w:rsidRPr="00236ADE">
        <w:rPr>
          <w:rFonts w:eastAsia="HelenPro-Regular"/>
        </w:rPr>
        <w:t xml:space="preserve">No. 23 and Acid Blue No. 9 dyes. Preservative: sodium </w:t>
      </w:r>
      <w:proofErr w:type="spellStart"/>
      <w:r w:rsidRPr="00236ADE">
        <w:rPr>
          <w:rFonts w:eastAsia="HelenPro-Regular"/>
        </w:rPr>
        <w:t>azide</w:t>
      </w:r>
      <w:proofErr w:type="spellEnd"/>
      <w:r w:rsidRPr="00236ADE">
        <w:rPr>
          <w:rFonts w:eastAsia="HelenPro-Regular"/>
        </w:rPr>
        <w:t>.</w:t>
      </w:r>
    </w:p>
    <w:p w:rsidR="005F4FCB" w:rsidRPr="00A911E0" w:rsidRDefault="005F4FCB" w:rsidP="00F3700B">
      <w:pPr>
        <w:ind w:left="720"/>
        <w:rPr>
          <w:b/>
        </w:rPr>
      </w:pPr>
    </w:p>
    <w:p w:rsidR="00236ADE" w:rsidRDefault="00236ADE" w:rsidP="00F3700B">
      <w:pPr>
        <w:ind w:left="720"/>
        <w:rPr>
          <w:b/>
        </w:rPr>
      </w:pPr>
    </w:p>
    <w:p w:rsidR="00F3700B" w:rsidRPr="005F4FCB" w:rsidRDefault="0037463A" w:rsidP="00F3700B">
      <w:pPr>
        <w:ind w:left="720"/>
      </w:pPr>
      <w:r w:rsidRPr="005F4FCB">
        <w:rPr>
          <w:b/>
        </w:rPr>
        <w:t xml:space="preserve">Calibrator Preparation: </w:t>
      </w:r>
    </w:p>
    <w:p w:rsidR="00041A33" w:rsidRPr="005F4FCB" w:rsidRDefault="00871834" w:rsidP="00AD402C">
      <w:pPr>
        <w:ind w:firstLine="720"/>
        <w:rPr>
          <w:b/>
        </w:rPr>
      </w:pPr>
      <w:r w:rsidRPr="005F4FCB">
        <w:rPr>
          <w:rFonts w:eastAsia="HelenPro-Regular"/>
        </w:rPr>
        <w:t>The calibrator is liquid ready-to-use. No preparation is required.</w:t>
      </w:r>
    </w:p>
    <w:p w:rsidR="00871834" w:rsidRPr="005F4FCB" w:rsidRDefault="00871834" w:rsidP="00AD402C">
      <w:pPr>
        <w:ind w:firstLine="720"/>
        <w:rPr>
          <w:b/>
        </w:rPr>
      </w:pPr>
    </w:p>
    <w:p w:rsidR="005F4FCB" w:rsidRDefault="0025031C" w:rsidP="005F4FCB">
      <w:pPr>
        <w:ind w:firstLine="720"/>
        <w:rPr>
          <w:b/>
        </w:rPr>
      </w:pPr>
      <w:r w:rsidRPr="005F4FCB">
        <w:rPr>
          <w:b/>
        </w:rPr>
        <w:t>Calibration Procedure:</w:t>
      </w:r>
      <w:r w:rsidR="0006502B" w:rsidRPr="005F4FCB">
        <w:rPr>
          <w:b/>
        </w:rPr>
        <w:t xml:space="preserve"> </w:t>
      </w:r>
    </w:p>
    <w:p w:rsidR="000A37B5" w:rsidRPr="000A37B5" w:rsidRDefault="000A37B5" w:rsidP="000A37B5">
      <w:pPr>
        <w:autoSpaceDE w:val="0"/>
        <w:autoSpaceDN w:val="0"/>
        <w:adjustRightInd w:val="0"/>
        <w:ind w:left="720"/>
        <w:rPr>
          <w:rFonts w:eastAsia="HelenPro-Regular"/>
        </w:rPr>
      </w:pPr>
      <w:r w:rsidRPr="000A37B5">
        <w:rPr>
          <w:rFonts w:eastAsia="HelenPro-Regular"/>
        </w:rPr>
        <w:t xml:space="preserve">To perform a calibration, test ARCHITECT </w:t>
      </w:r>
      <w:r w:rsidR="000453C0">
        <w:rPr>
          <w:rFonts w:eastAsia="HelenPro-Regular"/>
        </w:rPr>
        <w:t>Anti-HCV</w:t>
      </w:r>
      <w:r w:rsidR="000453C0" w:rsidRPr="00E70BBC">
        <w:rPr>
          <w:rFonts w:eastAsia="HelenPro-Regular"/>
        </w:rPr>
        <w:t xml:space="preserve"> </w:t>
      </w:r>
      <w:r w:rsidRPr="000A37B5">
        <w:rPr>
          <w:rFonts w:eastAsia="HelenPro-Regular"/>
        </w:rPr>
        <w:t xml:space="preserve">Calibrators </w:t>
      </w:r>
      <w:r w:rsidR="000453C0">
        <w:rPr>
          <w:rFonts w:eastAsia="HelenPro-Regular"/>
        </w:rPr>
        <w:t>1 in triplicate</w:t>
      </w:r>
      <w:r w:rsidRPr="000A37B5">
        <w:rPr>
          <w:rFonts w:eastAsia="HelenPro-Regular"/>
        </w:rPr>
        <w:t>. The calibrators should be priority loaded.</w:t>
      </w:r>
    </w:p>
    <w:p w:rsidR="000A37B5" w:rsidRPr="000A37B5" w:rsidRDefault="000A37B5" w:rsidP="000A37B5">
      <w:pPr>
        <w:autoSpaceDE w:val="0"/>
        <w:autoSpaceDN w:val="0"/>
        <w:adjustRightInd w:val="0"/>
        <w:ind w:left="720"/>
        <w:rPr>
          <w:rFonts w:eastAsia="HelenPro-Regular"/>
        </w:rPr>
      </w:pPr>
      <w:r w:rsidRPr="000A37B5">
        <w:rPr>
          <w:rFonts w:eastAsia="HelenPro-Bold"/>
          <w:b/>
          <w:bCs/>
        </w:rPr>
        <w:t xml:space="preserve">• </w:t>
      </w:r>
      <w:r w:rsidRPr="000A37B5">
        <w:rPr>
          <w:rFonts w:eastAsia="HelenPro-Regular"/>
        </w:rPr>
        <w:t>A single sample of each control level must be tested to evaluate the assay</w:t>
      </w:r>
      <w:r>
        <w:rPr>
          <w:rFonts w:eastAsia="HelenPro-Regular"/>
        </w:rPr>
        <w:t xml:space="preserve"> </w:t>
      </w:r>
      <w:r w:rsidRPr="000A37B5">
        <w:rPr>
          <w:rFonts w:eastAsia="HelenPro-Regular"/>
        </w:rPr>
        <w:t>calibration.</w:t>
      </w:r>
    </w:p>
    <w:p w:rsidR="000A37B5" w:rsidRPr="000A37B5" w:rsidRDefault="000A37B5" w:rsidP="000A37B5">
      <w:pPr>
        <w:autoSpaceDE w:val="0"/>
        <w:autoSpaceDN w:val="0"/>
        <w:adjustRightInd w:val="0"/>
        <w:ind w:left="720"/>
        <w:rPr>
          <w:rFonts w:eastAsia="HelenPro-Regular"/>
        </w:rPr>
      </w:pPr>
      <w:r w:rsidRPr="000A37B5">
        <w:rPr>
          <w:rFonts w:eastAsia="HelenPro-Bold"/>
          <w:b/>
          <w:bCs/>
        </w:rPr>
        <w:t xml:space="preserve">• </w:t>
      </w:r>
      <w:r w:rsidRPr="000A37B5">
        <w:rPr>
          <w:rFonts w:eastAsia="HelenPro-Regular"/>
        </w:rPr>
        <w:t>Order controls as described above.</w:t>
      </w:r>
    </w:p>
    <w:p w:rsidR="000A37B5" w:rsidRPr="000A37B5" w:rsidRDefault="000A37B5" w:rsidP="000A37B5">
      <w:pPr>
        <w:autoSpaceDE w:val="0"/>
        <w:autoSpaceDN w:val="0"/>
        <w:adjustRightInd w:val="0"/>
        <w:ind w:left="720"/>
        <w:rPr>
          <w:rFonts w:eastAsia="HelenPro-Regular"/>
        </w:rPr>
      </w:pPr>
      <w:r w:rsidRPr="000A37B5">
        <w:rPr>
          <w:rFonts w:eastAsia="HelenPro-Bold"/>
          <w:b/>
          <w:bCs/>
        </w:rPr>
        <w:t xml:space="preserve">• </w:t>
      </w:r>
      <w:r w:rsidRPr="000A37B5">
        <w:rPr>
          <w:rFonts w:eastAsia="HelenPro-Regular"/>
        </w:rPr>
        <w:t>Ensure that assay control values are within the concentration ranges</w:t>
      </w:r>
      <w:r>
        <w:rPr>
          <w:rFonts w:eastAsia="HelenPro-Regular"/>
        </w:rPr>
        <w:t xml:space="preserve"> </w:t>
      </w:r>
      <w:r w:rsidRPr="000A37B5">
        <w:rPr>
          <w:rFonts w:eastAsia="HelenPro-Regular"/>
        </w:rPr>
        <w:t>specified in the control package insert.</w:t>
      </w:r>
    </w:p>
    <w:p w:rsidR="005F4FCB" w:rsidRDefault="005F4FCB" w:rsidP="0055619E">
      <w:pPr>
        <w:ind w:left="720"/>
        <w:rPr>
          <w:b/>
          <w:bCs/>
        </w:rPr>
      </w:pPr>
    </w:p>
    <w:p w:rsidR="00AF597C" w:rsidRPr="0055619E" w:rsidRDefault="00AF597C" w:rsidP="0055619E">
      <w:pPr>
        <w:ind w:left="720"/>
        <w:rPr>
          <w:b/>
          <w:bCs/>
        </w:rPr>
      </w:pPr>
      <w:r w:rsidRPr="0055619E">
        <w:rPr>
          <w:b/>
          <w:bCs/>
        </w:rPr>
        <w:t>Troubleshooting and Overall Acceptance Criteria Failure</w:t>
      </w:r>
    </w:p>
    <w:p w:rsidR="00AF597C" w:rsidRPr="0055619E" w:rsidRDefault="00AF597C" w:rsidP="00AF597C">
      <w:pPr>
        <w:ind w:left="900"/>
        <w:rPr>
          <w:bCs/>
        </w:rPr>
      </w:pPr>
    </w:p>
    <w:p w:rsidR="00AF597C" w:rsidRPr="00AF597C" w:rsidRDefault="0055619E" w:rsidP="00AF597C">
      <w:pPr>
        <w:ind w:left="720"/>
        <w:rPr>
          <w:rFonts w:ascii="Arial" w:hAnsi="Arial" w:cs="Arial"/>
          <w:bCs/>
          <w:highlight w:val="cyan"/>
        </w:rPr>
      </w:pPr>
      <w:r w:rsidRPr="0055619E">
        <w:rPr>
          <w:bCs/>
        </w:rPr>
        <w:t>See ARCHITECT Operations Manual for further calibration troubleshooting.</w:t>
      </w:r>
    </w:p>
    <w:p w:rsidR="0055619E" w:rsidRDefault="0055619E" w:rsidP="004F5F8A">
      <w:pPr>
        <w:ind w:left="720"/>
      </w:pPr>
    </w:p>
    <w:p w:rsidR="00912FE4" w:rsidRDefault="00912FE4" w:rsidP="0025031C">
      <w:pPr>
        <w:rPr>
          <w:b/>
          <w:sz w:val="28"/>
          <w:szCs w:val="28"/>
        </w:rPr>
      </w:pPr>
    </w:p>
    <w:p w:rsidR="00D60AFA" w:rsidRDefault="0025031C" w:rsidP="00D60AFA">
      <w:pPr>
        <w:spacing w:after="43"/>
        <w:rPr>
          <w:b/>
          <w:sz w:val="28"/>
          <w:szCs w:val="28"/>
        </w:rPr>
      </w:pPr>
      <w:r w:rsidRPr="00353FD5">
        <w:rPr>
          <w:b/>
          <w:sz w:val="28"/>
          <w:szCs w:val="28"/>
        </w:rPr>
        <w:t>Quality Control:</w:t>
      </w:r>
      <w:r w:rsidR="00D60AFA">
        <w:rPr>
          <w:b/>
          <w:sz w:val="28"/>
          <w:szCs w:val="28"/>
        </w:rPr>
        <w:t xml:space="preserve"> </w:t>
      </w:r>
    </w:p>
    <w:p w:rsidR="00E8215F" w:rsidRPr="005F4FCB" w:rsidRDefault="002056B4" w:rsidP="005F4FCB">
      <w:pPr>
        <w:autoSpaceDE w:val="0"/>
        <w:autoSpaceDN w:val="0"/>
        <w:adjustRightInd w:val="0"/>
        <w:rPr>
          <w:rFonts w:eastAsia="HelenPro-Regular"/>
          <w:color w:val="080808"/>
        </w:rPr>
      </w:pPr>
      <w:r w:rsidRPr="005F4FCB">
        <w:rPr>
          <w:rFonts w:eastAsia="HelenPro-Regular"/>
          <w:color w:val="080808"/>
        </w:rPr>
        <w:t xml:space="preserve">The ARCHITECT </w:t>
      </w:r>
      <w:r w:rsidR="000453C0">
        <w:rPr>
          <w:rFonts w:eastAsia="HelenPro-Regular"/>
        </w:rPr>
        <w:t>Anti-HCV</w:t>
      </w:r>
      <w:r w:rsidR="000453C0" w:rsidRPr="00E70BBC">
        <w:rPr>
          <w:rFonts w:eastAsia="HelenPro-Regular"/>
        </w:rPr>
        <w:t xml:space="preserve"> </w:t>
      </w:r>
      <w:r w:rsidRPr="005F4FCB">
        <w:rPr>
          <w:rFonts w:eastAsia="HelenPro-Regular"/>
          <w:color w:val="080808"/>
        </w:rPr>
        <w:t xml:space="preserve">Controls </w:t>
      </w:r>
      <w:r w:rsidR="005F4FCB">
        <w:rPr>
          <w:rFonts w:eastAsia="HelenPro-Regular"/>
          <w:color w:val="080808"/>
        </w:rPr>
        <w:t xml:space="preserve">are in a serum matrix made from </w:t>
      </w:r>
      <w:proofErr w:type="spellStart"/>
      <w:r w:rsidRPr="005F4FCB">
        <w:rPr>
          <w:rFonts w:eastAsia="HelenPro-Regular"/>
          <w:color w:val="080808"/>
        </w:rPr>
        <w:t>recalcified</w:t>
      </w:r>
      <w:proofErr w:type="spellEnd"/>
      <w:r w:rsidRPr="005F4FCB">
        <w:rPr>
          <w:rFonts w:eastAsia="HelenPro-Regular"/>
          <w:color w:val="080808"/>
        </w:rPr>
        <w:t xml:space="preserve"> plasma.</w:t>
      </w:r>
    </w:p>
    <w:p w:rsidR="00F3700B" w:rsidRPr="00F3700B" w:rsidRDefault="00F3700B" w:rsidP="00F3700B">
      <w:pPr>
        <w:autoSpaceDE w:val="0"/>
        <w:autoSpaceDN w:val="0"/>
        <w:adjustRightInd w:val="0"/>
        <w:ind w:left="720"/>
        <w:rPr>
          <w:rFonts w:eastAsia="HelenPro-Regular"/>
        </w:rPr>
      </w:pPr>
      <w:r>
        <w:rPr>
          <w:rFonts w:eastAsia="HelenPro-Regular"/>
        </w:rPr>
        <w:lastRenderedPageBreak/>
        <w:t>Abbott recommends</w:t>
      </w:r>
      <w:r w:rsidRPr="00F3700B">
        <w:rPr>
          <w:rFonts w:eastAsia="HelenPro-Regular"/>
        </w:rPr>
        <w:t>, refer to your laboratory standard operating procedure(s)</w:t>
      </w:r>
      <w:r>
        <w:rPr>
          <w:rFonts w:eastAsia="HelenPro-Regular"/>
        </w:rPr>
        <w:t xml:space="preserve"> </w:t>
      </w:r>
      <w:r w:rsidRPr="00F3700B">
        <w:rPr>
          <w:rFonts w:eastAsia="HelenPro-Regular"/>
        </w:rPr>
        <w:t>and/or quality assurance plan for additional quality control requirements</w:t>
      </w:r>
      <w:r>
        <w:rPr>
          <w:rFonts w:eastAsia="HelenPro-Regular"/>
        </w:rPr>
        <w:t xml:space="preserve"> </w:t>
      </w:r>
      <w:r w:rsidRPr="00F3700B">
        <w:rPr>
          <w:rFonts w:eastAsia="HelenPro-Regular"/>
        </w:rPr>
        <w:t>and potential corrective actions:</w:t>
      </w:r>
    </w:p>
    <w:p w:rsidR="009F0CBD" w:rsidRPr="006A13AB" w:rsidRDefault="009F0CBD" w:rsidP="009F0CBD">
      <w:pPr>
        <w:autoSpaceDE w:val="0"/>
        <w:autoSpaceDN w:val="0"/>
        <w:adjustRightInd w:val="0"/>
        <w:ind w:firstLine="720"/>
        <w:rPr>
          <w:rFonts w:eastAsia="HelenPro-Regular"/>
        </w:rPr>
      </w:pPr>
      <w:r w:rsidRPr="006A13AB">
        <w:rPr>
          <w:rFonts w:eastAsia="HelenPro-Regular"/>
        </w:rPr>
        <w:t xml:space="preserve">• </w:t>
      </w:r>
      <w:r w:rsidR="002648A6">
        <w:rPr>
          <w:rFonts w:eastAsia="HelenPro-Regular"/>
        </w:rPr>
        <w:t>At a minimum a single level</w:t>
      </w:r>
      <w:r w:rsidRPr="006A13AB">
        <w:rPr>
          <w:rFonts w:eastAsia="HelenPro-Regular"/>
        </w:rPr>
        <w:t xml:space="preserve"> of quality control are to be run every 24 hours</w:t>
      </w:r>
    </w:p>
    <w:p w:rsidR="00F3700B" w:rsidRPr="00F3700B" w:rsidRDefault="009F0CBD" w:rsidP="00F3700B">
      <w:pPr>
        <w:autoSpaceDE w:val="0"/>
        <w:autoSpaceDN w:val="0"/>
        <w:adjustRightInd w:val="0"/>
        <w:ind w:left="720"/>
        <w:rPr>
          <w:rFonts w:eastAsia="HelenPro-Regular"/>
        </w:rPr>
      </w:pPr>
      <w:r w:rsidRPr="006A13AB">
        <w:rPr>
          <w:rFonts w:eastAsia="HelenPro-Regular"/>
        </w:rPr>
        <w:t xml:space="preserve">• </w:t>
      </w:r>
      <w:r w:rsidR="00F3700B" w:rsidRPr="00F3700B">
        <w:rPr>
          <w:rFonts w:eastAsia="HelenPro-Regular"/>
        </w:rPr>
        <w:t>If more frequent control monitoring is required, follow the established</w:t>
      </w:r>
      <w:r w:rsidR="00F3700B">
        <w:rPr>
          <w:rFonts w:eastAsia="HelenPro-Regular"/>
        </w:rPr>
        <w:t xml:space="preserve"> </w:t>
      </w:r>
      <w:r w:rsidR="00F3700B" w:rsidRPr="00F3700B">
        <w:rPr>
          <w:rFonts w:eastAsia="HelenPro-Regular"/>
        </w:rPr>
        <w:t>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 If quality control results do not meet the acceptance criteria</w:t>
      </w:r>
      <w:r>
        <w:rPr>
          <w:rFonts w:eastAsia="HelenPro-Regular"/>
        </w:rPr>
        <w:t xml:space="preserve"> </w:t>
      </w:r>
      <w:r w:rsidRPr="00F3700B">
        <w:rPr>
          <w:rFonts w:eastAsia="HelenPro-Regular"/>
        </w:rPr>
        <w:t>defined by your laboratory, patient values may be suspect. Follow</w:t>
      </w:r>
      <w:r>
        <w:rPr>
          <w:rFonts w:eastAsia="HelenPro-Regular"/>
        </w:rPr>
        <w:t xml:space="preserve"> </w:t>
      </w:r>
      <w:r w:rsidRPr="00F3700B">
        <w:rPr>
          <w:rFonts w:eastAsia="HelenPro-Regular"/>
        </w:rPr>
        <w:t>the established quality control procedures for your laboratory.</w:t>
      </w:r>
    </w:p>
    <w:p w:rsidR="00F3700B" w:rsidRPr="00F3700B" w:rsidRDefault="00F3700B" w:rsidP="00F3700B">
      <w:pPr>
        <w:autoSpaceDE w:val="0"/>
        <w:autoSpaceDN w:val="0"/>
        <w:adjustRightInd w:val="0"/>
        <w:ind w:left="720"/>
        <w:rPr>
          <w:rFonts w:eastAsia="HelenPro-Regular"/>
        </w:rPr>
      </w:pPr>
      <w:r w:rsidRPr="00F3700B">
        <w:rPr>
          <w:rFonts w:eastAsia="HelenPro-Regular"/>
        </w:rPr>
        <w:t>Recalibration may be necessary.</w:t>
      </w:r>
    </w:p>
    <w:p w:rsidR="00973EAF" w:rsidRPr="00F3700B" w:rsidRDefault="00F3700B" w:rsidP="00F3700B">
      <w:pPr>
        <w:autoSpaceDE w:val="0"/>
        <w:autoSpaceDN w:val="0"/>
        <w:adjustRightInd w:val="0"/>
        <w:ind w:left="720"/>
        <w:rPr>
          <w:rFonts w:eastAsia="HelenPro-Regular"/>
        </w:rPr>
      </w:pPr>
      <w:r w:rsidRPr="00F3700B">
        <w:rPr>
          <w:rFonts w:eastAsia="HelenPro-Regular"/>
        </w:rPr>
        <w:t>• Review quality control results and acceptance criteria following a</w:t>
      </w:r>
      <w:r>
        <w:rPr>
          <w:rFonts w:eastAsia="HelenPro-Regular"/>
        </w:rPr>
        <w:t xml:space="preserve"> </w:t>
      </w:r>
      <w:r w:rsidRPr="00F3700B">
        <w:rPr>
          <w:rFonts w:eastAsia="HelenPro-Regular"/>
        </w:rPr>
        <w:t>change of reagent or calibrator lot.</w:t>
      </w:r>
    </w:p>
    <w:p w:rsidR="005E48EE" w:rsidRDefault="005E48EE" w:rsidP="00F66836">
      <w:pPr>
        <w:rPr>
          <w:b/>
          <w:sz w:val="28"/>
          <w:szCs w:val="28"/>
        </w:rPr>
      </w:pPr>
    </w:p>
    <w:p w:rsidR="005F4FCB" w:rsidRDefault="005F4FCB" w:rsidP="00F66836">
      <w:pPr>
        <w:rPr>
          <w:b/>
          <w:sz w:val="28"/>
          <w:szCs w:val="28"/>
        </w:rPr>
      </w:pPr>
    </w:p>
    <w:p w:rsidR="002648A6" w:rsidRDefault="002648A6" w:rsidP="00F66836">
      <w:pPr>
        <w:rPr>
          <w:b/>
          <w:sz w:val="28"/>
          <w:szCs w:val="28"/>
        </w:rPr>
      </w:pPr>
      <w:r>
        <w:rPr>
          <w:b/>
          <w:sz w:val="28"/>
          <w:szCs w:val="28"/>
        </w:rPr>
        <w:t>Instrument Procedure</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 xml:space="preserve">The ARCHITECT </w:t>
      </w:r>
      <w:r w:rsidR="000453C0">
        <w:rPr>
          <w:rFonts w:eastAsia="HelenPro-Regular"/>
        </w:rPr>
        <w:t>Anti-HCV</w:t>
      </w:r>
      <w:r w:rsidR="000A37B5" w:rsidRPr="00E70BBC">
        <w:rPr>
          <w:rFonts w:eastAsia="HelenPro-Regular"/>
        </w:rPr>
        <w:t xml:space="preserve"> </w:t>
      </w:r>
      <w:r w:rsidRPr="003356DF">
        <w:rPr>
          <w:rFonts w:eastAsia="HelenPro-Regular"/>
        </w:rPr>
        <w:t xml:space="preserve">assay is designed for use on the ARCHITECT </w:t>
      </w:r>
      <w:proofErr w:type="spellStart"/>
      <w:r w:rsidRPr="003356DF">
        <w:rPr>
          <w:rFonts w:eastAsia="HelenPro-Bold"/>
          <w:i/>
          <w:iCs/>
        </w:rPr>
        <w:t>i</w:t>
      </w:r>
      <w:proofErr w:type="spellEnd"/>
      <w:r w:rsidRPr="003356DF">
        <w:rPr>
          <w:rFonts w:eastAsia="HelenPro-Bold"/>
          <w:i/>
          <w:iCs/>
        </w:rPr>
        <w:t xml:space="preserve"> </w:t>
      </w:r>
      <w:r w:rsidRPr="003356DF">
        <w:rPr>
          <w:rFonts w:eastAsia="HelenPro-Regular"/>
        </w:rPr>
        <w:t>System.</w:t>
      </w:r>
    </w:p>
    <w:p w:rsidR="003356DF" w:rsidRPr="00470CE6" w:rsidRDefault="003356DF" w:rsidP="00470CE6">
      <w:pPr>
        <w:pStyle w:val="ListParagraph"/>
        <w:numPr>
          <w:ilvl w:val="0"/>
          <w:numId w:val="18"/>
        </w:numPr>
        <w:autoSpaceDE w:val="0"/>
        <w:autoSpaceDN w:val="0"/>
        <w:adjustRightInd w:val="0"/>
        <w:rPr>
          <w:rFonts w:eastAsia="HelenPro-Regular"/>
        </w:rPr>
      </w:pPr>
      <w:r w:rsidRPr="00470CE6">
        <w:rPr>
          <w:rFonts w:eastAsia="HelenPro-Regular"/>
        </w:rPr>
        <w:t xml:space="preserve">The ARCHITECT </w:t>
      </w:r>
      <w:r w:rsidR="000453C0">
        <w:rPr>
          <w:rFonts w:eastAsia="HelenPro-Regular"/>
        </w:rPr>
        <w:t>Anti-HCV</w:t>
      </w:r>
      <w:r w:rsidR="000453C0" w:rsidRPr="00E70BBC">
        <w:rPr>
          <w:rFonts w:eastAsia="HelenPro-Regular"/>
        </w:rPr>
        <w:t xml:space="preserve"> </w:t>
      </w:r>
      <w:r w:rsidRPr="00470CE6">
        <w:rPr>
          <w:rFonts w:eastAsia="HelenPro-Regular"/>
        </w:rPr>
        <w:t xml:space="preserve">assay file must be installed on the ARCHITECT </w:t>
      </w:r>
      <w:proofErr w:type="spellStart"/>
      <w:r w:rsidRPr="00470CE6">
        <w:rPr>
          <w:rFonts w:eastAsia="HelenPro-Bold"/>
          <w:i/>
          <w:iCs/>
        </w:rPr>
        <w:t>i</w:t>
      </w:r>
      <w:proofErr w:type="spellEnd"/>
      <w:r w:rsidRPr="00470CE6">
        <w:rPr>
          <w:rFonts w:eastAsia="HelenPro-Bold"/>
          <w:i/>
          <w:iCs/>
        </w:rPr>
        <w:t xml:space="preserve"> </w:t>
      </w:r>
      <w:r w:rsidRPr="00470CE6">
        <w:rPr>
          <w:rFonts w:eastAsia="HelenPro-Regular"/>
        </w:rPr>
        <w:t xml:space="preserve">System </w:t>
      </w:r>
      <w:r w:rsidR="00470CE6" w:rsidRPr="00470CE6">
        <w:rPr>
          <w:rFonts w:eastAsia="HelenPro-Regular"/>
        </w:rPr>
        <w:t xml:space="preserve">from an ARCHITECT </w:t>
      </w:r>
      <w:proofErr w:type="spellStart"/>
      <w:r w:rsidR="00470CE6" w:rsidRPr="00470CE6">
        <w:rPr>
          <w:rFonts w:eastAsia="HelenPro-Regular"/>
          <w:i/>
          <w:iCs/>
        </w:rPr>
        <w:t>i</w:t>
      </w:r>
      <w:proofErr w:type="spellEnd"/>
      <w:r w:rsidR="00470CE6" w:rsidRPr="00470CE6">
        <w:rPr>
          <w:rFonts w:eastAsia="HelenPro-Regular"/>
          <w:i/>
          <w:iCs/>
        </w:rPr>
        <w:t xml:space="preserve"> </w:t>
      </w:r>
      <w:r w:rsidR="00470CE6" w:rsidRPr="00470CE6">
        <w:rPr>
          <w:rFonts w:eastAsia="HelenPro-Regular"/>
        </w:rPr>
        <w:t>System Assay CD-ROM prior to performing the assay. For detailed information on assay file installation and on viewing and editing assay parameters, refer to the ARCHITECT System Operations Manual, Section 2</w:t>
      </w:r>
      <w:r w:rsidR="00470CE6" w:rsidRPr="00470CE6">
        <w:rPr>
          <w:rFonts w:ascii="HelenPro-Regular" w:eastAsia="HelenPro-Regular" w:cs="HelenPro-Regular"/>
          <w:sz w:val="16"/>
          <w:szCs w:val="16"/>
        </w:rPr>
        <w:t>.</w:t>
      </w:r>
      <w:r w:rsidR="00470CE6" w:rsidRPr="00470CE6">
        <w:rPr>
          <w:rFonts w:eastAsia="HelenPro-Regular"/>
        </w:rPr>
        <w:t xml:space="preserve"> </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detailed information on assay file installation and viewing and editing assay parameters, refer to the ARCHITECT System Operations Manual, Section 2.</w:t>
      </w:r>
    </w:p>
    <w:p w:rsidR="003356DF"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information on printing assay parameters, refer to the ARCHITECT System Operations Manual, Section 5.</w:t>
      </w:r>
    </w:p>
    <w:p w:rsidR="002648A6" w:rsidRPr="003356DF" w:rsidRDefault="003356DF" w:rsidP="003356DF">
      <w:pPr>
        <w:pStyle w:val="ListParagraph"/>
        <w:numPr>
          <w:ilvl w:val="0"/>
          <w:numId w:val="18"/>
        </w:numPr>
        <w:autoSpaceDE w:val="0"/>
        <w:autoSpaceDN w:val="0"/>
        <w:adjustRightInd w:val="0"/>
        <w:rPr>
          <w:rFonts w:eastAsia="HelenPro-Regular"/>
        </w:rPr>
      </w:pPr>
      <w:r w:rsidRPr="003356DF">
        <w:rPr>
          <w:rFonts w:eastAsia="HelenPro-Regular"/>
        </w:rPr>
        <w:t>For a detailed description of system procedures, refer to the ARCHITECT System Operations Manual.</w:t>
      </w:r>
    </w:p>
    <w:p w:rsidR="003356DF" w:rsidRDefault="003356DF" w:rsidP="00F66836">
      <w:pPr>
        <w:rPr>
          <w:b/>
          <w:sz w:val="28"/>
          <w:szCs w:val="28"/>
        </w:rPr>
      </w:pPr>
    </w:p>
    <w:p w:rsidR="00F66836" w:rsidRPr="00E50643" w:rsidRDefault="002648A6" w:rsidP="00F66836">
      <w:pPr>
        <w:rPr>
          <w:b/>
          <w:sz w:val="28"/>
          <w:szCs w:val="28"/>
        </w:rPr>
      </w:pPr>
      <w:r>
        <w:rPr>
          <w:b/>
          <w:sz w:val="28"/>
          <w:szCs w:val="28"/>
        </w:rPr>
        <w:t xml:space="preserve">Assay </w:t>
      </w:r>
      <w:r w:rsidR="00F66836" w:rsidRPr="00F66836">
        <w:rPr>
          <w:b/>
          <w:sz w:val="28"/>
          <w:szCs w:val="28"/>
        </w:rPr>
        <w:t>Procedure</w:t>
      </w:r>
      <w:r w:rsidR="006D40ED">
        <w:rPr>
          <w:b/>
          <w:sz w:val="28"/>
          <w:szCs w:val="28"/>
        </w:rPr>
        <w:t xml:space="preserve"> </w:t>
      </w:r>
    </w:p>
    <w:p w:rsidR="00B36577" w:rsidRDefault="00A554D4" w:rsidP="002C7FD5">
      <w:pPr>
        <w:rPr>
          <w:rFonts w:eastAsia="HelenPro-Regular"/>
        </w:rPr>
      </w:pPr>
      <w:r w:rsidRPr="00A554D4">
        <w:rPr>
          <w:rFonts w:eastAsia="HelenPro-Regular"/>
        </w:rPr>
        <w:t xml:space="preserve">For a detailed description of how to run an assay, refer to </w:t>
      </w:r>
      <w:r w:rsidRPr="00A554D4">
        <w:rPr>
          <w:i/>
          <w:iCs/>
        </w:rPr>
        <w:t xml:space="preserve">Section 5 </w:t>
      </w:r>
      <w:r w:rsidRPr="00A554D4">
        <w:rPr>
          <w:rFonts w:eastAsia="HelenPro-Regular"/>
        </w:rPr>
        <w:t xml:space="preserve">of the </w:t>
      </w:r>
      <w:r w:rsidRPr="00A554D4">
        <w:rPr>
          <w:b/>
          <w:bCs/>
        </w:rPr>
        <w:t>ARCHITECT System Operations Manual</w:t>
      </w:r>
      <w:r w:rsidRPr="00A554D4">
        <w:rPr>
          <w:rFonts w:eastAsia="HelenPro-Regular"/>
        </w:rPr>
        <w:t>.</w:t>
      </w:r>
    </w:p>
    <w:p w:rsidR="00173EA4" w:rsidRDefault="000453C0" w:rsidP="002C7FD5">
      <w:pPr>
        <w:rPr>
          <w:b/>
        </w:rPr>
      </w:pPr>
      <w:r>
        <w:rPr>
          <w:noProof/>
        </w:rPr>
        <w:drawing>
          <wp:inline distT="0" distB="0" distL="0" distR="0" wp14:anchorId="099153E0" wp14:editId="161EB437">
            <wp:extent cx="4257675" cy="16668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57675" cy="1666875"/>
                    </a:xfrm>
                    <a:prstGeom prst="rect">
                      <a:avLst/>
                    </a:prstGeom>
                  </pic:spPr>
                </pic:pic>
              </a:graphicData>
            </a:graphic>
          </wp:inline>
        </w:drawing>
      </w:r>
    </w:p>
    <w:p w:rsidR="00470CE6" w:rsidRDefault="00470CE6" w:rsidP="002C7FD5">
      <w:pPr>
        <w:rPr>
          <w:b/>
        </w:rPr>
      </w:pPr>
      <w:r>
        <w:rPr>
          <w:noProof/>
        </w:rPr>
        <w:drawing>
          <wp:inline distT="0" distB="0" distL="0" distR="0" wp14:anchorId="5CDF2218" wp14:editId="6886C245">
            <wp:extent cx="4417544" cy="861237"/>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46358"/>
                    <a:stretch/>
                  </pic:blipFill>
                  <pic:spPr bwMode="auto">
                    <a:xfrm>
                      <a:off x="0" y="0"/>
                      <a:ext cx="4429125" cy="863495"/>
                    </a:xfrm>
                    <a:prstGeom prst="rect">
                      <a:avLst/>
                    </a:prstGeom>
                    <a:ln>
                      <a:noFill/>
                    </a:ln>
                    <a:extLst>
                      <a:ext uri="{53640926-AAD7-44D8-BBD7-CCE9431645EC}">
                        <a14:shadowObscured xmlns:a14="http://schemas.microsoft.com/office/drawing/2010/main"/>
                      </a:ext>
                    </a:extLst>
                  </pic:spPr>
                </pic:pic>
              </a:graphicData>
            </a:graphic>
          </wp:inline>
        </w:drawing>
      </w:r>
    </w:p>
    <w:p w:rsidR="009B028A" w:rsidRPr="009B028A" w:rsidRDefault="009B028A" w:rsidP="009B028A">
      <w:pPr>
        <w:autoSpaceDE w:val="0"/>
        <w:autoSpaceDN w:val="0"/>
        <w:adjustRightInd w:val="0"/>
        <w:rPr>
          <w:rFonts w:eastAsia="HelenPro-Regular"/>
          <w:color w:val="000066"/>
          <w:sz w:val="20"/>
          <w:szCs w:val="20"/>
        </w:rPr>
      </w:pPr>
      <w:r>
        <w:rPr>
          <w:rFonts w:eastAsia="HelenPro-Bold"/>
          <w:b/>
          <w:bCs/>
          <w:color w:val="000066"/>
          <w:sz w:val="20"/>
          <w:szCs w:val="20"/>
        </w:rPr>
        <w:t xml:space="preserve"> </w:t>
      </w:r>
      <w:r w:rsidRPr="009B028A">
        <w:rPr>
          <w:rFonts w:eastAsia="HelenPro-Bold"/>
          <w:b/>
          <w:bCs/>
          <w:color w:val="000066"/>
          <w:sz w:val="20"/>
          <w:szCs w:val="20"/>
        </w:rPr>
        <w:t xml:space="preserve">   •   </w:t>
      </w:r>
      <w:r>
        <w:rPr>
          <w:rFonts w:eastAsia="HelenPro-Bold"/>
          <w:b/>
          <w:bCs/>
          <w:color w:val="000066"/>
          <w:sz w:val="20"/>
          <w:szCs w:val="20"/>
        </w:rPr>
        <w:t xml:space="preserve"> </w:t>
      </w:r>
      <w:r w:rsidRPr="009B028A">
        <w:rPr>
          <w:rFonts w:eastAsia="HelenPro-Bold"/>
          <w:b/>
          <w:bCs/>
          <w:color w:val="000066"/>
          <w:sz w:val="20"/>
          <w:szCs w:val="20"/>
        </w:rPr>
        <w:t xml:space="preserve"> </w:t>
      </w:r>
      <w:r w:rsidRPr="009B028A">
        <w:rPr>
          <w:rFonts w:eastAsia="HelenPro-Regular"/>
          <w:color w:val="000066"/>
          <w:sz w:val="20"/>
          <w:szCs w:val="20"/>
        </w:rPr>
        <w:t xml:space="preserve">Load the reagent kit on the ARCHITECT </w:t>
      </w:r>
      <w:proofErr w:type="spellStart"/>
      <w:r w:rsidRPr="009B028A">
        <w:rPr>
          <w:rFonts w:eastAsia="HelenPro-Bold"/>
          <w:i/>
          <w:iCs/>
          <w:color w:val="000066"/>
          <w:sz w:val="20"/>
          <w:szCs w:val="20"/>
        </w:rPr>
        <w:t>i</w:t>
      </w:r>
      <w:proofErr w:type="spellEnd"/>
      <w:r w:rsidRPr="009B028A">
        <w:rPr>
          <w:rFonts w:eastAsia="HelenPro-Bold"/>
          <w:i/>
          <w:iCs/>
          <w:color w:val="000066"/>
          <w:sz w:val="20"/>
          <w:szCs w:val="20"/>
        </w:rPr>
        <w:t xml:space="preserve"> </w:t>
      </w:r>
      <w:r w:rsidRPr="009B028A">
        <w:rPr>
          <w:rFonts w:eastAsia="HelenPro-Regular"/>
          <w:color w:val="000066"/>
          <w:sz w:val="20"/>
          <w:szCs w:val="20"/>
        </w:rPr>
        <w:t>System.</w:t>
      </w:r>
    </w:p>
    <w:p w:rsidR="009B028A" w:rsidRPr="009B028A" w:rsidRDefault="009B028A" w:rsidP="009B028A">
      <w:pPr>
        <w:autoSpaceDE w:val="0"/>
        <w:autoSpaceDN w:val="0"/>
        <w:adjustRightInd w:val="0"/>
        <w:rPr>
          <w:rFonts w:eastAsia="HelenPro-Regular"/>
          <w:color w:val="000066"/>
          <w:sz w:val="20"/>
          <w:szCs w:val="20"/>
        </w:rPr>
      </w:pPr>
      <w:r w:rsidRPr="009B028A">
        <w:rPr>
          <w:rFonts w:eastAsia="HelenPro-Bold"/>
          <w:b/>
          <w:bCs/>
          <w:color w:val="000066"/>
          <w:sz w:val="20"/>
          <w:szCs w:val="20"/>
        </w:rPr>
        <w:t xml:space="preserve">           •     </w:t>
      </w:r>
      <w:r>
        <w:rPr>
          <w:rFonts w:eastAsia="HelenPro-Bold"/>
          <w:b/>
          <w:bCs/>
          <w:color w:val="000066"/>
          <w:sz w:val="20"/>
          <w:szCs w:val="20"/>
        </w:rPr>
        <w:t xml:space="preserve">  </w:t>
      </w:r>
      <w:r w:rsidRPr="009B028A">
        <w:rPr>
          <w:rFonts w:eastAsia="HelenPro-Regular"/>
          <w:color w:val="000066"/>
          <w:sz w:val="20"/>
          <w:szCs w:val="20"/>
        </w:rPr>
        <w:t>Verify that all necessary reagents are present.</w:t>
      </w:r>
    </w:p>
    <w:p w:rsidR="009B028A" w:rsidRPr="009B028A" w:rsidRDefault="009B028A" w:rsidP="009B028A">
      <w:pPr>
        <w:rPr>
          <w:b/>
          <w:color w:val="000066"/>
          <w:sz w:val="22"/>
          <w:szCs w:val="22"/>
        </w:rPr>
      </w:pPr>
      <w:r w:rsidRPr="009B028A">
        <w:rPr>
          <w:rFonts w:eastAsia="HelenPro-Bold"/>
          <w:b/>
          <w:bCs/>
          <w:color w:val="000066"/>
          <w:sz w:val="20"/>
          <w:szCs w:val="20"/>
        </w:rPr>
        <w:lastRenderedPageBreak/>
        <w:t xml:space="preserve">           •     </w:t>
      </w:r>
      <w:r>
        <w:rPr>
          <w:rFonts w:eastAsia="HelenPro-Bold"/>
          <w:b/>
          <w:bCs/>
          <w:color w:val="000066"/>
          <w:sz w:val="20"/>
          <w:szCs w:val="20"/>
        </w:rPr>
        <w:t xml:space="preserve">  </w:t>
      </w:r>
      <w:r w:rsidRPr="009B028A">
        <w:rPr>
          <w:rFonts w:eastAsia="HelenPro-Regular"/>
          <w:color w:val="000066"/>
          <w:sz w:val="20"/>
          <w:szCs w:val="20"/>
        </w:rPr>
        <w:t xml:space="preserve">Ensure that </w:t>
      </w:r>
      <w:proofErr w:type="spellStart"/>
      <w:r w:rsidRPr="009B028A">
        <w:rPr>
          <w:rFonts w:eastAsia="HelenPro-Regular"/>
          <w:color w:val="000066"/>
          <w:sz w:val="20"/>
          <w:szCs w:val="20"/>
        </w:rPr>
        <w:t>septums</w:t>
      </w:r>
      <w:proofErr w:type="spellEnd"/>
      <w:r w:rsidRPr="009B028A">
        <w:rPr>
          <w:rFonts w:eastAsia="HelenPro-Regular"/>
          <w:color w:val="000066"/>
          <w:sz w:val="20"/>
          <w:szCs w:val="20"/>
        </w:rPr>
        <w:t xml:space="preserve"> are present on all reagent bottles</w:t>
      </w:r>
      <w:r w:rsidRPr="009B028A">
        <w:rPr>
          <w:rFonts w:eastAsia="HelenPro-Regular"/>
          <w:color w:val="000066"/>
          <w:sz w:val="22"/>
          <w:szCs w:val="22"/>
        </w:rPr>
        <w:t>.</w:t>
      </w:r>
    </w:p>
    <w:p w:rsidR="003356DF" w:rsidRDefault="003356DF" w:rsidP="002C7FD5">
      <w:pPr>
        <w:rPr>
          <w:b/>
        </w:rPr>
      </w:pPr>
      <w:r>
        <w:rPr>
          <w:noProof/>
        </w:rPr>
        <w:drawing>
          <wp:inline distT="0" distB="0" distL="0" distR="0" wp14:anchorId="235BE292" wp14:editId="50D1C22D">
            <wp:extent cx="4257675" cy="20002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57675" cy="2000250"/>
                    </a:xfrm>
                    <a:prstGeom prst="rect">
                      <a:avLst/>
                    </a:prstGeom>
                  </pic:spPr>
                </pic:pic>
              </a:graphicData>
            </a:graphic>
          </wp:inline>
        </w:drawing>
      </w:r>
    </w:p>
    <w:p w:rsidR="003356DF" w:rsidRDefault="000453C0" w:rsidP="002C7FD5">
      <w:pPr>
        <w:rPr>
          <w:b/>
        </w:rPr>
      </w:pPr>
      <w:r>
        <w:rPr>
          <w:noProof/>
        </w:rPr>
        <w:drawing>
          <wp:inline distT="0" distB="0" distL="0" distR="0" wp14:anchorId="526B204E" wp14:editId="46DF135F">
            <wp:extent cx="4448175" cy="255270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48175" cy="2552700"/>
                    </a:xfrm>
                    <a:prstGeom prst="rect">
                      <a:avLst/>
                    </a:prstGeom>
                  </pic:spPr>
                </pic:pic>
              </a:graphicData>
            </a:graphic>
          </wp:inline>
        </w:drawing>
      </w:r>
    </w:p>
    <w:p w:rsidR="005B1BF7" w:rsidRDefault="005B1BF7" w:rsidP="002C7FD5">
      <w:pPr>
        <w:rPr>
          <w:b/>
        </w:rPr>
      </w:pPr>
      <w:r>
        <w:rPr>
          <w:noProof/>
        </w:rPr>
        <w:drawing>
          <wp:inline distT="0" distB="0" distL="0" distR="0" wp14:anchorId="23670DB3" wp14:editId="6E995337">
            <wp:extent cx="4257675" cy="1657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57675" cy="1657350"/>
                    </a:xfrm>
                    <a:prstGeom prst="rect">
                      <a:avLst/>
                    </a:prstGeom>
                  </pic:spPr>
                </pic:pic>
              </a:graphicData>
            </a:graphic>
          </wp:inline>
        </w:drawing>
      </w:r>
    </w:p>
    <w:p w:rsidR="00F92520" w:rsidRDefault="00F92520" w:rsidP="00A554D4">
      <w:pPr>
        <w:ind w:left="1530"/>
        <w:rPr>
          <w:rFonts w:eastAsia="HelenPro-Regular"/>
        </w:rPr>
      </w:pPr>
    </w:p>
    <w:p w:rsidR="000A090B" w:rsidRDefault="002648A6" w:rsidP="000A090B">
      <w:pPr>
        <w:jc w:val="both"/>
        <w:rPr>
          <w:sz w:val="28"/>
          <w:szCs w:val="28"/>
        </w:rPr>
      </w:pPr>
      <w:r>
        <w:rPr>
          <w:b/>
          <w:sz w:val="28"/>
          <w:szCs w:val="28"/>
        </w:rPr>
        <w:t>R</w:t>
      </w:r>
      <w:r w:rsidR="00132081" w:rsidRPr="007E4CE6">
        <w:rPr>
          <w:b/>
          <w:sz w:val="28"/>
          <w:szCs w:val="28"/>
        </w:rPr>
        <w:t>esults</w:t>
      </w:r>
      <w:r w:rsidR="000A090B" w:rsidRPr="007E4CE6">
        <w:rPr>
          <w:sz w:val="28"/>
          <w:szCs w:val="28"/>
        </w:rPr>
        <w:t xml:space="preserve"> </w:t>
      </w:r>
    </w:p>
    <w:p w:rsidR="00E41F60" w:rsidRPr="00E41F60" w:rsidRDefault="00E41F60" w:rsidP="00E41F60">
      <w:pPr>
        <w:autoSpaceDE w:val="0"/>
        <w:autoSpaceDN w:val="0"/>
        <w:adjustRightInd w:val="0"/>
        <w:rPr>
          <w:rFonts w:eastAsia="HelenPro-Bold"/>
          <w:b/>
          <w:bCs/>
        </w:rPr>
      </w:pPr>
      <w:r w:rsidRPr="00E41F60">
        <w:rPr>
          <w:rFonts w:eastAsia="HelenPro-Bold"/>
          <w:b/>
          <w:bCs/>
        </w:rPr>
        <w:t>Calculation</w:t>
      </w:r>
    </w:p>
    <w:p w:rsidR="000453C0" w:rsidRPr="000453C0" w:rsidRDefault="000453C0" w:rsidP="000453C0">
      <w:pPr>
        <w:autoSpaceDE w:val="0"/>
        <w:autoSpaceDN w:val="0"/>
        <w:adjustRightInd w:val="0"/>
        <w:rPr>
          <w:rFonts w:eastAsia="HelenPro-Regular"/>
        </w:rPr>
      </w:pPr>
      <w:r w:rsidRPr="000453C0">
        <w:rPr>
          <w:rFonts w:eastAsia="HelenPro-Regular"/>
        </w:rPr>
        <w:t xml:space="preserve">The ARCHITECT </w:t>
      </w:r>
      <w:proofErr w:type="spellStart"/>
      <w:r w:rsidRPr="000453C0">
        <w:rPr>
          <w:rFonts w:eastAsia="HelenPro-Regular"/>
          <w:i/>
          <w:iCs/>
        </w:rPr>
        <w:t>i</w:t>
      </w:r>
      <w:proofErr w:type="spellEnd"/>
      <w:r w:rsidRPr="000453C0">
        <w:rPr>
          <w:rFonts w:eastAsia="HelenPro-Regular"/>
          <w:i/>
          <w:iCs/>
        </w:rPr>
        <w:t xml:space="preserve"> </w:t>
      </w:r>
      <w:r w:rsidRPr="000453C0">
        <w:rPr>
          <w:rFonts w:eastAsia="HelenPro-Regular"/>
        </w:rPr>
        <w:t>System calculat</w:t>
      </w:r>
      <w:r>
        <w:rPr>
          <w:rFonts w:eastAsia="HelenPro-Regular"/>
        </w:rPr>
        <w:t xml:space="preserve">es the cutoff RLU from the mean </w:t>
      </w:r>
      <w:proofErr w:type="spellStart"/>
      <w:r w:rsidRPr="000453C0">
        <w:rPr>
          <w:rFonts w:eastAsia="HelenPro-Regular"/>
        </w:rPr>
        <w:t>chemiluminescent</w:t>
      </w:r>
      <w:proofErr w:type="spellEnd"/>
      <w:r w:rsidRPr="000453C0">
        <w:rPr>
          <w:rFonts w:eastAsia="HelenPro-Regular"/>
        </w:rPr>
        <w:t xml:space="preserve"> signal of three Anti-HCV Calibrator 1 replicates and</w:t>
      </w:r>
      <w:r>
        <w:rPr>
          <w:rFonts w:eastAsia="HelenPro-Regular"/>
        </w:rPr>
        <w:t xml:space="preserve"> </w:t>
      </w:r>
      <w:r w:rsidRPr="000453C0">
        <w:rPr>
          <w:rFonts w:eastAsia="HelenPro-Regular"/>
        </w:rPr>
        <w:t>stores the result. The cutoff RLU is determined by multiplying the</w:t>
      </w:r>
      <w:r>
        <w:rPr>
          <w:rFonts w:eastAsia="HelenPro-Regular"/>
        </w:rPr>
        <w:t xml:space="preserve"> </w:t>
      </w:r>
      <w:r w:rsidRPr="000453C0">
        <w:rPr>
          <w:rFonts w:eastAsia="HelenPro-Regular"/>
        </w:rPr>
        <w:t>Anti</w:t>
      </w:r>
      <w:r w:rsidRPr="000453C0">
        <w:rPr>
          <w:rFonts w:ascii="MS Mincho" w:eastAsia="MS Mincho" w:hAnsi="MS Mincho" w:cs="MS Mincho" w:hint="eastAsia"/>
        </w:rPr>
        <w:t>‑</w:t>
      </w:r>
      <w:r w:rsidRPr="000453C0">
        <w:rPr>
          <w:rFonts w:eastAsia="HelenPro-Regular"/>
        </w:rPr>
        <w:t>HCV Calibrator 1 mean RLU by 0.074.</w:t>
      </w:r>
      <w:r>
        <w:rPr>
          <w:rFonts w:eastAsia="HelenPro-Regular"/>
        </w:rPr>
        <w:t xml:space="preserve"> </w:t>
      </w:r>
      <w:r w:rsidRPr="000453C0">
        <w:rPr>
          <w:rFonts w:eastAsia="HelenPro-Regular"/>
        </w:rPr>
        <w:t>Cutoff RLU = Calibrator 1 Mean RLU x 0.074</w:t>
      </w:r>
    </w:p>
    <w:p w:rsidR="000453C0" w:rsidRPr="000453C0" w:rsidRDefault="000453C0" w:rsidP="000453C0">
      <w:pPr>
        <w:autoSpaceDE w:val="0"/>
        <w:autoSpaceDN w:val="0"/>
        <w:adjustRightInd w:val="0"/>
        <w:rPr>
          <w:rFonts w:eastAsia="HelenPro-Regular"/>
        </w:rPr>
      </w:pPr>
      <w:r w:rsidRPr="000453C0">
        <w:rPr>
          <w:rFonts w:eastAsia="HelenPro-Bold"/>
          <w:b/>
          <w:bCs/>
        </w:rPr>
        <w:t xml:space="preserve">• </w:t>
      </w:r>
      <w:r w:rsidRPr="000453C0">
        <w:rPr>
          <w:rFonts w:eastAsia="HelenPro-Regular"/>
        </w:rPr>
        <w:t xml:space="preserve">The ARCHITECT </w:t>
      </w:r>
      <w:proofErr w:type="spellStart"/>
      <w:r w:rsidRPr="000453C0">
        <w:rPr>
          <w:rFonts w:eastAsia="HelenPro-Regular"/>
          <w:i/>
          <w:iCs/>
        </w:rPr>
        <w:t>i</w:t>
      </w:r>
      <w:proofErr w:type="spellEnd"/>
      <w:r w:rsidRPr="000453C0">
        <w:rPr>
          <w:rFonts w:eastAsia="HelenPro-Regular"/>
          <w:i/>
          <w:iCs/>
        </w:rPr>
        <w:t xml:space="preserve"> </w:t>
      </w:r>
      <w:r w:rsidRPr="000453C0">
        <w:rPr>
          <w:rFonts w:eastAsia="HelenPro-Regular"/>
        </w:rPr>
        <w:t>System calculates</w:t>
      </w:r>
      <w:r>
        <w:rPr>
          <w:rFonts w:eastAsia="HelenPro-Regular"/>
        </w:rPr>
        <w:t xml:space="preserve"> a result based on the ratio of </w:t>
      </w:r>
      <w:r w:rsidRPr="000453C0">
        <w:rPr>
          <w:rFonts w:eastAsia="HelenPro-Regular"/>
        </w:rPr>
        <w:t>the sample RLU to the cutoff RLU (S/CO) for each specimen and</w:t>
      </w:r>
      <w:r>
        <w:rPr>
          <w:rFonts w:eastAsia="HelenPro-Regular"/>
        </w:rPr>
        <w:t xml:space="preserve"> </w:t>
      </w:r>
      <w:r w:rsidRPr="000453C0">
        <w:rPr>
          <w:rFonts w:eastAsia="HelenPro-Regular"/>
        </w:rPr>
        <w:t>control.</w:t>
      </w:r>
    </w:p>
    <w:p w:rsidR="002648A6" w:rsidRPr="000453C0" w:rsidRDefault="000453C0" w:rsidP="000453C0">
      <w:pPr>
        <w:autoSpaceDE w:val="0"/>
        <w:autoSpaceDN w:val="0"/>
        <w:adjustRightInd w:val="0"/>
        <w:ind w:firstLine="720"/>
        <w:rPr>
          <w:rFonts w:eastAsia="HelenPro-Regular"/>
        </w:rPr>
      </w:pPr>
      <w:r w:rsidRPr="000453C0">
        <w:rPr>
          <w:rFonts w:eastAsia="HelenPro-Regular"/>
        </w:rPr>
        <w:t>S/CO = Sample RLU/Cutoff RLU ratio</w:t>
      </w:r>
    </w:p>
    <w:p w:rsidR="00E41F60" w:rsidRDefault="000453C0" w:rsidP="00E70BBC">
      <w:pPr>
        <w:autoSpaceDE w:val="0"/>
        <w:autoSpaceDN w:val="0"/>
        <w:adjustRightInd w:val="0"/>
        <w:ind w:firstLine="720"/>
        <w:rPr>
          <w:rFonts w:eastAsia="HelenPro-Regular"/>
        </w:rPr>
      </w:pPr>
      <w:r>
        <w:rPr>
          <w:noProof/>
        </w:rPr>
        <w:lastRenderedPageBreak/>
        <w:drawing>
          <wp:inline distT="0" distB="0" distL="0" distR="0" wp14:anchorId="7F448DEC" wp14:editId="65B5C459">
            <wp:extent cx="4191000" cy="14763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91000" cy="1476375"/>
                    </a:xfrm>
                    <a:prstGeom prst="rect">
                      <a:avLst/>
                    </a:prstGeom>
                  </pic:spPr>
                </pic:pic>
              </a:graphicData>
            </a:graphic>
          </wp:inline>
        </w:drawing>
      </w:r>
    </w:p>
    <w:p w:rsidR="000453C0" w:rsidRPr="00E70BBC" w:rsidRDefault="000453C0" w:rsidP="00E70BBC">
      <w:pPr>
        <w:autoSpaceDE w:val="0"/>
        <w:autoSpaceDN w:val="0"/>
        <w:adjustRightInd w:val="0"/>
        <w:ind w:firstLine="720"/>
        <w:rPr>
          <w:rFonts w:eastAsia="HelenPro-Regular"/>
        </w:rPr>
      </w:pPr>
      <w:r>
        <w:rPr>
          <w:noProof/>
        </w:rPr>
        <w:drawing>
          <wp:inline distT="0" distB="0" distL="0" distR="0" wp14:anchorId="2BB70BAE" wp14:editId="68AAD23D">
            <wp:extent cx="4219575" cy="573405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19575" cy="5734050"/>
                    </a:xfrm>
                    <a:prstGeom prst="rect">
                      <a:avLst/>
                    </a:prstGeom>
                  </pic:spPr>
                </pic:pic>
              </a:graphicData>
            </a:graphic>
          </wp:inline>
        </w:drawing>
      </w:r>
    </w:p>
    <w:p w:rsidR="0043504D" w:rsidRDefault="0043504D" w:rsidP="0043504D">
      <w:pPr>
        <w:autoSpaceDE w:val="0"/>
        <w:autoSpaceDN w:val="0"/>
        <w:adjustRightInd w:val="0"/>
        <w:rPr>
          <w:rFonts w:eastAsia="HelenPro-Regular"/>
        </w:rPr>
      </w:pPr>
    </w:p>
    <w:p w:rsidR="00531F75" w:rsidRDefault="00531F75" w:rsidP="00C3571A">
      <w:pPr>
        <w:autoSpaceDE w:val="0"/>
        <w:autoSpaceDN w:val="0"/>
        <w:adjustRightInd w:val="0"/>
        <w:rPr>
          <w:rFonts w:eastAsia="HelenPro-Regular"/>
          <w:b/>
          <w:sz w:val="28"/>
          <w:szCs w:val="28"/>
        </w:rPr>
      </w:pPr>
    </w:p>
    <w:p w:rsidR="002648A6" w:rsidRPr="002648A6" w:rsidRDefault="002648A6" w:rsidP="00C3571A">
      <w:pPr>
        <w:autoSpaceDE w:val="0"/>
        <w:autoSpaceDN w:val="0"/>
        <w:adjustRightInd w:val="0"/>
        <w:rPr>
          <w:rFonts w:eastAsia="HelenPro-Regular"/>
          <w:b/>
          <w:sz w:val="28"/>
          <w:szCs w:val="28"/>
        </w:rPr>
      </w:pPr>
      <w:r w:rsidRPr="002648A6">
        <w:rPr>
          <w:rFonts w:eastAsia="HelenPro-Regular"/>
          <w:b/>
          <w:sz w:val="28"/>
          <w:szCs w:val="28"/>
        </w:rPr>
        <w:t>Flags</w:t>
      </w:r>
    </w:p>
    <w:p w:rsidR="002648A6" w:rsidRPr="00C3571A" w:rsidRDefault="002648A6" w:rsidP="002648A6">
      <w:pPr>
        <w:autoSpaceDE w:val="0"/>
        <w:autoSpaceDN w:val="0"/>
        <w:adjustRightInd w:val="0"/>
        <w:rPr>
          <w:rFonts w:eastAsia="HelenPro-Regular"/>
        </w:rPr>
      </w:pPr>
      <w:r w:rsidRPr="002648A6">
        <w:rPr>
          <w:rFonts w:eastAsia="HelenPro-Regular"/>
        </w:rPr>
        <w:lastRenderedPageBreak/>
        <w:t>Some results may contain information in the</w:t>
      </w:r>
      <w:r>
        <w:rPr>
          <w:rFonts w:eastAsia="HelenPro-Regular"/>
        </w:rPr>
        <w:t xml:space="preserve"> Flags field. For a description </w:t>
      </w:r>
      <w:r w:rsidRPr="002648A6">
        <w:rPr>
          <w:rFonts w:eastAsia="HelenPro-Regular"/>
        </w:rPr>
        <w:t>of the flags that may appear in this field, refer to the ARCHITECT System</w:t>
      </w:r>
      <w:r>
        <w:rPr>
          <w:rFonts w:eastAsia="HelenPro-Regular"/>
        </w:rPr>
        <w:t xml:space="preserve"> </w:t>
      </w:r>
      <w:r w:rsidRPr="002648A6">
        <w:rPr>
          <w:rFonts w:eastAsia="HelenPro-Regular"/>
        </w:rPr>
        <w:t>Operations Manual, Section 5.</w:t>
      </w:r>
    </w:p>
    <w:p w:rsidR="00E41F60" w:rsidRDefault="00E41F60" w:rsidP="00AB793D">
      <w:pPr>
        <w:rPr>
          <w:rFonts w:ascii="Arial" w:hAnsi="Arial" w:cs="Arial"/>
          <w:b/>
          <w:bCs/>
          <w:sz w:val="28"/>
          <w:szCs w:val="28"/>
        </w:rPr>
      </w:pPr>
    </w:p>
    <w:p w:rsidR="00D3792B" w:rsidRDefault="00D3792B" w:rsidP="00AB793D">
      <w:pPr>
        <w:rPr>
          <w:rFonts w:ascii="Arial" w:hAnsi="Arial" w:cs="Arial"/>
          <w:b/>
          <w:bCs/>
          <w:sz w:val="28"/>
          <w:szCs w:val="28"/>
        </w:rPr>
      </w:pPr>
    </w:p>
    <w:p w:rsidR="000453C0" w:rsidRDefault="000453C0" w:rsidP="00AB793D">
      <w:pPr>
        <w:rPr>
          <w:rFonts w:ascii="Arial" w:hAnsi="Arial" w:cs="Arial"/>
          <w:b/>
          <w:bCs/>
          <w:sz w:val="28"/>
          <w:szCs w:val="28"/>
        </w:rPr>
      </w:pPr>
    </w:p>
    <w:p w:rsidR="000453C0" w:rsidRDefault="000453C0" w:rsidP="00AB793D">
      <w:pPr>
        <w:rPr>
          <w:rFonts w:ascii="Arial" w:hAnsi="Arial" w:cs="Arial"/>
          <w:b/>
          <w:bCs/>
          <w:sz w:val="28"/>
          <w:szCs w:val="28"/>
        </w:rPr>
      </w:pPr>
    </w:p>
    <w:p w:rsidR="00912FE4" w:rsidRPr="006C0113" w:rsidRDefault="00912FE4" w:rsidP="00AB793D">
      <w:pPr>
        <w:rPr>
          <w:b/>
          <w:bCs/>
          <w:sz w:val="28"/>
          <w:szCs w:val="28"/>
        </w:rPr>
      </w:pPr>
      <w:r w:rsidRPr="006C0113">
        <w:rPr>
          <w:b/>
          <w:bCs/>
          <w:sz w:val="28"/>
          <w:szCs w:val="28"/>
        </w:rPr>
        <w:t>Specific Performance Characteristics</w:t>
      </w:r>
      <w:r w:rsidR="00D60AFA" w:rsidRPr="006C0113">
        <w:rPr>
          <w:b/>
          <w:bCs/>
          <w:sz w:val="28"/>
          <w:szCs w:val="28"/>
        </w:rPr>
        <w:t xml:space="preserve"> </w:t>
      </w:r>
    </w:p>
    <w:p w:rsidR="00CE2DC7" w:rsidRPr="006C0113" w:rsidRDefault="002648A6" w:rsidP="00AB793D">
      <w:pPr>
        <w:rPr>
          <w:b/>
          <w:bCs/>
        </w:rPr>
      </w:pPr>
      <w:r w:rsidRPr="006C0113">
        <w:rPr>
          <w:b/>
          <w:bCs/>
        </w:rPr>
        <w:t>Expected Values</w:t>
      </w:r>
      <w:r w:rsidR="00D60AFA" w:rsidRPr="006C0113">
        <w:rPr>
          <w:b/>
          <w:bCs/>
        </w:rPr>
        <w:t xml:space="preserve"> </w:t>
      </w:r>
    </w:p>
    <w:p w:rsidR="0055619E" w:rsidRPr="006C0113" w:rsidRDefault="006D40ED" w:rsidP="006D40ED">
      <w:pPr>
        <w:autoSpaceDE w:val="0"/>
        <w:autoSpaceDN w:val="0"/>
        <w:adjustRightInd w:val="0"/>
        <w:rPr>
          <w:rFonts w:eastAsia="HelenPro-Regular"/>
        </w:rPr>
      </w:pPr>
      <w:r w:rsidRPr="006C0113">
        <w:rPr>
          <w:rFonts w:eastAsia="HelenPro-Regular"/>
        </w:rPr>
        <w:t>It is recommended that each laboratory determine its own reference range based upon its particular locale and population characteristics.</w:t>
      </w:r>
    </w:p>
    <w:p w:rsidR="00317056" w:rsidRPr="006C0113" w:rsidRDefault="00317056" w:rsidP="00AB793D">
      <w:pPr>
        <w:rPr>
          <w:b/>
          <w:bCs/>
        </w:rPr>
      </w:pPr>
    </w:p>
    <w:p w:rsidR="0055619E" w:rsidRDefault="006C0113" w:rsidP="00AB793D">
      <w:pPr>
        <w:rPr>
          <w:bCs/>
          <w:u w:val="single"/>
        </w:rPr>
      </w:pPr>
      <w:r>
        <w:rPr>
          <w:b/>
          <w:bCs/>
        </w:rPr>
        <w:t xml:space="preserve">Serum/Plasma: </w:t>
      </w:r>
    </w:p>
    <w:p w:rsidR="006C0113" w:rsidRDefault="006C0113" w:rsidP="006C0113">
      <w:pPr>
        <w:ind w:firstLine="720"/>
        <w:rPr>
          <w:bCs/>
        </w:rPr>
      </w:pPr>
      <w:r>
        <w:rPr>
          <w:bCs/>
        </w:rPr>
        <w:t xml:space="preserve">        </w:t>
      </w:r>
      <w:r>
        <w:rPr>
          <w:bCs/>
          <w:u w:val="single"/>
        </w:rPr>
        <w:t>&gt;</w:t>
      </w:r>
      <w:r>
        <w:rPr>
          <w:bCs/>
        </w:rPr>
        <w:t xml:space="preserve"> 1.0 </w:t>
      </w:r>
      <w:r>
        <w:rPr>
          <w:bCs/>
        </w:rPr>
        <w:tab/>
        <w:t>= Reactive</w:t>
      </w:r>
    </w:p>
    <w:p w:rsidR="006C0113" w:rsidRDefault="006C0113" w:rsidP="006C0113">
      <w:pPr>
        <w:ind w:firstLine="720"/>
        <w:rPr>
          <w:bCs/>
        </w:rPr>
      </w:pPr>
      <w:commentRangeStart w:id="0"/>
      <w:r>
        <w:rPr>
          <w:bCs/>
        </w:rPr>
        <w:t xml:space="preserve">0.9 – 0.99 </w:t>
      </w:r>
      <w:r>
        <w:rPr>
          <w:bCs/>
        </w:rPr>
        <w:tab/>
        <w:t xml:space="preserve">= </w:t>
      </w:r>
      <w:proofErr w:type="spellStart"/>
      <w:r>
        <w:rPr>
          <w:bCs/>
        </w:rPr>
        <w:t>Indeterminant</w:t>
      </w:r>
      <w:proofErr w:type="spellEnd"/>
    </w:p>
    <w:p w:rsidR="006C0113" w:rsidRPr="006C0113" w:rsidRDefault="006C0113" w:rsidP="006C0113">
      <w:pPr>
        <w:ind w:firstLine="720"/>
        <w:rPr>
          <w:bCs/>
        </w:rPr>
      </w:pPr>
      <w:r>
        <w:rPr>
          <w:bCs/>
        </w:rPr>
        <w:t xml:space="preserve">0.0 – 0.79 </w:t>
      </w:r>
      <w:r>
        <w:rPr>
          <w:bCs/>
        </w:rPr>
        <w:tab/>
        <w:t xml:space="preserve">= </w:t>
      </w:r>
      <w:proofErr w:type="spellStart"/>
      <w:r>
        <w:rPr>
          <w:bCs/>
        </w:rPr>
        <w:t>Non Reactive</w:t>
      </w:r>
      <w:commentRangeEnd w:id="0"/>
      <w:proofErr w:type="spellEnd"/>
      <w:r>
        <w:rPr>
          <w:rStyle w:val="CommentReference"/>
        </w:rPr>
        <w:commentReference w:id="0"/>
      </w:r>
    </w:p>
    <w:p w:rsidR="00D64E39" w:rsidRPr="006C0113" w:rsidRDefault="00D64E39" w:rsidP="00AB793D">
      <w:pPr>
        <w:rPr>
          <w:bCs/>
        </w:rPr>
      </w:pPr>
    </w:p>
    <w:p w:rsidR="00B63E8F" w:rsidRPr="006C0113" w:rsidRDefault="00B63E8F" w:rsidP="00623EFB">
      <w:pPr>
        <w:ind w:right="720"/>
        <w:jc w:val="both"/>
        <w:rPr>
          <w:b/>
        </w:rPr>
      </w:pPr>
      <w:r w:rsidRPr="006C0113">
        <w:rPr>
          <w:b/>
        </w:rPr>
        <w:t>Critical Values</w:t>
      </w:r>
      <w:r w:rsidR="006C0113">
        <w:rPr>
          <w:b/>
        </w:rPr>
        <w:t>: N/A</w:t>
      </w:r>
    </w:p>
    <w:p w:rsidR="0038442D" w:rsidRPr="006C0113" w:rsidRDefault="0038442D" w:rsidP="00AB793D">
      <w:pPr>
        <w:rPr>
          <w:b/>
          <w:sz w:val="28"/>
          <w:szCs w:val="28"/>
        </w:rPr>
      </w:pPr>
    </w:p>
    <w:p w:rsidR="00D5211B" w:rsidRPr="006C0113" w:rsidRDefault="005E3D52" w:rsidP="00AB793D">
      <w:pPr>
        <w:rPr>
          <w:i/>
          <w:color w:val="FF0000"/>
          <w:sz w:val="28"/>
          <w:szCs w:val="28"/>
        </w:rPr>
      </w:pPr>
      <w:r w:rsidRPr="006C0113">
        <w:rPr>
          <w:b/>
          <w:sz w:val="28"/>
          <w:szCs w:val="28"/>
        </w:rPr>
        <w:t>Performance Characteristics</w:t>
      </w:r>
      <w:r w:rsidR="00973EAF" w:rsidRPr="006C0113">
        <w:rPr>
          <w:b/>
          <w:sz w:val="28"/>
          <w:szCs w:val="28"/>
        </w:rPr>
        <w:t xml:space="preserve"> </w:t>
      </w:r>
    </w:p>
    <w:p w:rsidR="00B45FE2" w:rsidRPr="006C0113" w:rsidRDefault="00B45FE2" w:rsidP="00B45FE2">
      <w:pPr>
        <w:autoSpaceDE w:val="0"/>
        <w:autoSpaceDN w:val="0"/>
        <w:adjustRightInd w:val="0"/>
        <w:rPr>
          <w:rFonts w:eastAsia="HelenPro-Bold"/>
          <w:b/>
          <w:bCs/>
        </w:rPr>
      </w:pPr>
    </w:p>
    <w:p w:rsidR="00173EA4" w:rsidRPr="006C0113" w:rsidRDefault="00173EA4" w:rsidP="00173EA4">
      <w:pPr>
        <w:autoSpaceDE w:val="0"/>
        <w:autoSpaceDN w:val="0"/>
        <w:adjustRightInd w:val="0"/>
        <w:rPr>
          <w:rFonts w:eastAsia="HelenPro-Bold"/>
          <w:b/>
          <w:bCs/>
        </w:rPr>
      </w:pPr>
      <w:r w:rsidRPr="006C0113">
        <w:rPr>
          <w:rFonts w:eastAsia="HelenPro-Bold"/>
          <w:b/>
          <w:bCs/>
        </w:rPr>
        <w:t>Reportable Range</w:t>
      </w:r>
    </w:p>
    <w:p w:rsidR="00E8215F" w:rsidRPr="006C0113" w:rsidRDefault="00E8215F" w:rsidP="00E8215F">
      <w:pPr>
        <w:autoSpaceDE w:val="0"/>
        <w:autoSpaceDN w:val="0"/>
        <w:adjustRightInd w:val="0"/>
        <w:rPr>
          <w:rFonts w:eastAsia="HelenPro-Regular"/>
        </w:rPr>
      </w:pPr>
      <w:r w:rsidRPr="006C0113">
        <w:rPr>
          <w:rFonts w:eastAsia="HelenPro-Regular"/>
        </w:rPr>
        <w:t xml:space="preserve">See Data in the </w:t>
      </w:r>
      <w:r w:rsidRPr="006C0113">
        <w:rPr>
          <w:rFonts w:eastAsia="HelenPro-Bold"/>
          <w:b/>
          <w:bCs/>
        </w:rPr>
        <w:t xml:space="preserve">SPECIFIC PERFORMANCE CHARACTERISTICS </w:t>
      </w:r>
      <w:r w:rsidRPr="006C0113">
        <w:rPr>
          <w:rFonts w:eastAsia="HelenPro-Regular"/>
        </w:rPr>
        <w:t>section of the package insert</w:t>
      </w:r>
    </w:p>
    <w:p w:rsidR="002648A6" w:rsidRPr="006C0113" w:rsidRDefault="002648A6" w:rsidP="004E0AFF">
      <w:pPr>
        <w:autoSpaceDE w:val="0"/>
        <w:autoSpaceDN w:val="0"/>
        <w:adjustRightInd w:val="0"/>
        <w:rPr>
          <w:rFonts w:eastAsia="HelenPro-Bold"/>
          <w:b/>
          <w:bCs/>
        </w:rPr>
      </w:pPr>
      <w:bookmarkStart w:id="1" w:name="_GoBack"/>
      <w:bookmarkEnd w:id="1"/>
    </w:p>
    <w:p w:rsidR="004E0AFF" w:rsidRPr="006C0113" w:rsidRDefault="002648A6" w:rsidP="004E0AFF">
      <w:pPr>
        <w:autoSpaceDE w:val="0"/>
        <w:autoSpaceDN w:val="0"/>
        <w:adjustRightInd w:val="0"/>
        <w:rPr>
          <w:rFonts w:eastAsia="HelenPro-Bold"/>
          <w:b/>
          <w:bCs/>
        </w:rPr>
      </w:pPr>
      <w:r w:rsidRPr="006C0113">
        <w:rPr>
          <w:rFonts w:eastAsia="HelenPro-Bold"/>
          <w:b/>
          <w:bCs/>
        </w:rPr>
        <w:t>Linearity</w:t>
      </w:r>
    </w:p>
    <w:p w:rsidR="00871834" w:rsidRPr="006C0113" w:rsidRDefault="00871834" w:rsidP="00871834">
      <w:pPr>
        <w:autoSpaceDE w:val="0"/>
        <w:autoSpaceDN w:val="0"/>
        <w:adjustRightInd w:val="0"/>
        <w:rPr>
          <w:rFonts w:eastAsia="HelenPro-Regular"/>
        </w:rPr>
      </w:pPr>
      <w:r w:rsidRPr="006C0113">
        <w:rPr>
          <w:rFonts w:eastAsia="HelenPro-Regular"/>
        </w:rPr>
        <w:t xml:space="preserve">See Data in the </w:t>
      </w:r>
      <w:r w:rsidRPr="006C0113">
        <w:rPr>
          <w:rFonts w:eastAsia="HelenPro-Bold"/>
          <w:b/>
          <w:bCs/>
        </w:rPr>
        <w:t xml:space="preserve">SPECIFIC PERFORMANCE CHARACTERISTICS </w:t>
      </w:r>
      <w:r w:rsidRPr="006C0113">
        <w:rPr>
          <w:rFonts w:eastAsia="HelenPro-Regular"/>
        </w:rPr>
        <w:t>section of the package insert</w:t>
      </w:r>
    </w:p>
    <w:p w:rsidR="002648A6" w:rsidRPr="006C0113" w:rsidRDefault="002648A6" w:rsidP="002C2F49">
      <w:pPr>
        <w:rPr>
          <w:rFonts w:eastAsia="HelenPro-Regular"/>
        </w:rPr>
      </w:pPr>
    </w:p>
    <w:p w:rsidR="002648A6" w:rsidRPr="006C0113" w:rsidRDefault="00470CE6" w:rsidP="002648A6">
      <w:pPr>
        <w:autoSpaceDE w:val="0"/>
        <w:autoSpaceDN w:val="0"/>
        <w:adjustRightInd w:val="0"/>
        <w:rPr>
          <w:rFonts w:eastAsia="HelenPro-Regular"/>
          <w:b/>
        </w:rPr>
      </w:pPr>
      <w:r w:rsidRPr="006C0113">
        <w:rPr>
          <w:rFonts w:eastAsia="HelenPro-Regular"/>
          <w:b/>
        </w:rPr>
        <w:t>Sensitivity/</w:t>
      </w:r>
      <w:r w:rsidR="002648A6" w:rsidRPr="006C0113">
        <w:rPr>
          <w:rFonts w:eastAsia="HelenPro-Regular"/>
          <w:b/>
        </w:rPr>
        <w:t>Limit of Detection</w:t>
      </w:r>
      <w:r w:rsidR="00317056" w:rsidRPr="006C0113">
        <w:rPr>
          <w:rFonts w:eastAsia="HelenPro-Regular"/>
          <w:b/>
        </w:rPr>
        <w:t xml:space="preserve"> (LOD)</w:t>
      </w:r>
    </w:p>
    <w:p w:rsidR="00317056" w:rsidRPr="006C0113" w:rsidRDefault="00E8215F" w:rsidP="00470CE6">
      <w:pPr>
        <w:autoSpaceDE w:val="0"/>
        <w:autoSpaceDN w:val="0"/>
        <w:adjustRightInd w:val="0"/>
        <w:rPr>
          <w:rFonts w:eastAsia="HelenPro-Regular"/>
        </w:rPr>
      </w:pPr>
      <w:r w:rsidRPr="006C0113">
        <w:rPr>
          <w:rFonts w:eastAsia="HelenPro-Regular"/>
        </w:rPr>
        <w:t xml:space="preserve">See Data in the </w:t>
      </w:r>
      <w:r w:rsidRPr="006C0113">
        <w:rPr>
          <w:rFonts w:eastAsia="HelenPro-Bold"/>
          <w:b/>
          <w:bCs/>
        </w:rPr>
        <w:t xml:space="preserve">SPECIFIC PERFORMANCE CHARACTERISTICS </w:t>
      </w:r>
      <w:r w:rsidRPr="006C0113">
        <w:rPr>
          <w:rFonts w:eastAsia="HelenPro-Regular"/>
        </w:rPr>
        <w:t>section of the package insert</w:t>
      </w:r>
    </w:p>
    <w:p w:rsidR="00D70A7B" w:rsidRPr="006C0113" w:rsidRDefault="00D70A7B" w:rsidP="002C2F49">
      <w:pPr>
        <w:rPr>
          <w:rFonts w:eastAsia="HelenPro-Bold"/>
          <w:b/>
          <w:bCs/>
        </w:rPr>
      </w:pPr>
    </w:p>
    <w:p w:rsidR="00912FE4" w:rsidRPr="006C0113" w:rsidRDefault="00912FE4" w:rsidP="002C2F49">
      <w:pPr>
        <w:rPr>
          <w:rFonts w:eastAsia="HelenPro-Bold"/>
          <w:b/>
          <w:bCs/>
        </w:rPr>
      </w:pPr>
      <w:r w:rsidRPr="006C0113">
        <w:rPr>
          <w:rFonts w:eastAsia="HelenPro-Bold"/>
          <w:b/>
          <w:bCs/>
        </w:rPr>
        <w:t>Dilution:</w:t>
      </w:r>
      <w:r w:rsidR="00973EAF" w:rsidRPr="006C0113">
        <w:rPr>
          <w:rFonts w:eastAsia="HelenPro-Bold"/>
          <w:b/>
          <w:bCs/>
        </w:rPr>
        <w:t xml:space="preserve"> </w:t>
      </w:r>
    </w:p>
    <w:p w:rsidR="000A37B5" w:rsidRPr="006C0113" w:rsidRDefault="00236ADE" w:rsidP="000A37B5">
      <w:pPr>
        <w:autoSpaceDE w:val="0"/>
        <w:autoSpaceDN w:val="0"/>
        <w:adjustRightInd w:val="0"/>
        <w:rPr>
          <w:rFonts w:eastAsia="HelenPro-Regular"/>
        </w:rPr>
      </w:pPr>
      <w:r w:rsidRPr="006C0113">
        <w:rPr>
          <w:rFonts w:eastAsia="HelenPro-Regular"/>
        </w:rPr>
        <w:t>Specimens cannot be diluted for the ARCHITECT Anti-HCV assay.</w:t>
      </w:r>
    </w:p>
    <w:p w:rsidR="00E41F60" w:rsidRPr="006C0113" w:rsidRDefault="00E41F60" w:rsidP="000A37B5">
      <w:pPr>
        <w:autoSpaceDE w:val="0"/>
        <w:autoSpaceDN w:val="0"/>
        <w:adjustRightInd w:val="0"/>
        <w:rPr>
          <w:rFonts w:eastAsia="HelenPro-Regular"/>
        </w:rPr>
      </w:pPr>
    </w:p>
    <w:p w:rsidR="00912FE4" w:rsidRPr="006C0113" w:rsidRDefault="00912FE4" w:rsidP="00F95946">
      <w:pPr>
        <w:rPr>
          <w:rFonts w:eastAsia="HelenPro-Regular"/>
        </w:rPr>
      </w:pPr>
      <w:r w:rsidRPr="006C0113">
        <w:rPr>
          <w:b/>
          <w:color w:val="000000"/>
        </w:rPr>
        <w:t>Precision:</w:t>
      </w:r>
      <w:r w:rsidR="0038442D" w:rsidRPr="006C0113">
        <w:rPr>
          <w:b/>
          <w:color w:val="000000"/>
        </w:rPr>
        <w:t xml:space="preserve"> </w:t>
      </w:r>
    </w:p>
    <w:p w:rsidR="00893E5B" w:rsidRPr="006C0113" w:rsidRDefault="000453C0" w:rsidP="000453C0">
      <w:pPr>
        <w:autoSpaceDE w:val="0"/>
        <w:autoSpaceDN w:val="0"/>
        <w:adjustRightInd w:val="0"/>
        <w:rPr>
          <w:rFonts w:eastAsia="HelenPro-Regular"/>
        </w:rPr>
      </w:pPr>
      <w:r w:rsidRPr="006C0113">
        <w:rPr>
          <w:rFonts w:eastAsia="HelenPro-Regular"/>
        </w:rPr>
        <w:t>The ARCHITECT Anti-HCV assay is designed to have a Total CV of ≤ 10% for the ARCHITECT Anti-HCV Positive Control, a high negative panel targeted to 0.80 S/CO, and a low positive panel targeted to 1.20 S/CO.</w:t>
      </w:r>
      <w:r w:rsidR="00041A33" w:rsidRPr="006C0113">
        <w:rPr>
          <w:rFonts w:eastAsia="HelenPro-Regular"/>
        </w:rPr>
        <w:t xml:space="preserve"> </w:t>
      </w:r>
      <w:r w:rsidR="002648A6" w:rsidRPr="006C0113">
        <w:rPr>
          <w:rFonts w:eastAsia="HelenPro-Regular"/>
        </w:rPr>
        <w:t>See re</w:t>
      </w:r>
      <w:r w:rsidR="00041A33" w:rsidRPr="006C0113">
        <w:rPr>
          <w:rFonts w:eastAsia="HelenPro-Regular"/>
        </w:rPr>
        <w:t>agent package insert for tables and more information.</w:t>
      </w:r>
    </w:p>
    <w:p w:rsidR="00C53E37" w:rsidRPr="006C0113" w:rsidRDefault="00C53E37" w:rsidP="00C53E37">
      <w:pPr>
        <w:pStyle w:val="Heading4"/>
        <w:rPr>
          <w:sz w:val="24"/>
          <w:szCs w:val="24"/>
        </w:rPr>
      </w:pPr>
      <w:r w:rsidRPr="006C0113">
        <w:rPr>
          <w:sz w:val="24"/>
          <w:szCs w:val="24"/>
        </w:rPr>
        <w:t>L</w:t>
      </w:r>
      <w:r w:rsidR="00236ADE" w:rsidRPr="006C0113">
        <w:rPr>
          <w:sz w:val="24"/>
          <w:szCs w:val="24"/>
        </w:rPr>
        <w:t>i</w:t>
      </w:r>
      <w:r w:rsidRPr="006C0113">
        <w:rPr>
          <w:sz w:val="24"/>
          <w:szCs w:val="24"/>
        </w:rPr>
        <w:t>mitations of Procedure</w:t>
      </w:r>
      <w:r w:rsidR="00973EAF" w:rsidRPr="006C0113">
        <w:rPr>
          <w:sz w:val="24"/>
          <w:szCs w:val="24"/>
        </w:rPr>
        <w:t xml:space="preserve"> </w:t>
      </w:r>
    </w:p>
    <w:p w:rsidR="000453C0" w:rsidRPr="006C0113" w:rsidRDefault="000453C0" w:rsidP="000453C0">
      <w:pPr>
        <w:autoSpaceDE w:val="0"/>
        <w:autoSpaceDN w:val="0"/>
        <w:adjustRightInd w:val="0"/>
        <w:rPr>
          <w:rFonts w:eastAsia="HelenPro-Regular"/>
        </w:rPr>
      </w:pPr>
      <w:r w:rsidRPr="006C0113">
        <w:rPr>
          <w:rFonts w:eastAsia="HelenPro-Bold"/>
          <w:b/>
          <w:bCs/>
        </w:rPr>
        <w:t xml:space="preserve">• </w:t>
      </w:r>
      <w:r w:rsidRPr="006C0113">
        <w:rPr>
          <w:rFonts w:eastAsia="HelenPro-Regular"/>
        </w:rPr>
        <w:t>Current methods for the detection of antibodies to HCV may not detect all infected individuals. A nonreactive test result does not exclude the possibility of exposure to HCV.</w:t>
      </w:r>
    </w:p>
    <w:p w:rsidR="000453C0" w:rsidRPr="006C0113" w:rsidRDefault="000453C0" w:rsidP="000453C0">
      <w:pPr>
        <w:autoSpaceDE w:val="0"/>
        <w:autoSpaceDN w:val="0"/>
        <w:adjustRightInd w:val="0"/>
        <w:rPr>
          <w:rFonts w:eastAsia="HelenPro-Regular"/>
        </w:rPr>
      </w:pPr>
      <w:r w:rsidRPr="006C0113">
        <w:rPr>
          <w:rFonts w:eastAsia="HelenPro-Bold"/>
          <w:b/>
          <w:bCs/>
        </w:rPr>
        <w:t xml:space="preserve">• </w:t>
      </w:r>
      <w:r w:rsidRPr="006C0113">
        <w:rPr>
          <w:rFonts w:eastAsia="HelenPro-Regular"/>
        </w:rPr>
        <w:t>Nonreactive test results in individuals with prior exposure to HCV may be due to antibody levels being below the detection limit of this assay or to lack of antibody reactivity to the recombinant antigens used in this assay.</w:t>
      </w:r>
    </w:p>
    <w:p w:rsidR="000453C0" w:rsidRPr="006C0113" w:rsidRDefault="000453C0" w:rsidP="000453C0">
      <w:pPr>
        <w:autoSpaceDE w:val="0"/>
        <w:autoSpaceDN w:val="0"/>
        <w:adjustRightInd w:val="0"/>
        <w:rPr>
          <w:rFonts w:eastAsia="HelenPro-Regular"/>
        </w:rPr>
      </w:pPr>
      <w:r w:rsidRPr="006C0113">
        <w:rPr>
          <w:rFonts w:eastAsia="HelenPro-Bold"/>
          <w:b/>
          <w:bCs/>
        </w:rPr>
        <w:lastRenderedPageBreak/>
        <w:t xml:space="preserve">• </w:t>
      </w:r>
      <w:proofErr w:type="spellStart"/>
      <w:r w:rsidRPr="006C0113">
        <w:rPr>
          <w:rFonts w:eastAsia="HelenPro-Regular"/>
        </w:rPr>
        <w:t>Immunocompromised</w:t>
      </w:r>
      <w:proofErr w:type="spellEnd"/>
      <w:r w:rsidRPr="006C0113">
        <w:rPr>
          <w:rFonts w:eastAsia="HelenPro-Regular"/>
        </w:rPr>
        <w:t xml:space="preserve"> patients who have HCV may produce levels of antibody below the sensitivity of this assay and may not be detected as positive.</w:t>
      </w:r>
    </w:p>
    <w:p w:rsidR="000453C0" w:rsidRPr="006C0113" w:rsidRDefault="000453C0" w:rsidP="000453C0">
      <w:pPr>
        <w:autoSpaceDE w:val="0"/>
        <w:autoSpaceDN w:val="0"/>
        <w:adjustRightInd w:val="0"/>
        <w:rPr>
          <w:rFonts w:eastAsia="HelenPro-Regular"/>
        </w:rPr>
      </w:pPr>
      <w:r w:rsidRPr="006C0113">
        <w:rPr>
          <w:rFonts w:eastAsia="HelenPro-Bold"/>
          <w:b/>
          <w:bCs/>
        </w:rPr>
        <w:t xml:space="preserve">• </w:t>
      </w:r>
      <w:r w:rsidRPr="006C0113">
        <w:rPr>
          <w:rFonts w:eastAsia="HelenPro-Regular"/>
        </w:rPr>
        <w:t xml:space="preserve">The affinity or avidity differences of anti-human </w:t>
      </w:r>
      <w:proofErr w:type="spellStart"/>
      <w:r w:rsidRPr="006C0113">
        <w:rPr>
          <w:rFonts w:eastAsia="HelenPro-Regular"/>
        </w:rPr>
        <w:t>IgG</w:t>
      </w:r>
      <w:proofErr w:type="spellEnd"/>
      <w:r w:rsidRPr="006C0113">
        <w:rPr>
          <w:rFonts w:eastAsia="HelenPro-Regular"/>
        </w:rPr>
        <w:t>/</w:t>
      </w:r>
      <w:proofErr w:type="spellStart"/>
      <w:r w:rsidRPr="006C0113">
        <w:rPr>
          <w:rFonts w:eastAsia="HelenPro-Regular"/>
        </w:rPr>
        <w:t>IgM</w:t>
      </w:r>
      <w:proofErr w:type="spellEnd"/>
      <w:r w:rsidRPr="006C0113">
        <w:rPr>
          <w:rFonts w:eastAsia="HelenPro-Regular"/>
        </w:rPr>
        <w:t xml:space="preserve"> for anti-HCV have not been determined with this assay. Therefore, there may not be a demonstration of a significant increase in antibody level between acute and convalescent specimens for a patient in the late acute stage of infection when </w:t>
      </w:r>
      <w:proofErr w:type="spellStart"/>
      <w:r w:rsidRPr="006C0113">
        <w:rPr>
          <w:rFonts w:eastAsia="HelenPro-Regular"/>
        </w:rPr>
        <w:t>IgM</w:t>
      </w:r>
      <w:proofErr w:type="spellEnd"/>
      <w:r w:rsidRPr="006C0113">
        <w:rPr>
          <w:rFonts w:eastAsia="HelenPro-Regular"/>
        </w:rPr>
        <w:t xml:space="preserve"> antibodies are decreasing.</w:t>
      </w:r>
    </w:p>
    <w:p w:rsidR="000453C0" w:rsidRPr="006C0113" w:rsidRDefault="000453C0" w:rsidP="000453C0">
      <w:pPr>
        <w:autoSpaceDE w:val="0"/>
        <w:autoSpaceDN w:val="0"/>
        <w:adjustRightInd w:val="0"/>
        <w:rPr>
          <w:rFonts w:eastAsia="HelenPro-Regular"/>
        </w:rPr>
      </w:pPr>
      <w:r w:rsidRPr="006C0113">
        <w:rPr>
          <w:rFonts w:eastAsia="HelenPro-Bold"/>
          <w:b/>
          <w:bCs/>
        </w:rPr>
        <w:t xml:space="preserve">• </w:t>
      </w:r>
      <w:r w:rsidRPr="006C0113">
        <w:rPr>
          <w:rFonts w:eastAsia="HelenPro-Regular"/>
        </w:rPr>
        <w:t>Results obtained with the ARCHITECT Anti-HCV assay may not be used interchangeably with values obtained with different manufacturers’ assay methods.</w:t>
      </w:r>
    </w:p>
    <w:p w:rsidR="000453C0" w:rsidRPr="006C0113" w:rsidRDefault="000453C0" w:rsidP="000453C0">
      <w:pPr>
        <w:autoSpaceDE w:val="0"/>
        <w:autoSpaceDN w:val="0"/>
        <w:adjustRightInd w:val="0"/>
        <w:rPr>
          <w:rFonts w:eastAsia="HelenPro-Regular"/>
        </w:rPr>
      </w:pPr>
      <w:r w:rsidRPr="006C0113">
        <w:rPr>
          <w:rFonts w:eastAsia="HelenPro-Bold"/>
          <w:b/>
          <w:bCs/>
        </w:rPr>
        <w:t xml:space="preserve">• </w:t>
      </w:r>
      <w:r w:rsidRPr="006C0113">
        <w:rPr>
          <w:rFonts w:eastAsia="HelenPro-Regular"/>
        </w:rPr>
        <w:t xml:space="preserve">Assay performance characteristics have not been established for newborns, infants, children, or populations of </w:t>
      </w:r>
      <w:proofErr w:type="spellStart"/>
      <w:r w:rsidRPr="006C0113">
        <w:rPr>
          <w:rFonts w:eastAsia="HelenPro-Regular"/>
        </w:rPr>
        <w:t>immunocompromised</w:t>
      </w:r>
      <w:proofErr w:type="spellEnd"/>
      <w:r w:rsidRPr="006C0113">
        <w:rPr>
          <w:rFonts w:eastAsia="HelenPro-Regular"/>
        </w:rPr>
        <w:t xml:space="preserve"> or immunosuppressed patients.</w:t>
      </w:r>
    </w:p>
    <w:p w:rsidR="000453C0" w:rsidRPr="006C0113" w:rsidRDefault="000453C0" w:rsidP="000453C0">
      <w:pPr>
        <w:autoSpaceDE w:val="0"/>
        <w:autoSpaceDN w:val="0"/>
        <w:adjustRightInd w:val="0"/>
        <w:rPr>
          <w:rFonts w:eastAsia="HelenPro-Regular"/>
        </w:rPr>
      </w:pPr>
      <w:r w:rsidRPr="006C0113">
        <w:rPr>
          <w:rFonts w:eastAsia="HelenPro-Bold"/>
          <w:b/>
          <w:bCs/>
        </w:rPr>
        <w:t xml:space="preserve">• </w:t>
      </w:r>
      <w:proofErr w:type="spellStart"/>
      <w:r w:rsidRPr="006C0113">
        <w:rPr>
          <w:rFonts w:eastAsia="HelenPro-Regular"/>
        </w:rPr>
        <w:t>Heterophilic</w:t>
      </w:r>
      <w:proofErr w:type="spellEnd"/>
      <w:r w:rsidRPr="006C0113">
        <w:rPr>
          <w:rFonts w:eastAsia="HelenPro-Regular"/>
        </w:rPr>
        <w:t xml:space="preserve"> antibodies in human serum can react with reagent </w:t>
      </w:r>
      <w:proofErr w:type="spellStart"/>
      <w:r w:rsidRPr="006C0113">
        <w:rPr>
          <w:rFonts w:eastAsia="HelenPro-Regular"/>
        </w:rPr>
        <w:t>immunoglobulins</w:t>
      </w:r>
      <w:proofErr w:type="spellEnd"/>
      <w:r w:rsidRPr="006C0113">
        <w:rPr>
          <w:rFonts w:eastAsia="HelenPro-Regular"/>
        </w:rPr>
        <w:t xml:space="preserve">, interfering with </w:t>
      </w:r>
      <w:r w:rsidRPr="006C0113">
        <w:rPr>
          <w:rFonts w:eastAsia="HelenPro-Bold"/>
          <w:i/>
          <w:iCs/>
        </w:rPr>
        <w:t xml:space="preserve">in vitro </w:t>
      </w:r>
      <w:r w:rsidRPr="006C0113">
        <w:rPr>
          <w:rFonts w:eastAsia="HelenPro-Regular"/>
        </w:rPr>
        <w:t>immunoassays. 24 Patients routinely exposed to animals or to animal serum products can be prone to this interference and anomalous values may be observed. Additional information may be required for diagnosis.</w:t>
      </w:r>
    </w:p>
    <w:p w:rsidR="000453C0" w:rsidRPr="006C0113" w:rsidRDefault="000453C0" w:rsidP="000453C0">
      <w:pPr>
        <w:autoSpaceDE w:val="0"/>
        <w:autoSpaceDN w:val="0"/>
        <w:adjustRightInd w:val="0"/>
        <w:rPr>
          <w:rFonts w:eastAsia="HelenPro-Regular"/>
        </w:rPr>
      </w:pPr>
      <w:r w:rsidRPr="006C0113">
        <w:rPr>
          <w:rFonts w:eastAsia="HelenPro-Bold"/>
          <w:b/>
          <w:bCs/>
        </w:rPr>
        <w:t xml:space="preserve">• </w:t>
      </w:r>
      <w:r w:rsidRPr="006C0113">
        <w:rPr>
          <w:rFonts w:eastAsia="HelenPro-Regular"/>
        </w:rPr>
        <w:t>A reactive anti-HCV result does not exclude co-infection by another hepatitis virus.</w:t>
      </w:r>
    </w:p>
    <w:p w:rsidR="00E8215F" w:rsidRPr="006C0113" w:rsidRDefault="000453C0" w:rsidP="000453C0">
      <w:pPr>
        <w:autoSpaceDE w:val="0"/>
        <w:autoSpaceDN w:val="0"/>
        <w:adjustRightInd w:val="0"/>
        <w:rPr>
          <w:rFonts w:eastAsia="HelenPro-Regular"/>
        </w:rPr>
      </w:pPr>
      <w:r w:rsidRPr="006C0113">
        <w:rPr>
          <w:rFonts w:eastAsia="HelenPro-Bold"/>
          <w:b/>
          <w:bCs/>
        </w:rPr>
        <w:t xml:space="preserve">• </w:t>
      </w:r>
      <w:r w:rsidRPr="006C0113">
        <w:rPr>
          <w:rFonts w:eastAsia="HelenPro-Regular"/>
        </w:rPr>
        <w:t>The magnitude of an ARCHITECT Anti-HCV assay result cannot be correlated to an end point titer.</w:t>
      </w:r>
      <w:r w:rsidR="00531F75" w:rsidRPr="006C0113">
        <w:rPr>
          <w:rFonts w:eastAsia="HelenPro-Regular"/>
        </w:rPr>
        <w:t xml:space="preserve"> </w:t>
      </w:r>
    </w:p>
    <w:p w:rsidR="00531F75" w:rsidRPr="006C0113" w:rsidRDefault="00531F75" w:rsidP="00531F75">
      <w:pPr>
        <w:pStyle w:val="ListParagraph"/>
        <w:autoSpaceDE w:val="0"/>
        <w:autoSpaceDN w:val="0"/>
        <w:adjustRightInd w:val="0"/>
        <w:rPr>
          <w:rFonts w:eastAsia="HelenPro-Bold"/>
          <w:b/>
          <w:bCs/>
        </w:rPr>
      </w:pPr>
    </w:p>
    <w:p w:rsidR="00F95946" w:rsidRPr="006C0113" w:rsidRDefault="00F95946" w:rsidP="00F95946">
      <w:pPr>
        <w:autoSpaceDE w:val="0"/>
        <w:autoSpaceDN w:val="0"/>
        <w:adjustRightInd w:val="0"/>
        <w:rPr>
          <w:rFonts w:eastAsia="HelenPro-Bold"/>
          <w:b/>
          <w:bCs/>
        </w:rPr>
      </w:pPr>
      <w:r w:rsidRPr="006C0113">
        <w:rPr>
          <w:rFonts w:eastAsia="HelenPro-Bold"/>
          <w:b/>
          <w:bCs/>
        </w:rPr>
        <w:t>Interfering Substances</w:t>
      </w:r>
    </w:p>
    <w:p w:rsidR="00236ADE" w:rsidRPr="006C0113" w:rsidRDefault="00236ADE" w:rsidP="00236ADE">
      <w:pPr>
        <w:autoSpaceDE w:val="0"/>
        <w:autoSpaceDN w:val="0"/>
        <w:adjustRightInd w:val="0"/>
        <w:rPr>
          <w:rFonts w:eastAsia="HelenPro-Regular"/>
        </w:rPr>
      </w:pPr>
      <w:r w:rsidRPr="006C0113">
        <w:rPr>
          <w:rFonts w:eastAsia="HelenPro-Regular"/>
        </w:rPr>
        <w:t>At the concentrations listed below, bilirubin (conjugated and unconjugated), hemoglobin, total protein, and triglycerides showed less than 10% interference in the ARCHITECT Anti-HCV assay for high negative samples (S/CO range: 0.60 to 0.99) and low positive samples (S/CO range: 1.00 to 1.40):</w:t>
      </w:r>
    </w:p>
    <w:p w:rsidR="00236ADE" w:rsidRPr="006C0113" w:rsidRDefault="00236ADE" w:rsidP="00236ADE">
      <w:pPr>
        <w:autoSpaceDE w:val="0"/>
        <w:autoSpaceDN w:val="0"/>
        <w:adjustRightInd w:val="0"/>
        <w:rPr>
          <w:rFonts w:eastAsia="HelenPro-Regular"/>
        </w:rPr>
      </w:pPr>
      <w:r w:rsidRPr="006C0113">
        <w:rPr>
          <w:rFonts w:eastAsia="HelenPro-Bold"/>
          <w:b/>
          <w:bCs/>
        </w:rPr>
        <w:t xml:space="preserve">• </w:t>
      </w:r>
      <w:r w:rsidRPr="006C0113">
        <w:rPr>
          <w:rFonts w:eastAsia="HelenPro-Regular"/>
        </w:rPr>
        <w:t xml:space="preserve">Bilirubin </w:t>
      </w:r>
      <w:r w:rsidRPr="006C0113">
        <w:rPr>
          <w:rFonts w:eastAsia="HelenPro-Regular"/>
        </w:rPr>
        <w:tab/>
      </w:r>
      <w:r w:rsidRPr="006C0113">
        <w:rPr>
          <w:rFonts w:eastAsia="HelenPro-Regular"/>
        </w:rPr>
        <w:tab/>
      </w:r>
      <w:r w:rsidRPr="006C0113">
        <w:rPr>
          <w:rFonts w:eastAsia="HelenPro-Regular"/>
        </w:rPr>
        <w:tab/>
        <w:t>≤ 20 mg/</w:t>
      </w:r>
      <w:proofErr w:type="spellStart"/>
      <w:r w:rsidRPr="006C0113">
        <w:rPr>
          <w:rFonts w:eastAsia="HelenPro-Regular"/>
        </w:rPr>
        <w:t>dL</w:t>
      </w:r>
      <w:proofErr w:type="spellEnd"/>
    </w:p>
    <w:p w:rsidR="00236ADE" w:rsidRPr="006C0113" w:rsidRDefault="00236ADE" w:rsidP="00236ADE">
      <w:pPr>
        <w:autoSpaceDE w:val="0"/>
        <w:autoSpaceDN w:val="0"/>
        <w:adjustRightInd w:val="0"/>
        <w:rPr>
          <w:rFonts w:eastAsia="HelenPro-Regular"/>
        </w:rPr>
      </w:pPr>
      <w:r w:rsidRPr="006C0113">
        <w:rPr>
          <w:rFonts w:eastAsia="HelenPro-Bold"/>
          <w:b/>
          <w:bCs/>
        </w:rPr>
        <w:t xml:space="preserve">• </w:t>
      </w:r>
      <w:r w:rsidRPr="006C0113">
        <w:rPr>
          <w:rFonts w:eastAsia="HelenPro-Regular"/>
        </w:rPr>
        <w:t xml:space="preserve">Hemoglobin </w:t>
      </w:r>
      <w:r w:rsidRPr="006C0113">
        <w:rPr>
          <w:rFonts w:eastAsia="HelenPro-Regular"/>
        </w:rPr>
        <w:tab/>
      </w:r>
      <w:r w:rsidRPr="006C0113">
        <w:rPr>
          <w:rFonts w:eastAsia="HelenPro-Regular"/>
        </w:rPr>
        <w:tab/>
      </w:r>
      <w:r w:rsidRPr="006C0113">
        <w:rPr>
          <w:rFonts w:eastAsia="HelenPro-Regular"/>
        </w:rPr>
        <w:tab/>
        <w:t>≤ 500 mg/</w:t>
      </w:r>
      <w:proofErr w:type="spellStart"/>
      <w:r w:rsidRPr="006C0113">
        <w:rPr>
          <w:rFonts w:eastAsia="HelenPro-Regular"/>
        </w:rPr>
        <w:t>dL</w:t>
      </w:r>
      <w:proofErr w:type="spellEnd"/>
    </w:p>
    <w:p w:rsidR="00236ADE" w:rsidRPr="006C0113" w:rsidRDefault="00236ADE" w:rsidP="00236ADE">
      <w:pPr>
        <w:autoSpaceDE w:val="0"/>
        <w:autoSpaceDN w:val="0"/>
        <w:adjustRightInd w:val="0"/>
        <w:rPr>
          <w:rFonts w:eastAsia="HelenPro-Regular"/>
        </w:rPr>
      </w:pPr>
      <w:r w:rsidRPr="006C0113">
        <w:rPr>
          <w:rFonts w:eastAsia="HelenPro-Bold"/>
          <w:b/>
          <w:bCs/>
        </w:rPr>
        <w:t xml:space="preserve">• </w:t>
      </w:r>
      <w:r w:rsidRPr="006C0113">
        <w:rPr>
          <w:rFonts w:eastAsia="HelenPro-Regular"/>
        </w:rPr>
        <w:t xml:space="preserve">Total Protein </w:t>
      </w:r>
      <w:r w:rsidRPr="006C0113">
        <w:rPr>
          <w:rFonts w:eastAsia="HelenPro-Regular"/>
        </w:rPr>
        <w:tab/>
      </w:r>
      <w:r w:rsidRPr="006C0113">
        <w:rPr>
          <w:rFonts w:eastAsia="HelenPro-Regular"/>
        </w:rPr>
        <w:tab/>
        <w:t>≤ 12 g/</w:t>
      </w:r>
      <w:proofErr w:type="spellStart"/>
      <w:r w:rsidRPr="006C0113">
        <w:rPr>
          <w:rFonts w:eastAsia="HelenPro-Regular"/>
        </w:rPr>
        <w:t>dL</w:t>
      </w:r>
      <w:proofErr w:type="spellEnd"/>
    </w:p>
    <w:p w:rsidR="00041A33" w:rsidRPr="006C0113" w:rsidRDefault="00236ADE" w:rsidP="00236ADE">
      <w:pPr>
        <w:jc w:val="both"/>
        <w:rPr>
          <w:b/>
        </w:rPr>
      </w:pPr>
      <w:r w:rsidRPr="006C0113">
        <w:rPr>
          <w:rFonts w:eastAsia="HelenPro-Bold"/>
          <w:b/>
          <w:bCs/>
        </w:rPr>
        <w:t xml:space="preserve">• </w:t>
      </w:r>
      <w:r w:rsidRPr="006C0113">
        <w:rPr>
          <w:rFonts w:eastAsia="HelenPro-Regular"/>
        </w:rPr>
        <w:t xml:space="preserve">Triglycerides </w:t>
      </w:r>
      <w:r w:rsidRPr="006C0113">
        <w:rPr>
          <w:rFonts w:eastAsia="HelenPro-Regular"/>
        </w:rPr>
        <w:tab/>
      </w:r>
      <w:r w:rsidRPr="006C0113">
        <w:rPr>
          <w:rFonts w:eastAsia="HelenPro-Regular"/>
        </w:rPr>
        <w:tab/>
        <w:t>≤ 3000 mg/</w:t>
      </w:r>
      <w:proofErr w:type="spellStart"/>
      <w:r w:rsidRPr="006C0113">
        <w:rPr>
          <w:rFonts w:eastAsia="HelenPro-Regular"/>
        </w:rPr>
        <w:t>dL</w:t>
      </w:r>
      <w:proofErr w:type="spellEnd"/>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36ADE" w:rsidRPr="006C0113" w:rsidRDefault="00236ADE" w:rsidP="00D16B69">
      <w:pPr>
        <w:jc w:val="both"/>
        <w:rPr>
          <w:b/>
        </w:rPr>
      </w:pPr>
    </w:p>
    <w:p w:rsidR="002648A6" w:rsidRPr="006C0113" w:rsidRDefault="003356DF" w:rsidP="00D16B69">
      <w:pPr>
        <w:jc w:val="both"/>
        <w:rPr>
          <w:b/>
        </w:rPr>
      </w:pPr>
      <w:r w:rsidRPr="006C0113">
        <w:rPr>
          <w:b/>
        </w:rPr>
        <w:t>Specificity</w:t>
      </w:r>
    </w:p>
    <w:p w:rsidR="00E41F60" w:rsidRPr="006C0113" w:rsidRDefault="000453C0" w:rsidP="00E41F60">
      <w:pPr>
        <w:autoSpaceDE w:val="0"/>
        <w:autoSpaceDN w:val="0"/>
        <w:adjustRightInd w:val="0"/>
        <w:rPr>
          <w:rFonts w:eastAsia="HelenPro-Regular"/>
        </w:rPr>
      </w:pPr>
      <w:r w:rsidRPr="006C0113">
        <w:rPr>
          <w:noProof/>
        </w:rPr>
        <w:drawing>
          <wp:inline distT="0" distB="0" distL="0" distR="0" wp14:anchorId="7C6820EA" wp14:editId="41C39C4E">
            <wp:extent cx="5943600" cy="4100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4100195"/>
                    </a:xfrm>
                    <a:prstGeom prst="rect">
                      <a:avLst/>
                    </a:prstGeom>
                  </pic:spPr>
                </pic:pic>
              </a:graphicData>
            </a:graphic>
          </wp:inline>
        </w:drawing>
      </w:r>
    </w:p>
    <w:p w:rsidR="000453C0" w:rsidRPr="006C0113" w:rsidRDefault="000453C0" w:rsidP="00E41F60">
      <w:pPr>
        <w:autoSpaceDE w:val="0"/>
        <w:autoSpaceDN w:val="0"/>
        <w:adjustRightInd w:val="0"/>
        <w:rPr>
          <w:rFonts w:eastAsia="HelenPro-Regular"/>
        </w:rPr>
      </w:pPr>
      <w:r w:rsidRPr="006C0113">
        <w:rPr>
          <w:noProof/>
        </w:rPr>
        <w:drawing>
          <wp:inline distT="0" distB="0" distL="0" distR="0" wp14:anchorId="08503A60" wp14:editId="08DC26C8">
            <wp:extent cx="6326372" cy="1212112"/>
            <wp:effectExtent l="0" t="0" r="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326910" cy="1212215"/>
                    </a:xfrm>
                    <a:prstGeom prst="rect">
                      <a:avLst/>
                    </a:prstGeom>
                  </pic:spPr>
                </pic:pic>
              </a:graphicData>
            </a:graphic>
          </wp:inline>
        </w:drawing>
      </w:r>
    </w:p>
    <w:p w:rsidR="00304229" w:rsidRPr="006C0113" w:rsidRDefault="00304229" w:rsidP="005F4FCB">
      <w:pPr>
        <w:autoSpaceDE w:val="0"/>
        <w:autoSpaceDN w:val="0"/>
        <w:adjustRightInd w:val="0"/>
        <w:rPr>
          <w:rFonts w:eastAsia="HelenPro-Regular"/>
        </w:rPr>
      </w:pPr>
      <w:r w:rsidRPr="006C0113">
        <w:rPr>
          <w:rFonts w:eastAsia="HelenPro-Regular"/>
        </w:rPr>
        <w:t xml:space="preserve">  </w:t>
      </w:r>
    </w:p>
    <w:p w:rsidR="005F4FCB" w:rsidRPr="006C0113" w:rsidRDefault="005F4FCB" w:rsidP="005F4FCB">
      <w:pPr>
        <w:autoSpaceDE w:val="0"/>
        <w:autoSpaceDN w:val="0"/>
        <w:adjustRightInd w:val="0"/>
        <w:rPr>
          <w:rFonts w:eastAsia="HelenPro-Regular"/>
        </w:rPr>
      </w:pPr>
    </w:p>
    <w:p w:rsidR="00236ADE" w:rsidRPr="006C0113" w:rsidRDefault="00236ADE" w:rsidP="005F4FCB">
      <w:pPr>
        <w:autoSpaceDE w:val="0"/>
        <w:autoSpaceDN w:val="0"/>
        <w:adjustRightInd w:val="0"/>
        <w:rPr>
          <w:rFonts w:eastAsia="HelenPro-Regular"/>
        </w:rPr>
      </w:pPr>
    </w:p>
    <w:p w:rsidR="00236ADE" w:rsidRPr="006C0113" w:rsidRDefault="00236ADE" w:rsidP="005F4FCB">
      <w:pPr>
        <w:autoSpaceDE w:val="0"/>
        <w:autoSpaceDN w:val="0"/>
        <w:adjustRightInd w:val="0"/>
        <w:rPr>
          <w:rFonts w:eastAsia="HelenPro-Regular"/>
        </w:rPr>
      </w:pPr>
    </w:p>
    <w:p w:rsidR="00236ADE" w:rsidRPr="006C0113" w:rsidRDefault="00236ADE" w:rsidP="005F4FCB">
      <w:pPr>
        <w:autoSpaceDE w:val="0"/>
        <w:autoSpaceDN w:val="0"/>
        <w:adjustRightInd w:val="0"/>
        <w:rPr>
          <w:rFonts w:eastAsia="HelenPro-Regular"/>
        </w:rPr>
      </w:pPr>
    </w:p>
    <w:p w:rsidR="00236ADE" w:rsidRPr="006C0113" w:rsidRDefault="00236ADE" w:rsidP="005F4FCB">
      <w:pPr>
        <w:autoSpaceDE w:val="0"/>
        <w:autoSpaceDN w:val="0"/>
        <w:adjustRightInd w:val="0"/>
        <w:rPr>
          <w:rFonts w:eastAsia="HelenPro-Regular"/>
        </w:rPr>
      </w:pPr>
    </w:p>
    <w:p w:rsidR="00236ADE" w:rsidRPr="006C0113" w:rsidRDefault="00236ADE" w:rsidP="005F4FCB">
      <w:pPr>
        <w:autoSpaceDE w:val="0"/>
        <w:autoSpaceDN w:val="0"/>
        <w:adjustRightInd w:val="0"/>
        <w:rPr>
          <w:rFonts w:eastAsia="HelenPro-Regular"/>
        </w:rPr>
      </w:pPr>
    </w:p>
    <w:p w:rsidR="00236ADE" w:rsidRPr="006C0113" w:rsidRDefault="00236ADE" w:rsidP="005F4FCB">
      <w:pPr>
        <w:autoSpaceDE w:val="0"/>
        <w:autoSpaceDN w:val="0"/>
        <w:adjustRightInd w:val="0"/>
        <w:rPr>
          <w:rFonts w:eastAsia="HelenPro-Regular"/>
        </w:rPr>
      </w:pPr>
    </w:p>
    <w:p w:rsidR="00236ADE" w:rsidRPr="006C0113" w:rsidRDefault="00236ADE" w:rsidP="005F4FCB">
      <w:pPr>
        <w:autoSpaceDE w:val="0"/>
        <w:autoSpaceDN w:val="0"/>
        <w:adjustRightInd w:val="0"/>
        <w:rPr>
          <w:rFonts w:eastAsia="HelenPro-Regular"/>
        </w:rPr>
      </w:pPr>
    </w:p>
    <w:p w:rsidR="005F4FCB" w:rsidRPr="006C0113" w:rsidRDefault="005F4FCB" w:rsidP="00D16B69">
      <w:pPr>
        <w:jc w:val="both"/>
        <w:rPr>
          <w:b/>
        </w:rPr>
      </w:pPr>
    </w:p>
    <w:p w:rsidR="00D16B69" w:rsidRPr="006C0113" w:rsidRDefault="00D16B69" w:rsidP="00D16B69">
      <w:pPr>
        <w:jc w:val="both"/>
        <w:rPr>
          <w:b/>
        </w:rPr>
      </w:pPr>
      <w:r w:rsidRPr="006C0113">
        <w:rPr>
          <w:b/>
        </w:rPr>
        <w:lastRenderedPageBreak/>
        <w:t>References:</w:t>
      </w:r>
      <w:r w:rsidR="00973EAF" w:rsidRPr="006C0113">
        <w:rPr>
          <w:b/>
        </w:rPr>
        <w:t xml:space="preserve"> </w:t>
      </w:r>
    </w:p>
    <w:p w:rsidR="000A13F2" w:rsidRPr="006C0113" w:rsidRDefault="000A13F2" w:rsidP="00030CDD">
      <w:pPr>
        <w:pStyle w:val="ListParagraph"/>
        <w:numPr>
          <w:ilvl w:val="0"/>
          <w:numId w:val="4"/>
        </w:numPr>
        <w:rPr>
          <w:sz w:val="22"/>
          <w:szCs w:val="22"/>
        </w:rPr>
      </w:pPr>
      <w:r w:rsidRPr="006C0113">
        <w:rPr>
          <w:sz w:val="22"/>
          <w:szCs w:val="22"/>
        </w:rPr>
        <w:t xml:space="preserve">ABBOTT ARCHITECT </w:t>
      </w:r>
      <w:r w:rsidR="00236ADE" w:rsidRPr="006C0113">
        <w:rPr>
          <w:sz w:val="22"/>
          <w:szCs w:val="22"/>
        </w:rPr>
        <w:t>Anti-HCV</w:t>
      </w:r>
      <w:r w:rsidRPr="006C0113">
        <w:rPr>
          <w:sz w:val="22"/>
          <w:szCs w:val="22"/>
        </w:rPr>
        <w:t xml:space="preserve"> package insert</w:t>
      </w:r>
    </w:p>
    <w:p w:rsidR="000A13F2" w:rsidRPr="006C0113" w:rsidRDefault="000A13F2" w:rsidP="000A13F2">
      <w:pPr>
        <w:pStyle w:val="ListParagraph"/>
        <w:rPr>
          <w:sz w:val="22"/>
          <w:szCs w:val="22"/>
        </w:rPr>
      </w:pPr>
      <w:r w:rsidRPr="006C0113">
        <w:rPr>
          <w:sz w:val="22"/>
          <w:szCs w:val="22"/>
        </w:rPr>
        <w:t>Abbott Laboratories</w:t>
      </w:r>
    </w:p>
    <w:p w:rsidR="000A13F2" w:rsidRPr="006C0113" w:rsidRDefault="000A13F2" w:rsidP="000A13F2">
      <w:pPr>
        <w:pStyle w:val="ListParagraph"/>
        <w:rPr>
          <w:sz w:val="22"/>
          <w:szCs w:val="22"/>
        </w:rPr>
      </w:pPr>
      <w:r w:rsidRPr="006C0113">
        <w:rPr>
          <w:sz w:val="22"/>
          <w:szCs w:val="22"/>
        </w:rPr>
        <w:t>Diagnostics Division</w:t>
      </w:r>
    </w:p>
    <w:p w:rsidR="000A13F2" w:rsidRPr="006C0113" w:rsidRDefault="000A13F2" w:rsidP="000A13F2">
      <w:pPr>
        <w:pStyle w:val="ListParagraph"/>
        <w:rPr>
          <w:sz w:val="22"/>
          <w:szCs w:val="22"/>
        </w:rPr>
      </w:pPr>
      <w:r w:rsidRPr="006C0113">
        <w:rPr>
          <w:sz w:val="22"/>
          <w:szCs w:val="22"/>
        </w:rPr>
        <w:t>Abbott Park, IL  60064</w:t>
      </w:r>
    </w:p>
    <w:p w:rsidR="00425BA0" w:rsidRPr="006C0113" w:rsidRDefault="00EE3A65" w:rsidP="00425BA0">
      <w:pPr>
        <w:pStyle w:val="ListParagraph"/>
        <w:rPr>
          <w:rFonts w:eastAsia="HelenPro-Bold"/>
          <w:b/>
          <w:bCs/>
          <w:sz w:val="20"/>
          <w:szCs w:val="20"/>
        </w:rPr>
      </w:pPr>
      <w:r w:rsidRPr="006C0113">
        <w:rPr>
          <w:bCs/>
          <w:sz w:val="22"/>
          <w:szCs w:val="22"/>
        </w:rPr>
        <w:t>Nov</w:t>
      </w:r>
      <w:r w:rsidR="0074336C" w:rsidRPr="006C0113">
        <w:rPr>
          <w:bCs/>
          <w:sz w:val="22"/>
          <w:szCs w:val="22"/>
        </w:rPr>
        <w:t xml:space="preserve"> 201</w:t>
      </w:r>
      <w:r w:rsidRPr="006C0113">
        <w:rPr>
          <w:bCs/>
          <w:sz w:val="22"/>
          <w:szCs w:val="22"/>
        </w:rPr>
        <w:t>5</w:t>
      </w:r>
      <w:r w:rsidR="000A13F2" w:rsidRPr="006C0113">
        <w:rPr>
          <w:bCs/>
          <w:sz w:val="22"/>
          <w:szCs w:val="22"/>
        </w:rPr>
        <w:t xml:space="preserve"> </w:t>
      </w:r>
      <w:r w:rsidRPr="006C0113">
        <w:rPr>
          <w:rFonts w:eastAsia="HelenPro-Bold"/>
          <w:bCs/>
          <w:sz w:val="22"/>
          <w:szCs w:val="28"/>
        </w:rPr>
        <w:t>G6-2769/R06</w:t>
      </w:r>
    </w:p>
    <w:p w:rsidR="000A13F2" w:rsidRPr="006C0113" w:rsidRDefault="000A13F2" w:rsidP="00425BA0">
      <w:pPr>
        <w:pStyle w:val="ListParagraph"/>
        <w:numPr>
          <w:ilvl w:val="0"/>
          <w:numId w:val="4"/>
        </w:numPr>
        <w:rPr>
          <w:rFonts w:eastAsia="HelenPro-Bold"/>
          <w:b/>
          <w:bCs/>
          <w:sz w:val="20"/>
          <w:szCs w:val="20"/>
        </w:rPr>
      </w:pPr>
      <w:r w:rsidRPr="006C0113">
        <w:rPr>
          <w:sz w:val="22"/>
          <w:szCs w:val="22"/>
        </w:rPr>
        <w:t xml:space="preserve">ABBOTT ARCHITECT </w:t>
      </w:r>
      <w:r w:rsidR="00236ADE" w:rsidRPr="006C0113">
        <w:rPr>
          <w:sz w:val="22"/>
          <w:szCs w:val="22"/>
        </w:rPr>
        <w:t>Anti-HCV</w:t>
      </w:r>
      <w:r w:rsidR="00871834" w:rsidRPr="006C0113">
        <w:rPr>
          <w:sz w:val="22"/>
          <w:szCs w:val="22"/>
        </w:rPr>
        <w:t xml:space="preserve"> </w:t>
      </w:r>
      <w:r w:rsidRPr="006C0113">
        <w:rPr>
          <w:sz w:val="22"/>
          <w:szCs w:val="22"/>
        </w:rPr>
        <w:t>Calibrator package insert</w:t>
      </w:r>
    </w:p>
    <w:p w:rsidR="000A13F2" w:rsidRPr="006C0113" w:rsidRDefault="000A13F2" w:rsidP="000A13F2">
      <w:pPr>
        <w:pStyle w:val="ListParagraph"/>
        <w:rPr>
          <w:sz w:val="22"/>
          <w:szCs w:val="22"/>
        </w:rPr>
      </w:pPr>
      <w:r w:rsidRPr="006C0113">
        <w:rPr>
          <w:sz w:val="22"/>
          <w:szCs w:val="22"/>
        </w:rPr>
        <w:t>Abbott Laboratories</w:t>
      </w:r>
    </w:p>
    <w:p w:rsidR="000A13F2" w:rsidRPr="006C0113" w:rsidRDefault="000A13F2" w:rsidP="000A13F2">
      <w:pPr>
        <w:pStyle w:val="ListParagraph"/>
        <w:rPr>
          <w:sz w:val="22"/>
          <w:szCs w:val="22"/>
        </w:rPr>
      </w:pPr>
      <w:r w:rsidRPr="006C0113">
        <w:rPr>
          <w:sz w:val="22"/>
          <w:szCs w:val="22"/>
        </w:rPr>
        <w:t>Diagnostics Division</w:t>
      </w:r>
    </w:p>
    <w:p w:rsidR="000A13F2" w:rsidRPr="006C0113" w:rsidRDefault="000A13F2" w:rsidP="000A13F2">
      <w:pPr>
        <w:pStyle w:val="ListParagraph"/>
        <w:rPr>
          <w:sz w:val="22"/>
          <w:szCs w:val="22"/>
        </w:rPr>
      </w:pPr>
      <w:r w:rsidRPr="006C0113">
        <w:rPr>
          <w:sz w:val="22"/>
          <w:szCs w:val="22"/>
        </w:rPr>
        <w:t>Abbott Park, IL  60064</w:t>
      </w:r>
    </w:p>
    <w:p w:rsidR="00881923" w:rsidRPr="006C0113" w:rsidRDefault="000A13F2" w:rsidP="00030CDD">
      <w:pPr>
        <w:pStyle w:val="ListParagraph"/>
        <w:numPr>
          <w:ilvl w:val="0"/>
          <w:numId w:val="4"/>
        </w:numPr>
        <w:spacing w:after="72"/>
        <w:jc w:val="both"/>
      </w:pPr>
      <w:r w:rsidRPr="006C0113">
        <w:t>Abbott ARCHITECT</w:t>
      </w:r>
      <w:r w:rsidR="00D16B69" w:rsidRPr="006C0113">
        <w:rPr>
          <w:lang w:val="ru-RU"/>
        </w:rPr>
        <w:t xml:space="preserve"> Operator’s Guide</w:t>
      </w:r>
    </w:p>
    <w:p w:rsidR="00AB5354" w:rsidRPr="006C0113" w:rsidRDefault="00AB5354" w:rsidP="0009322F">
      <w:pPr>
        <w:rPr>
          <w:b/>
        </w:rPr>
      </w:pPr>
    </w:p>
    <w:p w:rsidR="00173EA4" w:rsidRPr="006C0113" w:rsidRDefault="00173EA4" w:rsidP="00246FA8">
      <w:pPr>
        <w:rPr>
          <w:b/>
        </w:rPr>
      </w:pPr>
    </w:p>
    <w:p w:rsidR="00E41F60" w:rsidRPr="006C0113" w:rsidRDefault="00E41F60" w:rsidP="00246FA8">
      <w:pPr>
        <w:rPr>
          <w:b/>
        </w:rPr>
      </w:pPr>
    </w:p>
    <w:p w:rsidR="00173EA4" w:rsidRPr="006C0113" w:rsidRDefault="00173EA4" w:rsidP="00246FA8">
      <w:pPr>
        <w:rPr>
          <w:b/>
        </w:rPr>
      </w:pPr>
    </w:p>
    <w:p w:rsidR="00173EA4" w:rsidRPr="006C0113" w:rsidRDefault="00173EA4" w:rsidP="00246FA8">
      <w:pPr>
        <w:rPr>
          <w:b/>
        </w:rPr>
      </w:pPr>
    </w:p>
    <w:p w:rsidR="00881923" w:rsidRPr="006C0113" w:rsidRDefault="002D18CA" w:rsidP="00246FA8">
      <w:pPr>
        <w:rPr>
          <w:i/>
          <w:sz w:val="20"/>
          <w:szCs w:val="20"/>
        </w:rPr>
      </w:pPr>
      <w:r w:rsidRPr="006C0113">
        <w:rPr>
          <w:b/>
        </w:rPr>
        <w:t>R</w:t>
      </w:r>
      <w:r w:rsidR="0009322F" w:rsidRPr="006C0113">
        <w:rPr>
          <w:b/>
        </w:rPr>
        <w:t xml:space="preserve">elated Documents: </w:t>
      </w:r>
    </w:p>
    <w:p w:rsidR="00157696" w:rsidRPr="006C0113" w:rsidRDefault="00157696" w:rsidP="00246FA8">
      <w:pPr>
        <w:rPr>
          <w:i/>
          <w:color w:val="FF0000"/>
        </w:rPr>
      </w:pPr>
      <w:r w:rsidRPr="006C0113">
        <w:rPr>
          <w:b/>
        </w:rPr>
        <w:t>Attachments:</w:t>
      </w:r>
      <w:r w:rsidR="00973EAF" w:rsidRPr="006C0113">
        <w:rPr>
          <w:b/>
        </w:rPr>
        <w:t xml:space="preserve"> </w:t>
      </w:r>
    </w:p>
    <w:p w:rsidR="00D16B69" w:rsidRPr="006C0113" w:rsidRDefault="00D16B69" w:rsidP="00951C8E">
      <w:pPr>
        <w:spacing w:after="72"/>
        <w:jc w:val="both"/>
      </w:pPr>
    </w:p>
    <w:p w:rsidR="006C0113" w:rsidRPr="006C0113" w:rsidRDefault="006C0113">
      <w:pPr>
        <w:spacing w:after="72"/>
        <w:jc w:val="both"/>
      </w:pPr>
    </w:p>
    <w:sectPr w:rsidR="006C0113" w:rsidRPr="006C0113" w:rsidSect="00507B0C">
      <w:headerReference w:type="even" r:id="rId24"/>
      <w:headerReference w:type="default" r:id="rId25"/>
      <w:footerReference w:type="even" r:id="rId26"/>
      <w:footerReference w:type="default" r:id="rId27"/>
      <w:headerReference w:type="first" r:id="rId28"/>
      <w:footerReference w:type="first" r:id="rId29"/>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orlab2" w:date="2018-10-22T14:54:00Z" w:initials="y">
    <w:p w:rsidR="006C0113" w:rsidRDefault="006C0113">
      <w:pPr>
        <w:pStyle w:val="CommentText"/>
      </w:pPr>
      <w:r>
        <w:rPr>
          <w:rStyle w:val="CommentReference"/>
        </w:rPr>
        <w:annotationRef/>
      </w:r>
      <w:r>
        <w:t>Please review range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70" w:rsidRDefault="00AF6170">
      <w:r>
        <w:separator/>
      </w:r>
    </w:p>
  </w:endnote>
  <w:endnote w:type="continuationSeparator" w:id="0">
    <w:p w:rsidR="00AF6170" w:rsidRDefault="00AF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3"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MS Gothic"/>
    <w:panose1 w:val="00000000000000000000"/>
    <w:charset w:val="80"/>
    <w:family w:val="swiss"/>
    <w:notTrueType/>
    <w:pitch w:val="default"/>
    <w:sig w:usb0="00000000"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E2" w:rsidRDefault="00EE2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BC1EC4">
    <w:pPr>
      <w:pStyle w:val="Footer"/>
      <w:rPr>
        <w:b/>
        <w:sz w:val="20"/>
        <w:szCs w:val="20"/>
      </w:rPr>
    </w:pPr>
  </w:p>
  <w:p w:rsidR="00B54C79" w:rsidRDefault="00B54C79" w:rsidP="00732895">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6C0113">
      <w:rPr>
        <w:noProof/>
        <w:sz w:val="20"/>
        <w:szCs w:val="20"/>
      </w:rPr>
      <w:t>11</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6C0113">
      <w:rPr>
        <w:noProof/>
        <w:sz w:val="20"/>
        <w:szCs w:val="20"/>
      </w:rPr>
      <w:t>13</w:t>
    </w:r>
    <w:r w:rsidRPr="00427B21">
      <w:rPr>
        <w:sz w:val="20"/>
        <w:szCs w:val="20"/>
      </w:rPr>
      <w:fldChar w:fldCharType="end"/>
    </w:r>
  </w:p>
  <w:p w:rsidR="00B54C79" w:rsidRDefault="00B54C79">
    <w:pPr>
      <w:pStyle w:val="Footer"/>
    </w:pPr>
  </w:p>
  <w:p w:rsidR="00B54C79" w:rsidRDefault="00B54C79"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E2" w:rsidRDefault="00EE2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70" w:rsidRDefault="00AF6170">
      <w:r>
        <w:separator/>
      </w:r>
    </w:p>
  </w:footnote>
  <w:footnote w:type="continuationSeparator" w:id="0">
    <w:p w:rsidR="00AF6170" w:rsidRDefault="00AF6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E2" w:rsidRDefault="00EE2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B54C79" w:rsidP="00100BF8">
    <w:pPr>
      <w:jc w:val="right"/>
      <w:rPr>
        <w:sz w:val="20"/>
        <w:szCs w:val="20"/>
      </w:rPr>
    </w:pPr>
    <w:r w:rsidRPr="001A639E">
      <w:rPr>
        <w:b/>
      </w:rPr>
      <w:tab/>
    </w:r>
    <w:r w:rsidRPr="001A639E">
      <w:rPr>
        <w:b/>
      </w:rPr>
      <w:tab/>
    </w:r>
    <w:proofErr w:type="spellStart"/>
    <w:r>
      <w:rPr>
        <w:b/>
        <w:sz w:val="20"/>
        <w:szCs w:val="20"/>
      </w:rPr>
      <w:t>Proc</w:t>
    </w:r>
    <w:proofErr w:type="spellEnd"/>
    <w:r>
      <w:rPr>
        <w:b/>
        <w:sz w:val="20"/>
        <w:szCs w:val="20"/>
      </w:rPr>
      <w:t>#</w:t>
    </w:r>
    <w:r w:rsidR="00DF0DD3">
      <w:rPr>
        <w:b/>
        <w:sz w:val="20"/>
        <w:szCs w:val="20"/>
      </w:rPr>
      <w:t xml:space="preserve"> 4840-CH-</w:t>
    </w:r>
    <w:r w:rsidR="00EE29E2">
      <w:rPr>
        <w:b/>
        <w:sz w:val="20"/>
        <w:szCs w:val="20"/>
      </w:rPr>
      <w:t>179</w:t>
    </w:r>
  </w:p>
  <w:p w:rsidR="00B54C79" w:rsidRDefault="00B54C79" w:rsidP="00100BF8">
    <w:pPr>
      <w:jc w:val="right"/>
      <w:rPr>
        <w:sz w:val="20"/>
        <w:szCs w:val="20"/>
      </w:rPr>
    </w:pPr>
    <w:r>
      <w:rPr>
        <w:sz w:val="20"/>
        <w:szCs w:val="20"/>
      </w:rPr>
      <w:t xml:space="preserve">ARCHITECT </w:t>
    </w:r>
    <w:r w:rsidR="00A21F86">
      <w:rPr>
        <w:sz w:val="20"/>
        <w:szCs w:val="20"/>
      </w:rPr>
      <w:t>Anti-HCV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9E2" w:rsidRDefault="00EE2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1AA59D3"/>
    <w:multiLevelType w:val="hybridMultilevel"/>
    <w:tmpl w:val="5C8AB1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2366369"/>
    <w:multiLevelType w:val="hybridMultilevel"/>
    <w:tmpl w:val="EA8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90784"/>
    <w:multiLevelType w:val="hybridMultilevel"/>
    <w:tmpl w:val="F82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56959"/>
    <w:multiLevelType w:val="hybridMultilevel"/>
    <w:tmpl w:val="86F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8372E"/>
    <w:multiLevelType w:val="hybridMultilevel"/>
    <w:tmpl w:val="38C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97B8D"/>
    <w:multiLevelType w:val="hybridMultilevel"/>
    <w:tmpl w:val="F240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3A796F4B"/>
    <w:multiLevelType w:val="hybridMultilevel"/>
    <w:tmpl w:val="E02C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6275A"/>
    <w:multiLevelType w:val="hybridMultilevel"/>
    <w:tmpl w:val="BA9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8B6567"/>
    <w:multiLevelType w:val="hybridMultilevel"/>
    <w:tmpl w:val="D8B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1677F3"/>
    <w:multiLevelType w:val="hybridMultilevel"/>
    <w:tmpl w:val="0F1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2A77C0"/>
    <w:multiLevelType w:val="hybridMultilevel"/>
    <w:tmpl w:val="8E38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12703B"/>
    <w:multiLevelType w:val="hybridMultilevel"/>
    <w:tmpl w:val="D35A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2">
    <w:nsid w:val="6E0D485E"/>
    <w:multiLevelType w:val="hybridMultilevel"/>
    <w:tmpl w:val="3FE21F26"/>
    <w:lvl w:ilvl="0" w:tplc="C2DCE4DA">
      <w:numFmt w:val="bullet"/>
      <w:lvlText w:val=""/>
      <w:lvlJc w:val="left"/>
      <w:pPr>
        <w:ind w:left="1080" w:hanging="360"/>
      </w:pPr>
      <w:rPr>
        <w:rFonts w:ascii="Wingdings" w:eastAsia="Times New Roman" w:hAnsi="Wingdings"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F4D28C7"/>
    <w:multiLevelType w:val="hybridMultilevel"/>
    <w:tmpl w:val="422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320464"/>
    <w:multiLevelType w:val="hybridMultilevel"/>
    <w:tmpl w:val="287E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6">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419AD"/>
    <w:multiLevelType w:val="hybridMultilevel"/>
    <w:tmpl w:val="62AE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B359C2"/>
    <w:multiLevelType w:val="hybridMultilevel"/>
    <w:tmpl w:val="6AE8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FBC1383"/>
    <w:multiLevelType w:val="hybridMultilevel"/>
    <w:tmpl w:val="817C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9"/>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7"/>
  </w:num>
  <w:num w:numId="8">
    <w:abstractNumId w:val="0"/>
  </w:num>
  <w:num w:numId="9">
    <w:abstractNumId w:val="21"/>
  </w:num>
  <w:num w:numId="10">
    <w:abstractNumId w:val="15"/>
  </w:num>
  <w:num w:numId="11">
    <w:abstractNumId w:val="20"/>
  </w:num>
  <w:num w:numId="12">
    <w:abstractNumId w:val="1"/>
  </w:num>
  <w:num w:numId="13">
    <w:abstractNumId w:val="8"/>
  </w:num>
  <w:num w:numId="14">
    <w:abstractNumId w:val="12"/>
  </w:num>
  <w:num w:numId="15">
    <w:abstractNumId w:val="30"/>
  </w:num>
  <w:num w:numId="16">
    <w:abstractNumId w:val="16"/>
  </w:num>
  <w:num w:numId="17">
    <w:abstractNumId w:val="4"/>
  </w:num>
  <w:num w:numId="18">
    <w:abstractNumId w:val="23"/>
  </w:num>
  <w:num w:numId="19">
    <w:abstractNumId w:val="6"/>
  </w:num>
  <w:num w:numId="20">
    <w:abstractNumId w:val="9"/>
  </w:num>
  <w:num w:numId="21">
    <w:abstractNumId w:val="5"/>
  </w:num>
  <w:num w:numId="22">
    <w:abstractNumId w:val="17"/>
  </w:num>
  <w:num w:numId="23">
    <w:abstractNumId w:val="3"/>
  </w:num>
  <w:num w:numId="24">
    <w:abstractNumId w:val="24"/>
  </w:num>
  <w:num w:numId="25">
    <w:abstractNumId w:val="27"/>
  </w:num>
  <w:num w:numId="26">
    <w:abstractNumId w:val="11"/>
  </w:num>
  <w:num w:numId="27">
    <w:abstractNumId w:val="19"/>
  </w:num>
  <w:num w:numId="28">
    <w:abstractNumId w:val="18"/>
  </w:num>
  <w:num w:numId="29">
    <w:abstractNumId w:val="2"/>
  </w:num>
  <w:num w:numId="30">
    <w:abstractNumId w:val="14"/>
  </w:num>
  <w:num w:numId="31">
    <w:abstractNumId w:val="28"/>
  </w:num>
  <w:num w:numId="3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B7A"/>
    <w:rsid w:val="00030CDD"/>
    <w:rsid w:val="00032E92"/>
    <w:rsid w:val="00041A33"/>
    <w:rsid w:val="00043105"/>
    <w:rsid w:val="000453C0"/>
    <w:rsid w:val="000454FD"/>
    <w:rsid w:val="0006011A"/>
    <w:rsid w:val="000602A5"/>
    <w:rsid w:val="00062EAC"/>
    <w:rsid w:val="0006502B"/>
    <w:rsid w:val="000735AF"/>
    <w:rsid w:val="000743B7"/>
    <w:rsid w:val="00081C7F"/>
    <w:rsid w:val="00082648"/>
    <w:rsid w:val="000853A7"/>
    <w:rsid w:val="00085F48"/>
    <w:rsid w:val="0009322F"/>
    <w:rsid w:val="000A090B"/>
    <w:rsid w:val="000A13F2"/>
    <w:rsid w:val="000A1924"/>
    <w:rsid w:val="000A341D"/>
    <w:rsid w:val="000A37B5"/>
    <w:rsid w:val="000A7D58"/>
    <w:rsid w:val="000B4575"/>
    <w:rsid w:val="000C1FD8"/>
    <w:rsid w:val="000E3328"/>
    <w:rsid w:val="000F49B2"/>
    <w:rsid w:val="00100BF8"/>
    <w:rsid w:val="0010358F"/>
    <w:rsid w:val="00107444"/>
    <w:rsid w:val="00132081"/>
    <w:rsid w:val="00133F38"/>
    <w:rsid w:val="0014554C"/>
    <w:rsid w:val="00155687"/>
    <w:rsid w:val="00157696"/>
    <w:rsid w:val="0016247C"/>
    <w:rsid w:val="00167572"/>
    <w:rsid w:val="00172CF7"/>
    <w:rsid w:val="00173EA4"/>
    <w:rsid w:val="001756AB"/>
    <w:rsid w:val="0019760C"/>
    <w:rsid w:val="001A639E"/>
    <w:rsid w:val="001B29A7"/>
    <w:rsid w:val="001B4267"/>
    <w:rsid w:val="001C48DA"/>
    <w:rsid w:val="001D3841"/>
    <w:rsid w:val="001D6AE0"/>
    <w:rsid w:val="001E079E"/>
    <w:rsid w:val="001F32A9"/>
    <w:rsid w:val="001F6B7B"/>
    <w:rsid w:val="002056B4"/>
    <w:rsid w:val="00211DD8"/>
    <w:rsid w:val="00236ADE"/>
    <w:rsid w:val="00246FA8"/>
    <w:rsid w:val="0025031C"/>
    <w:rsid w:val="00253C1F"/>
    <w:rsid w:val="00255C54"/>
    <w:rsid w:val="0026204D"/>
    <w:rsid w:val="002648A6"/>
    <w:rsid w:val="002649AA"/>
    <w:rsid w:val="002746A8"/>
    <w:rsid w:val="00276040"/>
    <w:rsid w:val="00282F16"/>
    <w:rsid w:val="00294A08"/>
    <w:rsid w:val="002B0D2A"/>
    <w:rsid w:val="002B1993"/>
    <w:rsid w:val="002C0E55"/>
    <w:rsid w:val="002C2F49"/>
    <w:rsid w:val="002C7FD5"/>
    <w:rsid w:val="002D18CA"/>
    <w:rsid w:val="002D2075"/>
    <w:rsid w:val="002D370D"/>
    <w:rsid w:val="002D38DF"/>
    <w:rsid w:val="002D6496"/>
    <w:rsid w:val="002D70E2"/>
    <w:rsid w:val="002E679B"/>
    <w:rsid w:val="002F52E0"/>
    <w:rsid w:val="00304229"/>
    <w:rsid w:val="003056A7"/>
    <w:rsid w:val="00317056"/>
    <w:rsid w:val="003356DF"/>
    <w:rsid w:val="00340B1A"/>
    <w:rsid w:val="00347BEC"/>
    <w:rsid w:val="00353FD5"/>
    <w:rsid w:val="0037463A"/>
    <w:rsid w:val="0038442D"/>
    <w:rsid w:val="00386807"/>
    <w:rsid w:val="00396C4A"/>
    <w:rsid w:val="003B2E62"/>
    <w:rsid w:val="003B40E1"/>
    <w:rsid w:val="003C2522"/>
    <w:rsid w:val="003C596F"/>
    <w:rsid w:val="003D10DE"/>
    <w:rsid w:val="003D38B7"/>
    <w:rsid w:val="003D447C"/>
    <w:rsid w:val="003D708C"/>
    <w:rsid w:val="003E62E7"/>
    <w:rsid w:val="00400A1A"/>
    <w:rsid w:val="00400CBA"/>
    <w:rsid w:val="00405EC8"/>
    <w:rsid w:val="00410514"/>
    <w:rsid w:val="00413FEE"/>
    <w:rsid w:val="00425BA0"/>
    <w:rsid w:val="0043504D"/>
    <w:rsid w:val="00436811"/>
    <w:rsid w:val="0044058F"/>
    <w:rsid w:val="00443DB3"/>
    <w:rsid w:val="00452D5E"/>
    <w:rsid w:val="0045570E"/>
    <w:rsid w:val="00456575"/>
    <w:rsid w:val="00460600"/>
    <w:rsid w:val="00461686"/>
    <w:rsid w:val="0046271A"/>
    <w:rsid w:val="004708FA"/>
    <w:rsid w:val="00470CE6"/>
    <w:rsid w:val="004773D3"/>
    <w:rsid w:val="00493DD1"/>
    <w:rsid w:val="00496605"/>
    <w:rsid w:val="004A03BD"/>
    <w:rsid w:val="004A2AA3"/>
    <w:rsid w:val="004C05F8"/>
    <w:rsid w:val="004C104D"/>
    <w:rsid w:val="004C2C23"/>
    <w:rsid w:val="004C37CB"/>
    <w:rsid w:val="004C73AF"/>
    <w:rsid w:val="004E0AFF"/>
    <w:rsid w:val="004F5F8A"/>
    <w:rsid w:val="00503E74"/>
    <w:rsid w:val="00507B0C"/>
    <w:rsid w:val="00531F75"/>
    <w:rsid w:val="00533CE1"/>
    <w:rsid w:val="00551335"/>
    <w:rsid w:val="0055619E"/>
    <w:rsid w:val="0056023B"/>
    <w:rsid w:val="00570113"/>
    <w:rsid w:val="00574309"/>
    <w:rsid w:val="005806E5"/>
    <w:rsid w:val="0058304A"/>
    <w:rsid w:val="005902C0"/>
    <w:rsid w:val="005A1D53"/>
    <w:rsid w:val="005A4739"/>
    <w:rsid w:val="005A7348"/>
    <w:rsid w:val="005B0D1C"/>
    <w:rsid w:val="005B1BF7"/>
    <w:rsid w:val="005C4292"/>
    <w:rsid w:val="005E3AB5"/>
    <w:rsid w:val="005E3D52"/>
    <w:rsid w:val="005E48EE"/>
    <w:rsid w:val="005F3E81"/>
    <w:rsid w:val="005F4FCB"/>
    <w:rsid w:val="00607638"/>
    <w:rsid w:val="00610572"/>
    <w:rsid w:val="006107A2"/>
    <w:rsid w:val="0061553C"/>
    <w:rsid w:val="00621ABB"/>
    <w:rsid w:val="00623EFB"/>
    <w:rsid w:val="0063150E"/>
    <w:rsid w:val="00644800"/>
    <w:rsid w:val="00650544"/>
    <w:rsid w:val="006559EB"/>
    <w:rsid w:val="00656BB9"/>
    <w:rsid w:val="00674186"/>
    <w:rsid w:val="00682038"/>
    <w:rsid w:val="00687C2F"/>
    <w:rsid w:val="006A15AE"/>
    <w:rsid w:val="006A5AAE"/>
    <w:rsid w:val="006A71AF"/>
    <w:rsid w:val="006B0A70"/>
    <w:rsid w:val="006B3C65"/>
    <w:rsid w:val="006C0113"/>
    <w:rsid w:val="006D28ED"/>
    <w:rsid w:val="006D40ED"/>
    <w:rsid w:val="006E5155"/>
    <w:rsid w:val="006E6E5C"/>
    <w:rsid w:val="006F7F4F"/>
    <w:rsid w:val="00714B7D"/>
    <w:rsid w:val="00714F24"/>
    <w:rsid w:val="00715D55"/>
    <w:rsid w:val="00732895"/>
    <w:rsid w:val="00742830"/>
    <w:rsid w:val="0074336C"/>
    <w:rsid w:val="007703C0"/>
    <w:rsid w:val="007840DD"/>
    <w:rsid w:val="007966D6"/>
    <w:rsid w:val="007B09E3"/>
    <w:rsid w:val="007B0CCE"/>
    <w:rsid w:val="007B247B"/>
    <w:rsid w:val="007E4CE6"/>
    <w:rsid w:val="007E6C3C"/>
    <w:rsid w:val="0080146D"/>
    <w:rsid w:val="008036AC"/>
    <w:rsid w:val="00804822"/>
    <w:rsid w:val="00812CCF"/>
    <w:rsid w:val="00816ACE"/>
    <w:rsid w:val="00827239"/>
    <w:rsid w:val="00833E15"/>
    <w:rsid w:val="00841397"/>
    <w:rsid w:val="00846F9F"/>
    <w:rsid w:val="00847607"/>
    <w:rsid w:val="00861504"/>
    <w:rsid w:val="00863AA4"/>
    <w:rsid w:val="00864220"/>
    <w:rsid w:val="00871834"/>
    <w:rsid w:val="00880FDF"/>
    <w:rsid w:val="0088112F"/>
    <w:rsid w:val="00881923"/>
    <w:rsid w:val="0088257A"/>
    <w:rsid w:val="00883611"/>
    <w:rsid w:val="00887139"/>
    <w:rsid w:val="00893E5B"/>
    <w:rsid w:val="008A1AF7"/>
    <w:rsid w:val="008A1CED"/>
    <w:rsid w:val="008A7551"/>
    <w:rsid w:val="008A7F96"/>
    <w:rsid w:val="008B590F"/>
    <w:rsid w:val="008C0AEF"/>
    <w:rsid w:val="008C1C58"/>
    <w:rsid w:val="008D06FF"/>
    <w:rsid w:val="008D30BD"/>
    <w:rsid w:val="008D4DF4"/>
    <w:rsid w:val="008E00E3"/>
    <w:rsid w:val="008F7947"/>
    <w:rsid w:val="008F794A"/>
    <w:rsid w:val="00902BE8"/>
    <w:rsid w:val="0091292B"/>
    <w:rsid w:val="00912BAD"/>
    <w:rsid w:val="00912FE4"/>
    <w:rsid w:val="0092389D"/>
    <w:rsid w:val="00924B1D"/>
    <w:rsid w:val="00926E1B"/>
    <w:rsid w:val="009318E8"/>
    <w:rsid w:val="009467CE"/>
    <w:rsid w:val="0094754C"/>
    <w:rsid w:val="00951C8E"/>
    <w:rsid w:val="00952933"/>
    <w:rsid w:val="00953BF2"/>
    <w:rsid w:val="00964971"/>
    <w:rsid w:val="00973EAF"/>
    <w:rsid w:val="00980C01"/>
    <w:rsid w:val="009841EC"/>
    <w:rsid w:val="009A4991"/>
    <w:rsid w:val="009B028A"/>
    <w:rsid w:val="009B4C90"/>
    <w:rsid w:val="009C117A"/>
    <w:rsid w:val="009D1D61"/>
    <w:rsid w:val="009D498B"/>
    <w:rsid w:val="009E0FF1"/>
    <w:rsid w:val="009E49EB"/>
    <w:rsid w:val="009F0CBD"/>
    <w:rsid w:val="009F648F"/>
    <w:rsid w:val="00A015C6"/>
    <w:rsid w:val="00A016EE"/>
    <w:rsid w:val="00A062F7"/>
    <w:rsid w:val="00A06412"/>
    <w:rsid w:val="00A06F60"/>
    <w:rsid w:val="00A1152E"/>
    <w:rsid w:val="00A1486D"/>
    <w:rsid w:val="00A15B97"/>
    <w:rsid w:val="00A21F86"/>
    <w:rsid w:val="00A226F3"/>
    <w:rsid w:val="00A241F8"/>
    <w:rsid w:val="00A320E4"/>
    <w:rsid w:val="00A35DB6"/>
    <w:rsid w:val="00A408AE"/>
    <w:rsid w:val="00A5042D"/>
    <w:rsid w:val="00A541AC"/>
    <w:rsid w:val="00A554D4"/>
    <w:rsid w:val="00A67673"/>
    <w:rsid w:val="00A7147B"/>
    <w:rsid w:val="00A71728"/>
    <w:rsid w:val="00A71D1D"/>
    <w:rsid w:val="00A72EC0"/>
    <w:rsid w:val="00A77001"/>
    <w:rsid w:val="00A805AB"/>
    <w:rsid w:val="00A81234"/>
    <w:rsid w:val="00A82E30"/>
    <w:rsid w:val="00A911E0"/>
    <w:rsid w:val="00A92E30"/>
    <w:rsid w:val="00AA271B"/>
    <w:rsid w:val="00AA5F66"/>
    <w:rsid w:val="00AA7423"/>
    <w:rsid w:val="00AA7B6F"/>
    <w:rsid w:val="00AB5354"/>
    <w:rsid w:val="00AB793D"/>
    <w:rsid w:val="00AC0E64"/>
    <w:rsid w:val="00AD402C"/>
    <w:rsid w:val="00AE6F5B"/>
    <w:rsid w:val="00AF597C"/>
    <w:rsid w:val="00AF6170"/>
    <w:rsid w:val="00B11C38"/>
    <w:rsid w:val="00B13AB5"/>
    <w:rsid w:val="00B24260"/>
    <w:rsid w:val="00B30875"/>
    <w:rsid w:val="00B36577"/>
    <w:rsid w:val="00B434E9"/>
    <w:rsid w:val="00B438DB"/>
    <w:rsid w:val="00B45FE2"/>
    <w:rsid w:val="00B46687"/>
    <w:rsid w:val="00B50C75"/>
    <w:rsid w:val="00B54C79"/>
    <w:rsid w:val="00B63263"/>
    <w:rsid w:val="00B63E8F"/>
    <w:rsid w:val="00B70AAC"/>
    <w:rsid w:val="00B7102F"/>
    <w:rsid w:val="00B712B1"/>
    <w:rsid w:val="00B72271"/>
    <w:rsid w:val="00BA0054"/>
    <w:rsid w:val="00BC1EC4"/>
    <w:rsid w:val="00BC76E2"/>
    <w:rsid w:val="00BE40A6"/>
    <w:rsid w:val="00BF32B2"/>
    <w:rsid w:val="00C32412"/>
    <w:rsid w:val="00C3571A"/>
    <w:rsid w:val="00C46D5D"/>
    <w:rsid w:val="00C53E37"/>
    <w:rsid w:val="00C63D0C"/>
    <w:rsid w:val="00C63D9F"/>
    <w:rsid w:val="00C90E57"/>
    <w:rsid w:val="00C912E2"/>
    <w:rsid w:val="00C967D5"/>
    <w:rsid w:val="00CA11D0"/>
    <w:rsid w:val="00CA5058"/>
    <w:rsid w:val="00CC2751"/>
    <w:rsid w:val="00CC37B4"/>
    <w:rsid w:val="00CC3D62"/>
    <w:rsid w:val="00CE2DC7"/>
    <w:rsid w:val="00CF7868"/>
    <w:rsid w:val="00D006C7"/>
    <w:rsid w:val="00D16262"/>
    <w:rsid w:val="00D16B69"/>
    <w:rsid w:val="00D27C5A"/>
    <w:rsid w:val="00D339B0"/>
    <w:rsid w:val="00D3792B"/>
    <w:rsid w:val="00D5070C"/>
    <w:rsid w:val="00D50F05"/>
    <w:rsid w:val="00D5211B"/>
    <w:rsid w:val="00D60AFA"/>
    <w:rsid w:val="00D64E39"/>
    <w:rsid w:val="00D70A7B"/>
    <w:rsid w:val="00D71AF7"/>
    <w:rsid w:val="00D73BF8"/>
    <w:rsid w:val="00D77B64"/>
    <w:rsid w:val="00D80968"/>
    <w:rsid w:val="00D84ADA"/>
    <w:rsid w:val="00D900C3"/>
    <w:rsid w:val="00D94BB8"/>
    <w:rsid w:val="00D97908"/>
    <w:rsid w:val="00DA040A"/>
    <w:rsid w:val="00DA0D83"/>
    <w:rsid w:val="00DA6C6A"/>
    <w:rsid w:val="00DB3051"/>
    <w:rsid w:val="00DB49D0"/>
    <w:rsid w:val="00DC16C5"/>
    <w:rsid w:val="00DC56D1"/>
    <w:rsid w:val="00DD0481"/>
    <w:rsid w:val="00DE6C4E"/>
    <w:rsid w:val="00DF01DC"/>
    <w:rsid w:val="00DF022C"/>
    <w:rsid w:val="00DF0DD3"/>
    <w:rsid w:val="00E03B3D"/>
    <w:rsid w:val="00E07C43"/>
    <w:rsid w:val="00E12522"/>
    <w:rsid w:val="00E12AF4"/>
    <w:rsid w:val="00E30C56"/>
    <w:rsid w:val="00E36B73"/>
    <w:rsid w:val="00E40388"/>
    <w:rsid w:val="00E41F60"/>
    <w:rsid w:val="00E438CD"/>
    <w:rsid w:val="00E44BED"/>
    <w:rsid w:val="00E4787B"/>
    <w:rsid w:val="00E50643"/>
    <w:rsid w:val="00E70BBC"/>
    <w:rsid w:val="00E8215F"/>
    <w:rsid w:val="00E97A8C"/>
    <w:rsid w:val="00EA1269"/>
    <w:rsid w:val="00EA713D"/>
    <w:rsid w:val="00EB2F9F"/>
    <w:rsid w:val="00EB33FE"/>
    <w:rsid w:val="00EC002B"/>
    <w:rsid w:val="00EC7B32"/>
    <w:rsid w:val="00ED2343"/>
    <w:rsid w:val="00ED4BBB"/>
    <w:rsid w:val="00ED5787"/>
    <w:rsid w:val="00EE29E2"/>
    <w:rsid w:val="00EE3A65"/>
    <w:rsid w:val="00EF4170"/>
    <w:rsid w:val="00F05CCD"/>
    <w:rsid w:val="00F13523"/>
    <w:rsid w:val="00F175CB"/>
    <w:rsid w:val="00F1787A"/>
    <w:rsid w:val="00F17F45"/>
    <w:rsid w:val="00F20C64"/>
    <w:rsid w:val="00F23218"/>
    <w:rsid w:val="00F25293"/>
    <w:rsid w:val="00F32BBD"/>
    <w:rsid w:val="00F3700B"/>
    <w:rsid w:val="00F428E9"/>
    <w:rsid w:val="00F524E8"/>
    <w:rsid w:val="00F61480"/>
    <w:rsid w:val="00F66836"/>
    <w:rsid w:val="00F7103F"/>
    <w:rsid w:val="00F7630F"/>
    <w:rsid w:val="00F80AD3"/>
    <w:rsid w:val="00F82D85"/>
    <w:rsid w:val="00F84979"/>
    <w:rsid w:val="00F91000"/>
    <w:rsid w:val="00F92520"/>
    <w:rsid w:val="00F95946"/>
    <w:rsid w:val="00FB49F4"/>
    <w:rsid w:val="00FD6E32"/>
    <w:rsid w:val="00FE1C3A"/>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 w:type="character" w:styleId="CommentReference">
    <w:name w:val="annotation reference"/>
    <w:basedOn w:val="DefaultParagraphFont"/>
    <w:semiHidden/>
    <w:unhideWhenUsed/>
    <w:rsid w:val="006C0113"/>
    <w:rPr>
      <w:sz w:val="16"/>
      <w:szCs w:val="16"/>
    </w:rPr>
  </w:style>
  <w:style w:type="paragraph" w:styleId="CommentText">
    <w:name w:val="annotation text"/>
    <w:basedOn w:val="Normal"/>
    <w:link w:val="CommentTextChar"/>
    <w:semiHidden/>
    <w:unhideWhenUsed/>
    <w:rsid w:val="006C0113"/>
    <w:rPr>
      <w:sz w:val="20"/>
      <w:szCs w:val="20"/>
    </w:rPr>
  </w:style>
  <w:style w:type="character" w:customStyle="1" w:styleId="CommentTextChar">
    <w:name w:val="Comment Text Char"/>
    <w:basedOn w:val="DefaultParagraphFont"/>
    <w:link w:val="CommentText"/>
    <w:semiHidden/>
    <w:rsid w:val="006C0113"/>
  </w:style>
  <w:style w:type="paragraph" w:styleId="CommentSubject">
    <w:name w:val="annotation subject"/>
    <w:basedOn w:val="CommentText"/>
    <w:next w:val="CommentText"/>
    <w:link w:val="CommentSubjectChar"/>
    <w:semiHidden/>
    <w:unhideWhenUsed/>
    <w:rsid w:val="006C0113"/>
    <w:rPr>
      <w:b/>
      <w:bCs/>
    </w:rPr>
  </w:style>
  <w:style w:type="character" w:customStyle="1" w:styleId="CommentSubjectChar">
    <w:name w:val="Comment Subject Char"/>
    <w:basedOn w:val="CommentTextChar"/>
    <w:link w:val="CommentSubject"/>
    <w:semiHidden/>
    <w:rsid w:val="006C01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 w:type="character" w:styleId="CommentReference">
    <w:name w:val="annotation reference"/>
    <w:basedOn w:val="DefaultParagraphFont"/>
    <w:semiHidden/>
    <w:unhideWhenUsed/>
    <w:rsid w:val="006C0113"/>
    <w:rPr>
      <w:sz w:val="16"/>
      <w:szCs w:val="16"/>
    </w:rPr>
  </w:style>
  <w:style w:type="paragraph" w:styleId="CommentText">
    <w:name w:val="annotation text"/>
    <w:basedOn w:val="Normal"/>
    <w:link w:val="CommentTextChar"/>
    <w:semiHidden/>
    <w:unhideWhenUsed/>
    <w:rsid w:val="006C0113"/>
    <w:rPr>
      <w:sz w:val="20"/>
      <w:szCs w:val="20"/>
    </w:rPr>
  </w:style>
  <w:style w:type="character" w:customStyle="1" w:styleId="CommentTextChar">
    <w:name w:val="Comment Text Char"/>
    <w:basedOn w:val="DefaultParagraphFont"/>
    <w:link w:val="CommentText"/>
    <w:semiHidden/>
    <w:rsid w:val="006C0113"/>
  </w:style>
  <w:style w:type="paragraph" w:styleId="CommentSubject">
    <w:name w:val="annotation subject"/>
    <w:basedOn w:val="CommentText"/>
    <w:next w:val="CommentText"/>
    <w:link w:val="CommentSubjectChar"/>
    <w:semiHidden/>
    <w:unhideWhenUsed/>
    <w:rsid w:val="006C0113"/>
    <w:rPr>
      <w:b/>
      <w:bCs/>
    </w:rPr>
  </w:style>
  <w:style w:type="character" w:customStyle="1" w:styleId="CommentSubjectChar">
    <w:name w:val="Comment Subject Char"/>
    <w:basedOn w:val="CommentTextChar"/>
    <w:link w:val="CommentSubject"/>
    <w:semiHidden/>
    <w:rsid w:val="006C0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7440-925B-4ED8-AB43-22561D3B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2637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17808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yorlab2</cp:lastModifiedBy>
  <cp:revision>4</cp:revision>
  <cp:lastPrinted>2012-02-10T12:42:00Z</cp:lastPrinted>
  <dcterms:created xsi:type="dcterms:W3CDTF">2018-09-05T17:56:00Z</dcterms:created>
  <dcterms:modified xsi:type="dcterms:W3CDTF">2018-10-22T19:54:00Z</dcterms:modified>
</cp:coreProperties>
</file>