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B80607">
      <w:pPr>
        <w:rPr>
          <w:b/>
        </w:rPr>
      </w:pPr>
      <w:r>
        <w:rPr>
          <w:noProof/>
        </w:rPr>
        <w:drawing>
          <wp:inline distT="0" distB="0" distL="0" distR="0" wp14:anchorId="0999C047" wp14:editId="6A722B59">
            <wp:extent cx="2095500" cy="571500"/>
            <wp:effectExtent l="0" t="0" r="0" b="0"/>
            <wp:docPr id="8" name="Picture 8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AC" w:rsidRPr="00D35CAC" w:rsidRDefault="00D35CAC" w:rsidP="006107A2">
      <w:pPr>
        <w:jc w:val="center"/>
        <w:rPr>
          <w:rFonts w:eastAsia="HelenPro-Regular"/>
          <w:b/>
          <w:sz w:val="28"/>
          <w:szCs w:val="28"/>
        </w:rPr>
      </w:pPr>
      <w:r w:rsidRPr="00D35CAC">
        <w:rPr>
          <w:rFonts w:eastAsia="HelenPro-Regular"/>
          <w:b/>
          <w:sz w:val="28"/>
          <w:szCs w:val="28"/>
        </w:rPr>
        <w:t>B∙R∙A∙H∙M∙S PCT</w:t>
      </w:r>
    </w:p>
    <w:p w:rsidR="0056023B" w:rsidRPr="001A639E" w:rsidRDefault="00A30D01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SERUM OR </w:t>
      </w:r>
      <w:r w:rsidR="00C32412">
        <w:rPr>
          <w:b/>
          <w:sz w:val="28"/>
          <w:szCs w:val="28"/>
        </w:rPr>
        <w:t>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The ARCHITECT B∙R∙A∙H∙M∙S </w:t>
      </w:r>
      <w:r>
        <w:rPr>
          <w:rFonts w:eastAsia="HelenPro-Regular"/>
        </w:rPr>
        <w:t xml:space="preserve">PCT assay is a </w:t>
      </w:r>
      <w:proofErr w:type="spellStart"/>
      <w:r>
        <w:rPr>
          <w:rFonts w:eastAsia="HelenPro-Regular"/>
        </w:rPr>
        <w:t>chemiluminescent</w:t>
      </w:r>
      <w:proofErr w:type="spellEnd"/>
      <w:r>
        <w:rPr>
          <w:rFonts w:eastAsia="HelenPro-Regular"/>
        </w:rPr>
        <w:t xml:space="preserve"> </w:t>
      </w:r>
      <w:proofErr w:type="spellStart"/>
      <w:r w:rsidRPr="00D35CAC">
        <w:rPr>
          <w:rFonts w:eastAsia="HelenPro-Regular"/>
        </w:rPr>
        <w:t>microparticle</w:t>
      </w:r>
      <w:proofErr w:type="spellEnd"/>
      <w:r w:rsidRPr="00D35CAC">
        <w:rPr>
          <w:rFonts w:eastAsia="HelenPro-Regular"/>
        </w:rPr>
        <w:t xml:space="preserve"> immunoassay (CMIA) for the quantitative determination of</w:t>
      </w:r>
      <w:r>
        <w:rPr>
          <w:rFonts w:eastAsia="HelenPro-Regular"/>
        </w:rPr>
        <w:t xml:space="preserve"> </w:t>
      </w:r>
      <w:proofErr w:type="spellStart"/>
      <w:r w:rsidRPr="00D35CAC">
        <w:rPr>
          <w:rFonts w:eastAsia="HelenPro-Regular"/>
        </w:rPr>
        <w:t>procalcitonin</w:t>
      </w:r>
      <w:proofErr w:type="spellEnd"/>
      <w:r w:rsidRPr="00D35CAC">
        <w:rPr>
          <w:rFonts w:eastAsia="HelenPro-Regular"/>
        </w:rPr>
        <w:t xml:space="preserve"> (PCT) in human serum and plasma (lithium heparin and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K2EDTA) on the ARCHITECT </w:t>
      </w:r>
      <w:proofErr w:type="spellStart"/>
      <w:r w:rsidRPr="00D35CAC">
        <w:rPr>
          <w:rFonts w:eastAsia="HelenPro-Regular"/>
        </w:rPr>
        <w:t>iSystem</w:t>
      </w:r>
      <w:proofErr w:type="spellEnd"/>
      <w:r w:rsidRPr="00D35CAC">
        <w:rPr>
          <w:rFonts w:eastAsia="HelenPro-Regular"/>
        </w:rPr>
        <w:t>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Used in conjunction with other l</w:t>
      </w:r>
      <w:r>
        <w:rPr>
          <w:rFonts w:eastAsia="HelenPro-Regular"/>
        </w:rPr>
        <w:t xml:space="preserve">aboratory findings and clinical </w:t>
      </w:r>
      <w:r w:rsidRPr="00D35CAC">
        <w:rPr>
          <w:rFonts w:eastAsia="HelenPro-Regular"/>
        </w:rPr>
        <w:t>assessments, the ARCHITECT B∙R∙A∙H∙M∙S PCT assay is intended for use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as an: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Aid in the risk assessment of critically ill</w:t>
      </w:r>
      <w:r>
        <w:rPr>
          <w:rFonts w:eastAsia="HelenPro-Regular"/>
        </w:rPr>
        <w:t xml:space="preserve"> patients on their first day of </w:t>
      </w:r>
      <w:r w:rsidRPr="00D35CAC">
        <w:rPr>
          <w:rFonts w:eastAsia="HelenPro-Regular"/>
        </w:rPr>
        <w:t>intensive care unit (ICU) admission for progression to severe sepsis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and septic shock.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 xml:space="preserve">Aid in assessing the cumulative 28-day </w:t>
      </w:r>
      <w:r>
        <w:rPr>
          <w:rFonts w:eastAsia="HelenPro-Regular"/>
        </w:rPr>
        <w:t xml:space="preserve">risk of all-cause mortality for </w:t>
      </w:r>
      <w:r w:rsidRPr="00D35CAC">
        <w:rPr>
          <w:rFonts w:eastAsia="HelenPro-Regular"/>
        </w:rPr>
        <w:t>patients diagnosed with severe sepsis or septic shock in the ICU or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when obtained in the emergency department or other medical wards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Regular"/>
        </w:rPr>
        <w:t>prior to ICU admission, using a change in PCT level over time.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Aid in decision making on antib</w:t>
      </w:r>
      <w:r>
        <w:rPr>
          <w:rFonts w:eastAsia="HelenPro-Regular"/>
        </w:rPr>
        <w:t xml:space="preserve">iotic therapy for patients with </w:t>
      </w:r>
      <w:r w:rsidRPr="00D35CAC">
        <w:rPr>
          <w:rFonts w:eastAsia="HelenPro-Regular"/>
        </w:rPr>
        <w:t>suspected or confirmed lower respiratory tract infections (LRTI) –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defined as community-acquired pneumonia (CAP), acute bronchitis,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and acute exacerbation of chronic obstructive pulmonary disease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(AECOPD) – in an inpatient setting or an emergency department.</w:t>
      </w:r>
    </w:p>
    <w:p w:rsidR="004A03BD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Aid in decision making on antibiotic di</w:t>
      </w:r>
      <w:r>
        <w:rPr>
          <w:rFonts w:eastAsia="HelenPro-Regular"/>
        </w:rPr>
        <w:t xml:space="preserve">scontinuation for patients with </w:t>
      </w:r>
      <w:r w:rsidRPr="00D35CAC">
        <w:rPr>
          <w:rFonts w:eastAsia="HelenPro-Regular"/>
        </w:rPr>
        <w:t>suspected or confirmed sepsis.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D35CAC">
        <w:rPr>
          <w:rFonts w:eastAsia="HelenPro-Bold"/>
          <w:b/>
          <w:bCs/>
        </w:rPr>
        <w:t>WARNINGS AND PRECAUTIONS – TEST INTERPRETATION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The ARCHITECT B∙R∙A∙H∙M∙S PCT as</w:t>
      </w:r>
      <w:r>
        <w:rPr>
          <w:rFonts w:eastAsia="HelenPro-Regular"/>
        </w:rPr>
        <w:t xml:space="preserve">say is not indicated to be used </w:t>
      </w:r>
      <w:r w:rsidRPr="00D35CAC">
        <w:rPr>
          <w:rFonts w:eastAsia="HelenPro-Regular"/>
        </w:rPr>
        <w:t>as a stand-alone diagnostic assay and should be used in conjunction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with clinical signs and symptoms of infection and other diagnostic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evidence.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D35CAC">
        <w:rPr>
          <w:rFonts w:eastAsia="HelenPro-Bold"/>
          <w:b/>
          <w:bCs/>
        </w:rPr>
        <w:t>• Decisions regarding antibio</w:t>
      </w:r>
      <w:r>
        <w:rPr>
          <w:rFonts w:eastAsia="HelenPro-Bold"/>
          <w:b/>
          <w:bCs/>
        </w:rPr>
        <w:t xml:space="preserve">tic therapy should NOT be based </w:t>
      </w:r>
      <w:r w:rsidRPr="00D35CAC">
        <w:rPr>
          <w:rFonts w:eastAsia="HelenPro-Bold"/>
          <w:b/>
          <w:bCs/>
        </w:rPr>
        <w:t>solely on PCT concentrations.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PCT results should always be interpreted in the context of the clinical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status of the patient and other laboratory results. Changes in PCT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levels for the prediction of mortality, and overall mortality, are strongly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dependent on many factors, including pre-existing patient risk factors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and clinical course.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The need to continue ICU care at Da</w:t>
      </w:r>
      <w:r>
        <w:rPr>
          <w:rFonts w:eastAsia="HelenPro-Regular"/>
        </w:rPr>
        <w:t xml:space="preserve">y 4 and other covariates (e.g., </w:t>
      </w:r>
      <w:r w:rsidRPr="00D35CAC">
        <w:rPr>
          <w:rFonts w:eastAsia="HelenPro-Regular"/>
        </w:rPr>
        <w:t>age and Sequential Organ Failure Assessment [SOFA] score) are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also significant predictors of 28-day cumulative mortality risk.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Certain patient characteristics, such as severity of renal f</w:t>
      </w:r>
      <w:r>
        <w:rPr>
          <w:rFonts w:eastAsia="HelenPro-Regular"/>
        </w:rPr>
        <w:t xml:space="preserve">ailure or </w:t>
      </w:r>
      <w:r w:rsidRPr="00D35CAC">
        <w:rPr>
          <w:rFonts w:eastAsia="HelenPro-Regular"/>
        </w:rPr>
        <w:t>insufficiency, may influence PCT values and should be considered as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potentially confounding clinical factors when interpreting PCT values.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PCT levels may not be elevated in patients infected by certain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atypical pathogens, such as </w:t>
      </w:r>
      <w:proofErr w:type="spellStart"/>
      <w:r w:rsidRPr="00D35CAC">
        <w:rPr>
          <w:rFonts w:eastAsia="HelenPro-Bold"/>
          <w:i/>
          <w:iCs/>
        </w:rPr>
        <w:t>Chlamydophila</w:t>
      </w:r>
      <w:proofErr w:type="spellEnd"/>
      <w:r w:rsidRPr="00D35CAC">
        <w:rPr>
          <w:rFonts w:eastAsia="HelenPro-Bold"/>
          <w:i/>
          <w:iCs/>
        </w:rPr>
        <w:t xml:space="preserve"> </w:t>
      </w:r>
      <w:proofErr w:type="spellStart"/>
      <w:r w:rsidRPr="00D35CAC">
        <w:rPr>
          <w:rFonts w:eastAsia="HelenPro-Bold"/>
          <w:i/>
          <w:iCs/>
        </w:rPr>
        <w:t>pneumoniae</w:t>
      </w:r>
      <w:proofErr w:type="spellEnd"/>
      <w:r w:rsidRPr="00D35CAC">
        <w:rPr>
          <w:rFonts w:eastAsia="HelenPro-Bold"/>
          <w:i/>
          <w:iCs/>
        </w:rPr>
        <w:t xml:space="preserve"> </w:t>
      </w:r>
      <w:r w:rsidRPr="00D35CAC">
        <w:rPr>
          <w:rFonts w:eastAsia="HelenPro-Regular"/>
        </w:rPr>
        <w:t>and</w:t>
      </w:r>
      <w:r>
        <w:rPr>
          <w:rFonts w:eastAsia="HelenPro-Regular"/>
        </w:rPr>
        <w:t xml:space="preserve"> </w:t>
      </w:r>
      <w:r w:rsidRPr="00D35CAC">
        <w:rPr>
          <w:rFonts w:eastAsia="HelenPro-Bold"/>
          <w:i/>
          <w:iCs/>
        </w:rPr>
        <w:t xml:space="preserve">Mycoplasma </w:t>
      </w:r>
      <w:proofErr w:type="spellStart"/>
      <w:r w:rsidRPr="00D35CAC">
        <w:rPr>
          <w:rFonts w:eastAsia="HelenPro-Bold"/>
          <w:i/>
          <w:iCs/>
        </w:rPr>
        <w:t>pneumoniae</w:t>
      </w:r>
      <w:proofErr w:type="spellEnd"/>
      <w:r w:rsidRPr="00D35CAC">
        <w:rPr>
          <w:rFonts w:eastAsia="HelenPro-Regular"/>
        </w:rPr>
        <w:t>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D35CAC">
        <w:rPr>
          <w:rFonts w:eastAsia="HelenPro-Bold"/>
          <w:b/>
          <w:bCs/>
        </w:rPr>
        <w:lastRenderedPageBreak/>
        <w:t>• Low PCT levels do not alway</w:t>
      </w:r>
      <w:r>
        <w:rPr>
          <w:rFonts w:eastAsia="HelenPro-Bold"/>
          <w:b/>
          <w:bCs/>
        </w:rPr>
        <w:t xml:space="preserve">s indicate absence of bacterial </w:t>
      </w:r>
      <w:r w:rsidRPr="00D35CAC">
        <w:rPr>
          <w:rFonts w:eastAsia="HelenPro-Bold"/>
          <w:b/>
          <w:bCs/>
        </w:rPr>
        <w:t xml:space="preserve">infection. </w:t>
      </w:r>
      <w:r w:rsidRPr="00D35CAC">
        <w:rPr>
          <w:rFonts w:eastAsia="HelenPro-Regular"/>
        </w:rPr>
        <w:t>Falsely low PCT levels in the presence of bacterial</w:t>
      </w:r>
      <w:r>
        <w:rPr>
          <w:rFonts w:eastAsia="HelenPro-Bold"/>
          <w:b/>
          <w:bCs/>
        </w:rPr>
        <w:t xml:space="preserve"> </w:t>
      </w:r>
      <w:r w:rsidRPr="00D35CAC">
        <w:rPr>
          <w:rFonts w:eastAsia="HelenPro-Regular"/>
        </w:rPr>
        <w:t>infection may occur during the early course of infections, in localized</w:t>
      </w:r>
      <w:r>
        <w:rPr>
          <w:rFonts w:eastAsia="HelenPro-Bold"/>
          <w:b/>
          <w:bCs/>
        </w:rPr>
        <w:t xml:space="preserve"> </w:t>
      </w:r>
      <w:r w:rsidRPr="00D35CAC">
        <w:rPr>
          <w:rFonts w:eastAsia="HelenPro-Regular"/>
        </w:rPr>
        <w:t xml:space="preserve">infections, and in </w:t>
      </w:r>
      <w:proofErr w:type="spellStart"/>
      <w:r w:rsidRPr="00D35CAC">
        <w:rPr>
          <w:rFonts w:eastAsia="HelenPro-Regular"/>
        </w:rPr>
        <w:t>subacute</w:t>
      </w:r>
      <w:proofErr w:type="spellEnd"/>
      <w:r w:rsidRPr="00D35CAC">
        <w:rPr>
          <w:rFonts w:eastAsia="HelenPro-Regular"/>
        </w:rPr>
        <w:t xml:space="preserve"> infectious endocarditis.</w:t>
      </w:r>
    </w:p>
    <w:p w:rsidR="00D35CAC" w:rsidRPr="00D35CAC" w:rsidRDefault="00D35CAC" w:rsidP="00D35CAC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D35CAC">
        <w:rPr>
          <w:rFonts w:eastAsia="HelenPro-Bold"/>
          <w:b/>
          <w:bCs/>
        </w:rPr>
        <w:t>• Increased PCT levels may no</w:t>
      </w:r>
      <w:r>
        <w:rPr>
          <w:rFonts w:eastAsia="HelenPro-Bold"/>
          <w:b/>
          <w:bCs/>
        </w:rPr>
        <w:t xml:space="preserve">t always be related to systemic </w:t>
      </w:r>
      <w:r w:rsidRPr="00D35CAC">
        <w:rPr>
          <w:rFonts w:eastAsia="HelenPro-Bold"/>
          <w:b/>
          <w:bCs/>
        </w:rPr>
        <w:t xml:space="preserve">bacterial infection. </w:t>
      </w:r>
      <w:r w:rsidRPr="00D35CAC">
        <w:rPr>
          <w:rFonts w:eastAsia="HelenPro-Regular"/>
        </w:rPr>
        <w:t>There are a few situations where PCT levels</w:t>
      </w:r>
      <w:r>
        <w:rPr>
          <w:rFonts w:eastAsia="HelenPro-Bold"/>
          <w:b/>
          <w:bCs/>
        </w:rPr>
        <w:t xml:space="preserve"> </w:t>
      </w:r>
      <w:r w:rsidRPr="00D35CAC">
        <w:rPr>
          <w:rFonts w:eastAsia="HelenPro-Regular"/>
        </w:rPr>
        <w:t>may be elevated by non-bacterial causes. These include, but are not</w:t>
      </w:r>
      <w:r>
        <w:rPr>
          <w:rFonts w:eastAsia="HelenPro-Bold"/>
          <w:b/>
          <w:bCs/>
        </w:rPr>
        <w:t xml:space="preserve"> </w:t>
      </w:r>
      <w:r w:rsidRPr="00D35CAC">
        <w:rPr>
          <w:rFonts w:eastAsia="HelenPro-Regular"/>
        </w:rPr>
        <w:t>limited to, the following: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Neonates at &lt; 48 hours of life (physiological elevation)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 xml:space="preserve">Severe illness such as </w:t>
      </w:r>
      <w:proofErr w:type="spellStart"/>
      <w:r w:rsidRPr="00D35CAC">
        <w:rPr>
          <w:rFonts w:eastAsia="HelenPro-Regular"/>
        </w:rPr>
        <w:t>polytrauma</w:t>
      </w:r>
      <w:proofErr w:type="spellEnd"/>
      <w:r w:rsidRPr="00D35CAC">
        <w:rPr>
          <w:rFonts w:eastAsia="HelenPro-Regular"/>
        </w:rPr>
        <w:t>, burns, major surgery, and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prolonged or cardiogenic shock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Treatment with OKT3 (muro</w:t>
      </w:r>
      <w:r>
        <w:rPr>
          <w:rFonts w:eastAsia="HelenPro-Regular"/>
        </w:rPr>
        <w:t xml:space="preserve">monab-CD3) antibodies and other </w:t>
      </w:r>
      <w:r w:rsidRPr="00D35CAC">
        <w:rPr>
          <w:rFonts w:eastAsia="HelenPro-Regular"/>
        </w:rPr>
        <w:t>drugs stimulating the release of pro-inflammatory cytokines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Patients with invasive fungal infections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 xml:space="preserve">Patients with acute attacks of </w:t>
      </w:r>
      <w:r w:rsidRPr="00D35CAC">
        <w:rPr>
          <w:rFonts w:eastAsia="HelenPro-Bold"/>
          <w:i/>
          <w:iCs/>
        </w:rPr>
        <w:t xml:space="preserve">Plasmodium falciparum </w:t>
      </w:r>
      <w:r w:rsidRPr="00D35CAC">
        <w:rPr>
          <w:rFonts w:eastAsia="HelenPro-Regular"/>
        </w:rPr>
        <w:t>malaria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Patients receiving peritoneal dialysis or hemodialysis treatment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Patients with biliary pancreatitis, chemical pneumonitis, or heat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stroke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Patients with small cell lung can</w:t>
      </w:r>
      <w:r>
        <w:rPr>
          <w:rFonts w:eastAsia="HelenPro-Regular"/>
        </w:rPr>
        <w:t xml:space="preserve">cer, severe liver cirrhosis and </w:t>
      </w:r>
      <w:r w:rsidRPr="00D35CAC">
        <w:rPr>
          <w:rFonts w:eastAsia="HelenPro-Regular"/>
        </w:rPr>
        <w:t>acute or chronic viral hepatitis,4 or medullary C-cell carcinoma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of the thyroid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The safety and performance of PCT</w:t>
      </w:r>
      <w:r>
        <w:rPr>
          <w:rFonts w:eastAsia="HelenPro-Regular"/>
        </w:rPr>
        <w:t xml:space="preserve">-guided therapy for individuals </w:t>
      </w:r>
      <w:r w:rsidRPr="00D35CAC">
        <w:rPr>
          <w:rFonts w:eastAsia="HelenPro-Regular"/>
        </w:rPr>
        <w:t xml:space="preserve">younger than age 18 years, pregnant women, </w:t>
      </w:r>
      <w:proofErr w:type="spellStart"/>
      <w:r w:rsidRPr="00D35CAC">
        <w:rPr>
          <w:rFonts w:eastAsia="HelenPro-Regular"/>
        </w:rPr>
        <w:t>immunocompromised</w:t>
      </w:r>
      <w:proofErr w:type="spellEnd"/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individuals, or those on </w:t>
      </w:r>
      <w:proofErr w:type="spellStart"/>
      <w:r w:rsidRPr="00D35CAC">
        <w:rPr>
          <w:rFonts w:eastAsia="HelenPro-Regular"/>
        </w:rPr>
        <w:t>immunomodulatory</w:t>
      </w:r>
      <w:proofErr w:type="spellEnd"/>
      <w:r w:rsidRPr="00D35CAC">
        <w:rPr>
          <w:rFonts w:eastAsia="HelenPro-Regular"/>
        </w:rPr>
        <w:t xml:space="preserve"> agents was not formally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analyzed in the supportive clinical trials.</w:t>
      </w:r>
    </w:p>
    <w:p w:rsidR="00D35CAC" w:rsidRPr="00D35CAC" w:rsidRDefault="00D35CAC" w:rsidP="00D35CAC">
      <w:pPr>
        <w:autoSpaceDE w:val="0"/>
        <w:autoSpaceDN w:val="0"/>
        <w:adjustRightInd w:val="0"/>
        <w:ind w:left="1440"/>
        <w:rPr>
          <w:rFonts w:eastAsia="HelenPro-Regular"/>
        </w:rPr>
      </w:pPr>
      <w:r w:rsidRPr="00D35CAC">
        <w:rPr>
          <w:rFonts w:eastAsia="HelenPro-Bold"/>
          <w:b/>
          <w:bCs/>
        </w:rPr>
        <w:t xml:space="preserve">• </w:t>
      </w:r>
      <w:r w:rsidRPr="00D35CAC">
        <w:rPr>
          <w:rFonts w:eastAsia="HelenPro-Regular"/>
        </w:rPr>
        <w:t>ARCHITECT B∙R∙A∙H∙M∙S</w:t>
      </w:r>
      <w:r>
        <w:rPr>
          <w:rFonts w:eastAsia="HelenPro-Regular"/>
        </w:rPr>
        <w:t xml:space="preserve"> PCT results should not be used </w:t>
      </w:r>
      <w:r w:rsidRPr="00D35CAC">
        <w:rPr>
          <w:rFonts w:eastAsia="HelenPro-Regular"/>
        </w:rPr>
        <w:t>interchangeably with other methods for PCT determinations for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monitoring patients.</w:t>
      </w:r>
    </w:p>
    <w:p w:rsidR="00DC16C5" w:rsidRPr="00A062F7" w:rsidRDefault="00DC16C5" w:rsidP="00DC16C5">
      <w:pPr>
        <w:jc w:val="both"/>
        <w:rPr>
          <w:b/>
        </w:rPr>
      </w:pPr>
    </w:p>
    <w:p w:rsidR="0009322F" w:rsidRPr="00A062F7" w:rsidRDefault="006559EB" w:rsidP="006107A2">
      <w:pPr>
        <w:jc w:val="both"/>
        <w:rPr>
          <w:sz w:val="28"/>
          <w:szCs w:val="28"/>
        </w:rPr>
      </w:pPr>
      <w:r w:rsidRPr="00A062F7">
        <w:rPr>
          <w:b/>
          <w:sz w:val="28"/>
          <w:szCs w:val="28"/>
        </w:rPr>
        <w:t>Clinical Significance</w:t>
      </w:r>
      <w:r w:rsidR="006107A2" w:rsidRPr="00A062F7">
        <w:rPr>
          <w:sz w:val="28"/>
          <w:szCs w:val="28"/>
        </w:rPr>
        <w:t xml:space="preserve"> 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Sepsis is a daily challenge in the </w:t>
      </w:r>
      <w:r>
        <w:rPr>
          <w:rFonts w:eastAsia="HelenPro-Regular"/>
        </w:rPr>
        <w:t xml:space="preserve">hospital setting. Today various </w:t>
      </w:r>
      <w:r w:rsidRPr="00D35CAC">
        <w:rPr>
          <w:rFonts w:eastAsia="HelenPro-Regular"/>
        </w:rPr>
        <w:t>therapeutic strategies are known to improve survival in patients with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sepsis. Early assessment is important for determination of the appropriate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treatment.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PCT is a 116 amino acid protein </w:t>
      </w:r>
      <w:proofErr w:type="spellStart"/>
      <w:r w:rsidRPr="00D35CAC">
        <w:rPr>
          <w:rFonts w:eastAsia="HelenPro-Regular"/>
        </w:rPr>
        <w:t>proho</w:t>
      </w:r>
      <w:r>
        <w:rPr>
          <w:rFonts w:eastAsia="HelenPro-Regular"/>
        </w:rPr>
        <w:t>rmone</w:t>
      </w:r>
      <w:proofErr w:type="spellEnd"/>
      <w:r>
        <w:rPr>
          <w:rFonts w:eastAsia="HelenPro-Regular"/>
        </w:rPr>
        <w:t xml:space="preserve"> of calcitonin (CT). Under </w:t>
      </w:r>
      <w:r w:rsidRPr="00D35CAC">
        <w:rPr>
          <w:rFonts w:eastAsia="HelenPro-Regular"/>
        </w:rPr>
        <w:t>normal metabolic conditions, hormonally active CT is produced and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secreted in the C-cells of the thyroid gland after specific intracellular</w:t>
      </w:r>
      <w:r>
        <w:rPr>
          <w:rFonts w:eastAsia="HelenPro-Regular"/>
        </w:rPr>
        <w:t xml:space="preserve"> </w:t>
      </w:r>
      <w:proofErr w:type="spellStart"/>
      <w:r w:rsidRPr="00D35CAC">
        <w:rPr>
          <w:rFonts w:eastAsia="HelenPro-Regular"/>
        </w:rPr>
        <w:t>proteolytic</w:t>
      </w:r>
      <w:proofErr w:type="spellEnd"/>
      <w:r w:rsidRPr="00D35CAC">
        <w:rPr>
          <w:rFonts w:eastAsia="HelenPro-Regular"/>
        </w:rPr>
        <w:t xml:space="preserve"> activity. In healthy individuals, the intact PCT is not secreted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from the thyroid and levels in the blood are very low.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Response to inflammatory stimuli, includin</w:t>
      </w:r>
      <w:r>
        <w:rPr>
          <w:rFonts w:eastAsia="HelenPro-Regular"/>
        </w:rPr>
        <w:t xml:space="preserve">g bacterial infections, induces </w:t>
      </w:r>
      <w:r w:rsidRPr="00D35CAC">
        <w:rPr>
          <w:rFonts w:eastAsia="HelenPro-Regular"/>
        </w:rPr>
        <w:t>an increased expression of the CALC-I gene with production and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secretion of intact PCT from all parenchymal tissues and differentiated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cell types throughout the body.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In healthy people, plasma PCT conce</w:t>
      </w:r>
      <w:r>
        <w:rPr>
          <w:rFonts w:eastAsia="HelenPro-Regular"/>
        </w:rPr>
        <w:t xml:space="preserve">ntrations are found to be below </w:t>
      </w:r>
      <w:r w:rsidRPr="00D35CAC">
        <w:rPr>
          <w:rFonts w:eastAsia="HelenPro-Regular"/>
        </w:rPr>
        <w:t xml:space="preserve">0.1 </w:t>
      </w:r>
      <w:proofErr w:type="spellStart"/>
      <w:r w:rsidRPr="00D35CAC">
        <w:rPr>
          <w:rFonts w:eastAsia="HelenPro-Regular"/>
        </w:rPr>
        <w:t>ng</w:t>
      </w:r>
      <w:proofErr w:type="spellEnd"/>
      <w:r w:rsidRPr="00D35CAC">
        <w:rPr>
          <w:rFonts w:eastAsia="HelenPro-Regular"/>
        </w:rPr>
        <w:t>/</w:t>
      </w:r>
      <w:proofErr w:type="spellStart"/>
      <w:r w:rsidRPr="00D35CAC">
        <w:rPr>
          <w:rFonts w:eastAsia="HelenPro-Regular"/>
        </w:rPr>
        <w:t>mL.</w:t>
      </w:r>
      <w:proofErr w:type="spellEnd"/>
      <w:r w:rsidRPr="00D35CAC">
        <w:rPr>
          <w:rFonts w:eastAsia="HelenPro-Regular"/>
        </w:rPr>
        <w:t xml:space="preserve"> Depending on the clinical background, a PCT concentration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above 0.1 </w:t>
      </w:r>
      <w:proofErr w:type="spellStart"/>
      <w:r w:rsidRPr="00D35CAC">
        <w:rPr>
          <w:rFonts w:eastAsia="HelenPro-Regular"/>
        </w:rPr>
        <w:t>ng</w:t>
      </w:r>
      <w:proofErr w:type="spellEnd"/>
      <w:r w:rsidRPr="00D35CAC">
        <w:rPr>
          <w:rFonts w:eastAsia="HelenPro-Regular"/>
        </w:rPr>
        <w:t>/mL can indicate clinically relevant bacterial infection,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requiring antibiotic treatment.8 PCT levels rise rapidly (within 6–12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hours) after an infectious bacterial insult with systemic consequences.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The magnitude of the increase in PCT co</w:t>
      </w:r>
      <w:r>
        <w:rPr>
          <w:rFonts w:eastAsia="HelenPro-Regular"/>
        </w:rPr>
        <w:t xml:space="preserve">ncentration correlates with the </w:t>
      </w:r>
      <w:r w:rsidRPr="00D35CAC">
        <w:rPr>
          <w:rFonts w:eastAsia="HelenPro-Regular"/>
        </w:rPr>
        <w:t xml:space="preserve">severity of the bacterial infection. At a PCT concentration &gt; 0.5 </w:t>
      </w:r>
      <w:proofErr w:type="spellStart"/>
      <w:r w:rsidRPr="00D35CAC">
        <w:rPr>
          <w:rFonts w:eastAsia="HelenPro-Regular"/>
        </w:rPr>
        <w:t>ng</w:t>
      </w:r>
      <w:proofErr w:type="spellEnd"/>
      <w:r w:rsidRPr="00D35CAC">
        <w:rPr>
          <w:rFonts w:eastAsia="HelenPro-Regular"/>
        </w:rPr>
        <w:t>/mL,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 patient should be considered at risk of developing severe sepsis or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septic shock. On the other hand, the relief of the septic infection is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accompanied by a decrease in the PCT concentration, which returns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to normal with a half-life of 24 hours (i.e., the continuous decline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of PCT is indicative of effective source control measures and has been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implicated in the safe de-escalation of antibiotic therapy).</w:t>
      </w:r>
    </w:p>
    <w:p w:rsidR="00900D77" w:rsidRPr="007150E8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lastRenderedPageBreak/>
        <w:t>By evaluating PCT concentrations, the</w:t>
      </w:r>
      <w:r>
        <w:rPr>
          <w:rFonts w:eastAsia="HelenPro-Regular"/>
        </w:rPr>
        <w:t xml:space="preserve"> physician may use the findings </w:t>
      </w:r>
      <w:r w:rsidRPr="00D35CAC">
        <w:rPr>
          <w:rFonts w:eastAsia="HelenPro-Regular"/>
        </w:rPr>
        <w:t>to aid in the risk assessment of critically ill patients for progression to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severe sepsis and septic shock. In addition, the change of PCT levels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over time offers information about the risk of mortality after diagnosis of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severe sepsis or septic shock.</w:t>
      </w:r>
    </w:p>
    <w:p w:rsidR="00DA0D83" w:rsidRDefault="00DA0D83" w:rsidP="008A7F96">
      <w:pPr>
        <w:jc w:val="both"/>
        <w:rPr>
          <w:b/>
          <w:sz w:val="28"/>
          <w:szCs w:val="28"/>
        </w:rPr>
      </w:pPr>
    </w:p>
    <w:p w:rsidR="008A7F96" w:rsidRPr="00460600" w:rsidRDefault="008A7F96" w:rsidP="008A7F96">
      <w:pPr>
        <w:jc w:val="both"/>
        <w:rPr>
          <w:color w:val="FF0000"/>
          <w:sz w:val="28"/>
          <w:szCs w:val="28"/>
        </w:rPr>
      </w:pPr>
      <w:r w:rsidRPr="00460600">
        <w:rPr>
          <w:b/>
          <w:sz w:val="28"/>
          <w:szCs w:val="28"/>
        </w:rPr>
        <w:t>Principle</w:t>
      </w:r>
      <w:r w:rsidRPr="00460600">
        <w:rPr>
          <w:sz w:val="28"/>
          <w:szCs w:val="28"/>
        </w:rPr>
        <w:t xml:space="preserve"> 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The ARCHITECT B∙R∙A∙H∙M∙S PCT </w:t>
      </w:r>
      <w:r>
        <w:rPr>
          <w:rFonts w:eastAsia="HelenPro-Regular"/>
        </w:rPr>
        <w:t xml:space="preserve">assay is a two-step immunoassay </w:t>
      </w:r>
      <w:r w:rsidRPr="00D35CAC">
        <w:rPr>
          <w:rFonts w:eastAsia="HelenPro-Regular"/>
        </w:rPr>
        <w:t>for the quantitative determination of PCT in human serum and plasma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(lithium heparin and K2EDTA) using CMIA technology with flexible assay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protocols, referred to as </w:t>
      </w:r>
      <w:proofErr w:type="spellStart"/>
      <w:r w:rsidRPr="00D35CAC">
        <w:rPr>
          <w:rFonts w:eastAsia="HelenPro-Regular"/>
        </w:rPr>
        <w:t>Chemiflex</w:t>
      </w:r>
      <w:proofErr w:type="spellEnd"/>
      <w:r w:rsidRPr="00D35CAC">
        <w:rPr>
          <w:rFonts w:eastAsia="HelenPro-Regular"/>
        </w:rPr>
        <w:t>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1. Sample and anti-PCT coated </w:t>
      </w:r>
      <w:r>
        <w:rPr>
          <w:rFonts w:eastAsia="HelenPro-Regular"/>
        </w:rPr>
        <w:t xml:space="preserve">paramagnetic </w:t>
      </w:r>
      <w:proofErr w:type="spellStart"/>
      <w:r>
        <w:rPr>
          <w:rFonts w:eastAsia="HelenPro-Regular"/>
        </w:rPr>
        <w:t>microparticles</w:t>
      </w:r>
      <w:proofErr w:type="spellEnd"/>
      <w:r>
        <w:rPr>
          <w:rFonts w:eastAsia="HelenPro-Regular"/>
        </w:rPr>
        <w:t xml:space="preserve"> are </w:t>
      </w:r>
      <w:r w:rsidRPr="00D35CAC">
        <w:rPr>
          <w:rFonts w:eastAsia="HelenPro-Regular"/>
        </w:rPr>
        <w:t>combined. The PCT present in the sample binds to the anti-PCT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 xml:space="preserve">coated </w:t>
      </w:r>
      <w:proofErr w:type="spellStart"/>
      <w:r w:rsidRPr="00D35CAC">
        <w:rPr>
          <w:rFonts w:eastAsia="HelenPro-Regular"/>
        </w:rPr>
        <w:t>microparticles</w:t>
      </w:r>
      <w:proofErr w:type="spellEnd"/>
      <w:r w:rsidRPr="00D35CAC">
        <w:rPr>
          <w:rFonts w:eastAsia="HelenPro-Regular"/>
        </w:rPr>
        <w:t>.</w:t>
      </w:r>
    </w:p>
    <w:p w:rsidR="008A7F96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2. After washing, anti-PCT </w:t>
      </w:r>
      <w:proofErr w:type="spellStart"/>
      <w:r w:rsidRPr="00D35CAC">
        <w:rPr>
          <w:rFonts w:eastAsia="HelenPro-Regular"/>
        </w:rPr>
        <w:t>acridinium</w:t>
      </w:r>
      <w:proofErr w:type="spellEnd"/>
      <w:r w:rsidRPr="00D35CAC">
        <w:rPr>
          <w:rFonts w:eastAsia="HelenPro-Regular"/>
        </w:rPr>
        <w:t>-labeled conjugate is added to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create a reaction mixture.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3. Following another wash cycle, Pre-Tr</w:t>
      </w:r>
      <w:r>
        <w:rPr>
          <w:rFonts w:eastAsia="HelenPro-Regular"/>
        </w:rPr>
        <w:t xml:space="preserve">igger and Trigger Solutions are </w:t>
      </w:r>
      <w:r w:rsidRPr="00D35CAC">
        <w:rPr>
          <w:rFonts w:eastAsia="HelenPro-Regular"/>
        </w:rPr>
        <w:t>added to the reaction mixture.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 xml:space="preserve">4. The resulting </w:t>
      </w:r>
      <w:proofErr w:type="spellStart"/>
      <w:r w:rsidRPr="00D35CAC">
        <w:rPr>
          <w:rFonts w:eastAsia="HelenPro-Regular"/>
        </w:rPr>
        <w:t>chemiluminescent</w:t>
      </w:r>
      <w:proofErr w:type="spellEnd"/>
      <w:r w:rsidRPr="00D35CAC">
        <w:rPr>
          <w:rFonts w:eastAsia="HelenPro-Regular"/>
        </w:rPr>
        <w:t xml:space="preserve"> reaction is measured as relative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light units (RLUs). There is a direct relationship between the amount</w:t>
      </w:r>
      <w:r>
        <w:rPr>
          <w:rFonts w:eastAsia="HelenPro-Regular"/>
        </w:rPr>
        <w:t xml:space="preserve"> </w:t>
      </w:r>
      <w:r w:rsidRPr="00D35CAC">
        <w:rPr>
          <w:rFonts w:eastAsia="HelenPro-Regular"/>
        </w:rPr>
        <w:t>of PCT in the sample and the RLUs detected by the ARCHITECT</w:t>
      </w:r>
      <w:r>
        <w:rPr>
          <w:rFonts w:eastAsia="HelenPro-Regular"/>
        </w:rPr>
        <w:t xml:space="preserve"> </w:t>
      </w:r>
      <w:proofErr w:type="spellStart"/>
      <w:r w:rsidRPr="00D35CAC">
        <w:rPr>
          <w:rFonts w:eastAsia="HelenPro-Regular"/>
        </w:rPr>
        <w:t>iSystem</w:t>
      </w:r>
      <w:proofErr w:type="spellEnd"/>
      <w:r w:rsidRPr="00D35CAC">
        <w:rPr>
          <w:rFonts w:eastAsia="HelenPro-Regular"/>
        </w:rPr>
        <w:t xml:space="preserve"> optics.</w:t>
      </w:r>
    </w:p>
    <w:p w:rsidR="00D35CAC" w:rsidRPr="00D35CAC" w:rsidRDefault="00D35CAC" w:rsidP="00D35CAC">
      <w:pPr>
        <w:autoSpaceDE w:val="0"/>
        <w:autoSpaceDN w:val="0"/>
        <w:adjustRightInd w:val="0"/>
        <w:rPr>
          <w:rFonts w:eastAsia="HelenPro-Regular"/>
        </w:rPr>
      </w:pPr>
      <w:r w:rsidRPr="00D35CAC">
        <w:rPr>
          <w:rFonts w:eastAsia="HelenPro-Regular"/>
        </w:rPr>
        <w:t>For additional information on system and</w:t>
      </w:r>
      <w:r>
        <w:rPr>
          <w:rFonts w:eastAsia="HelenPro-Regular"/>
        </w:rPr>
        <w:t xml:space="preserve"> assay technology, refer to the </w:t>
      </w:r>
      <w:r w:rsidRPr="00D35CAC">
        <w:rPr>
          <w:rFonts w:eastAsia="HelenPro-Regular"/>
        </w:rPr>
        <w:t>ARCHITECT System Operations Manual, Section 3.</w:t>
      </w:r>
    </w:p>
    <w:p w:rsidR="008A7F96" w:rsidRPr="004E04CB" w:rsidRDefault="008A7F96" w:rsidP="001D3AFA">
      <w:pPr>
        <w:autoSpaceDE w:val="0"/>
        <w:autoSpaceDN w:val="0"/>
        <w:adjustRightInd w:val="0"/>
        <w:rPr>
          <w:rFonts w:eastAsia="HelenPro-Regular"/>
        </w:rPr>
      </w:pPr>
    </w:p>
    <w:p w:rsidR="004E0AFF" w:rsidRDefault="004E0AFF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B24260" w:rsidRDefault="00A503C7" w:rsidP="00B24260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6C8B890" wp14:editId="1083FCF8">
            <wp:extent cx="410527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Other specimen collection tube types</w:t>
      </w:r>
      <w:r>
        <w:rPr>
          <w:rFonts w:eastAsia="HelenPro-Regular"/>
        </w:rPr>
        <w:t xml:space="preserve"> have not been tested with this </w:t>
      </w:r>
      <w:r w:rsidRPr="00A503C7">
        <w:rPr>
          <w:rFonts w:eastAsia="HelenPro-Regular"/>
        </w:rPr>
        <w:t>assay.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503C7">
        <w:rPr>
          <w:rFonts w:eastAsia="HelenPro-Bold"/>
          <w:b/>
          <w:bCs/>
        </w:rPr>
        <w:t>• When monitoring patients, use the same specimen collection tube</w:t>
      </w:r>
      <w:r>
        <w:rPr>
          <w:rFonts w:eastAsia="HelenPro-Bold"/>
          <w:b/>
          <w:bCs/>
        </w:rPr>
        <w:t xml:space="preserve"> </w:t>
      </w:r>
      <w:r w:rsidR="00EC6FD6">
        <w:rPr>
          <w:rFonts w:eastAsia="HelenPro-Bold"/>
          <w:b/>
          <w:bCs/>
        </w:rPr>
        <w:t xml:space="preserve">type throughout the </w:t>
      </w:r>
      <w:r w:rsidRPr="00A503C7">
        <w:rPr>
          <w:rFonts w:eastAsia="HelenPro-Bold"/>
          <w:b/>
          <w:bCs/>
        </w:rPr>
        <w:t>evaluation.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Performance has not been estab</w:t>
      </w:r>
      <w:r>
        <w:rPr>
          <w:rFonts w:eastAsia="HelenPro-Regular"/>
        </w:rPr>
        <w:t xml:space="preserve">lished for the use of cadaveric </w:t>
      </w:r>
      <w:r w:rsidRPr="00A503C7">
        <w:rPr>
          <w:rFonts w:eastAsia="HelenPro-Regular"/>
        </w:rPr>
        <w:t>specimens or the use of body fluids other than human serum/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plasma.</w:t>
      </w:r>
    </w:p>
    <w:p w:rsidR="00EC6FD6" w:rsidRDefault="00EC6FD6" w:rsidP="001D3AFA">
      <w:pPr>
        <w:autoSpaceDE w:val="0"/>
        <w:autoSpaceDN w:val="0"/>
        <w:adjustRightInd w:val="0"/>
        <w:rPr>
          <w:rFonts w:eastAsia="HelenPro-Regular"/>
        </w:rPr>
      </w:pPr>
    </w:p>
    <w:p w:rsidR="001D3AFA" w:rsidRPr="00A503C7" w:rsidRDefault="001D3AFA" w:rsidP="001D3AFA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Do not use specimens with the following conditions:</w:t>
      </w:r>
    </w:p>
    <w:p w:rsidR="00A503C7" w:rsidRPr="00A503C7" w:rsidRDefault="00A503C7" w:rsidP="00A503C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heat-inactivated</w:t>
      </w:r>
    </w:p>
    <w:p w:rsidR="00A503C7" w:rsidRPr="00A503C7" w:rsidRDefault="00A503C7" w:rsidP="00A503C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pooled</w:t>
      </w:r>
    </w:p>
    <w:p w:rsidR="00A503C7" w:rsidRPr="00A503C7" w:rsidRDefault="00A503C7" w:rsidP="00A503C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 xml:space="preserve">grossly </w:t>
      </w:r>
      <w:proofErr w:type="spellStart"/>
      <w:r w:rsidRPr="00A503C7">
        <w:rPr>
          <w:rFonts w:eastAsia="HelenPro-Regular"/>
        </w:rPr>
        <w:t>hemolyzed</w:t>
      </w:r>
      <w:proofErr w:type="spellEnd"/>
    </w:p>
    <w:p w:rsidR="00A503C7" w:rsidRPr="00A503C7" w:rsidRDefault="00A503C7" w:rsidP="00A503C7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obvious microbial contamination</w:t>
      </w:r>
    </w:p>
    <w:p w:rsidR="001D3AFA" w:rsidRPr="00A503C7" w:rsidRDefault="00A503C7" w:rsidP="00A503C7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fungal growth</w:t>
      </w:r>
      <w:r w:rsidR="001D3AFA" w:rsidRPr="00A503C7">
        <w:rPr>
          <w:rFonts w:eastAsia="HelenPro-Regular"/>
        </w:rPr>
        <w:t>.</w:t>
      </w:r>
    </w:p>
    <w:p w:rsidR="001D3AFA" w:rsidRPr="00A503C7" w:rsidRDefault="00A503C7" w:rsidP="001D3AFA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noProof/>
        </w:rPr>
        <w:lastRenderedPageBreak/>
        <w:drawing>
          <wp:inline distT="0" distB="0" distL="0" distR="0" wp14:anchorId="6D204110" wp14:editId="2B0BE8C4">
            <wp:extent cx="4038600" cy="2562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If stored beyond 8 hours, remove ser</w:t>
      </w:r>
      <w:r>
        <w:rPr>
          <w:rFonts w:eastAsia="HelenPro-Regular"/>
        </w:rPr>
        <w:t xml:space="preserve">um or plasma from the clot, red </w:t>
      </w:r>
      <w:r w:rsidRPr="00A503C7">
        <w:rPr>
          <w:rFonts w:eastAsia="HelenPro-Regular"/>
        </w:rPr>
        <w:t>blood cells, or separator gel and store at 2-8°C or -10°C or colder.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EDTA-plasma and serum specimens stored frozen at -70°C or colder have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demonstrated stability up to 18 months.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Avoid more than 3 freeze/thaw cycles.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Testing of lithium heparin plasma specim</w:t>
      </w:r>
      <w:r>
        <w:rPr>
          <w:rFonts w:eastAsia="HelenPro-Regular"/>
        </w:rPr>
        <w:t xml:space="preserve">ens that were frozen and thawed </w:t>
      </w:r>
      <w:r w:rsidRPr="00A503C7">
        <w:rPr>
          <w:rFonts w:eastAsia="HelenPro-Regular"/>
        </w:rPr>
        <w:t>up to 3 times resulted in a maximum mean % difference from fresh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specimens of -11%. Testing of serum or plasma specimens from serum,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 xml:space="preserve">SST, and </w:t>
      </w:r>
      <w:proofErr w:type="spellStart"/>
      <w:r w:rsidRPr="00A503C7">
        <w:rPr>
          <w:rFonts w:eastAsia="HelenPro-Regular"/>
        </w:rPr>
        <w:t>dipotassium</w:t>
      </w:r>
      <w:proofErr w:type="spellEnd"/>
      <w:r w:rsidRPr="00A503C7">
        <w:rPr>
          <w:rFonts w:eastAsia="HelenPro-Regular"/>
        </w:rPr>
        <w:t xml:space="preserve"> EDTA tubes that were frozen and thawed up to 3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times resulted in a maximum mean % difference from fresh specimens of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-6%.</w:t>
      </w:r>
    </w:p>
    <w:p w:rsidR="001D3AFA" w:rsidRDefault="001D3AFA" w:rsidP="001D3AFA">
      <w:pPr>
        <w:autoSpaceDE w:val="0"/>
        <w:autoSpaceDN w:val="0"/>
        <w:adjustRightInd w:val="0"/>
        <w:rPr>
          <w:rFonts w:eastAsia="HelenPro-Regular"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CC08BC" w:rsidRDefault="00CC08BC" w:rsidP="00973EAF">
      <w:pPr>
        <w:ind w:firstLine="720"/>
        <w:rPr>
          <w:b/>
        </w:rPr>
      </w:pPr>
    </w:p>
    <w:p w:rsidR="00CC08BC" w:rsidRDefault="00CC08BC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173EA4" w:rsidRDefault="00F7103F" w:rsidP="00F7103F"/>
    <w:p w:rsidR="00F7103F" w:rsidRPr="00A503C7" w:rsidRDefault="00F7103F" w:rsidP="00973EAF">
      <w:pPr>
        <w:ind w:firstLine="720"/>
      </w:pPr>
      <w:r w:rsidRPr="00173EA4">
        <w:rPr>
          <w:rFonts w:eastAsia="HelenPro-Regular"/>
        </w:rPr>
        <w:t xml:space="preserve"> </w:t>
      </w:r>
      <w:r w:rsidR="00A503C7" w:rsidRPr="00A503C7">
        <w:rPr>
          <w:rFonts w:eastAsia="HelenPro-Regular"/>
        </w:rPr>
        <w:t>6P22 ARCHITECT B∙R∙A∙H∙M∙S PCT Reagent Kit</w:t>
      </w:r>
    </w:p>
    <w:p w:rsidR="00A062F7" w:rsidRDefault="00A062F7" w:rsidP="00973EAF">
      <w:pPr>
        <w:ind w:firstLine="720"/>
        <w:rPr>
          <w:b/>
        </w:rPr>
      </w:pPr>
    </w:p>
    <w:p w:rsidR="00F7103F" w:rsidRPr="00F7103F" w:rsidRDefault="00F7103F" w:rsidP="00CC08BC">
      <w:pPr>
        <w:ind w:left="720"/>
        <w:rPr>
          <w:b/>
        </w:rPr>
      </w:pPr>
      <w:r w:rsidRPr="00F7103F">
        <w:rPr>
          <w:b/>
        </w:rPr>
        <w:t>MATERIALS REQUIRED BUT NOT PROVIDED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B∙R∙A∙H∙M∙</w:t>
      </w:r>
      <w:r>
        <w:rPr>
          <w:rFonts w:eastAsia="HelenPro-Regular"/>
        </w:rPr>
        <w:t xml:space="preserve">S PCT Assay file obtained from </w:t>
      </w:r>
      <w:r w:rsidRPr="00A503C7">
        <w:rPr>
          <w:rFonts w:eastAsia="HelenPro-Regular"/>
        </w:rPr>
        <w:t xml:space="preserve">the ARCHITECT </w:t>
      </w:r>
      <w:proofErr w:type="spellStart"/>
      <w:r w:rsidRPr="00A503C7">
        <w:rPr>
          <w:rFonts w:eastAsia="HelenPro-Regular"/>
        </w:rPr>
        <w:t>iSystem</w:t>
      </w:r>
      <w:proofErr w:type="spellEnd"/>
      <w:r w:rsidRPr="00A503C7">
        <w:rPr>
          <w:rFonts w:eastAsia="HelenPro-Regular"/>
        </w:rPr>
        <w:t xml:space="preserve"> e-Assay CD-ROM found on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www.abbottdiagnostics.com.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6P22-01 ARCHITECT B∙R∙A∙H∙M∙S PCT Calibrators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6P22-10 ARCHITECT B∙R∙A∙H∙M∙</w:t>
      </w:r>
      <w:r>
        <w:rPr>
          <w:rFonts w:eastAsia="HelenPro-Regular"/>
        </w:rPr>
        <w:t xml:space="preserve">S PCT Controls or other control </w:t>
      </w:r>
      <w:r w:rsidRPr="00A503C7">
        <w:rPr>
          <w:rFonts w:eastAsia="HelenPro-Regular"/>
        </w:rPr>
        <w:t>material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Pre-Trigger Solution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Trigger Solution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Wash Buffer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Reaction Vessels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Sample Cups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lastRenderedPageBreak/>
        <w:t xml:space="preserve">• </w:t>
      </w:r>
      <w:r w:rsidRPr="00A503C7">
        <w:rPr>
          <w:rFonts w:eastAsia="HelenPro-Regular"/>
        </w:rPr>
        <w:t>ARCHITECT Septum</w:t>
      </w:r>
    </w:p>
    <w:p w:rsidR="00A503C7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ARCHITECT Replacement Caps</w:t>
      </w:r>
    </w:p>
    <w:p w:rsidR="00F7103F" w:rsidRPr="00A503C7" w:rsidRDefault="00A503C7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Pipettes or pipette tips (optional) to d</w:t>
      </w:r>
      <w:r>
        <w:rPr>
          <w:rFonts w:eastAsia="HelenPro-Regular"/>
        </w:rPr>
        <w:t xml:space="preserve">eliver the volumes specified on </w:t>
      </w:r>
      <w:r w:rsidRPr="00A503C7">
        <w:rPr>
          <w:rFonts w:eastAsia="HelenPro-Regular"/>
        </w:rPr>
        <w:t>the patient or control order screen.</w:t>
      </w:r>
    </w:p>
    <w:p w:rsidR="00952933" w:rsidRPr="00B54C79" w:rsidRDefault="00952933" w:rsidP="00B54C79">
      <w:pPr>
        <w:rPr>
          <w:b/>
        </w:rPr>
      </w:pPr>
    </w:p>
    <w:p w:rsidR="00507B0C" w:rsidRPr="004A03BD" w:rsidRDefault="007150E8" w:rsidP="00507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07B0C" w:rsidRPr="004A03BD">
        <w:rPr>
          <w:b/>
          <w:sz w:val="28"/>
          <w:szCs w:val="28"/>
        </w:rPr>
        <w:t xml:space="preserve">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A503C7" w:rsidRDefault="00A503C7" w:rsidP="00F7103F">
      <w:pPr>
        <w:rPr>
          <w:rFonts w:eastAsia="HelenPro-Regular"/>
          <w:b/>
          <w:bCs/>
        </w:rPr>
      </w:pPr>
      <w:r>
        <w:rPr>
          <w:noProof/>
        </w:rPr>
        <w:drawing>
          <wp:inline distT="0" distB="0" distL="0" distR="0" wp14:anchorId="6C14C89A" wp14:editId="492E1A61">
            <wp:extent cx="1857375" cy="590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A503C7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A503C7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B54C79" w:rsidRDefault="00A503C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0A8ECEBF" wp14:editId="056D19A4">
            <wp:extent cx="2994457" cy="240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8253" cy="24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C7" w:rsidRDefault="00A503C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A503C7" w:rsidRDefault="00A503C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51F2CD25" wp14:editId="3664717A">
            <wp:extent cx="2991293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3274" cy="183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C7" w:rsidRDefault="00A503C7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1EA4FDFC" wp14:editId="2076B22C">
            <wp:extent cx="3209390" cy="3400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9462" cy="342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89" w:rsidRDefault="0052008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Do not use reagent kits beyond the expiration date.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503C7">
        <w:rPr>
          <w:rFonts w:eastAsia="HelenPro-Bold"/>
          <w:b/>
          <w:bCs/>
        </w:rPr>
        <w:t>• Do not pool reagents within a kit or between kits.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Before loading the reagent kit on the system for the first time, the</w:t>
      </w:r>
      <w:r>
        <w:rPr>
          <w:rFonts w:eastAsia="HelenPro-Regular"/>
        </w:rPr>
        <w:t xml:space="preserve"> </w:t>
      </w:r>
      <w:proofErr w:type="spellStart"/>
      <w:r w:rsidRPr="00A503C7">
        <w:rPr>
          <w:rFonts w:eastAsia="HelenPro-Regular"/>
        </w:rPr>
        <w:t>microparticle</w:t>
      </w:r>
      <w:proofErr w:type="spellEnd"/>
      <w:r w:rsidRPr="00A503C7">
        <w:rPr>
          <w:rFonts w:eastAsia="HelenPro-Regular"/>
        </w:rPr>
        <w:t xml:space="preserve"> bottle requires mixing to </w:t>
      </w:r>
      <w:proofErr w:type="spellStart"/>
      <w:r w:rsidRPr="00A503C7">
        <w:rPr>
          <w:rFonts w:eastAsia="HelenPro-Regular"/>
        </w:rPr>
        <w:t>resuspend</w:t>
      </w:r>
      <w:proofErr w:type="spellEnd"/>
      <w:r w:rsidRPr="00A503C7">
        <w:rPr>
          <w:rFonts w:eastAsia="HelenPro-Regular"/>
        </w:rPr>
        <w:t xml:space="preserve"> </w:t>
      </w:r>
      <w:proofErr w:type="spellStart"/>
      <w:r w:rsidRPr="00A503C7">
        <w:rPr>
          <w:rFonts w:eastAsia="HelenPro-Regular"/>
        </w:rPr>
        <w:t>microparticles</w:t>
      </w:r>
      <w:proofErr w:type="spellEnd"/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 xml:space="preserve">that may have settled during shipment. For </w:t>
      </w:r>
      <w:proofErr w:type="spellStart"/>
      <w:r w:rsidRPr="00A503C7">
        <w:rPr>
          <w:rFonts w:eastAsia="HelenPro-Regular"/>
        </w:rPr>
        <w:t>microparticle</w:t>
      </w:r>
      <w:proofErr w:type="spellEnd"/>
      <w:r w:rsidRPr="00A503C7">
        <w:rPr>
          <w:rFonts w:eastAsia="HelenPro-Regular"/>
        </w:rPr>
        <w:t xml:space="preserve"> mixing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 xml:space="preserve">instructions, refer to the </w:t>
      </w:r>
      <w:r w:rsidRPr="00A503C7">
        <w:rPr>
          <w:rFonts w:eastAsia="HelenPro-Bold"/>
          <w:b/>
          <w:bCs/>
        </w:rPr>
        <w:t xml:space="preserve">PROCEDURE, Assay Procedure </w:t>
      </w:r>
      <w:r w:rsidRPr="00A503C7">
        <w:rPr>
          <w:rFonts w:eastAsia="HelenPro-Regular"/>
        </w:rPr>
        <w:t>section of</w:t>
      </w:r>
      <w:r>
        <w:rPr>
          <w:rFonts w:eastAsia="HelenPro-Regular"/>
        </w:rPr>
        <w:t xml:space="preserve"> the</w:t>
      </w:r>
      <w:r w:rsidRPr="00A503C7">
        <w:rPr>
          <w:rFonts w:eastAsia="HelenPro-Regular"/>
        </w:rPr>
        <w:t xml:space="preserve"> package insert.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503C7">
        <w:rPr>
          <w:rFonts w:eastAsia="HelenPro-Bold"/>
          <w:b/>
          <w:bCs/>
        </w:rPr>
        <w:t xml:space="preserve">• </w:t>
      </w:r>
      <w:proofErr w:type="spellStart"/>
      <w:r w:rsidRPr="00A503C7">
        <w:rPr>
          <w:rFonts w:eastAsia="HelenPro-Bold"/>
          <w:b/>
          <w:bCs/>
        </w:rPr>
        <w:t>Septums</w:t>
      </w:r>
      <w:proofErr w:type="spellEnd"/>
      <w:r w:rsidRPr="00A503C7">
        <w:rPr>
          <w:rFonts w:eastAsia="HelenPro-Bold"/>
          <w:b/>
          <w:bCs/>
        </w:rPr>
        <w:t xml:space="preserve"> MUST be used to prevent reagent evaporation and</w:t>
      </w:r>
      <w:r>
        <w:rPr>
          <w:rFonts w:eastAsia="HelenPro-Bold"/>
          <w:b/>
          <w:bCs/>
        </w:rPr>
        <w:t xml:space="preserve"> </w:t>
      </w:r>
      <w:r w:rsidRPr="00A503C7">
        <w:rPr>
          <w:rFonts w:eastAsia="HelenPro-Bold"/>
          <w:b/>
          <w:bCs/>
        </w:rPr>
        <w:t>contamination and to ensure reagent integrity. Reliability of assay</w:t>
      </w:r>
      <w:r>
        <w:rPr>
          <w:rFonts w:eastAsia="HelenPro-Bold"/>
          <w:b/>
          <w:bCs/>
        </w:rPr>
        <w:t xml:space="preserve"> </w:t>
      </w:r>
      <w:r w:rsidRPr="00A503C7">
        <w:rPr>
          <w:rFonts w:eastAsia="HelenPro-Bold"/>
          <w:b/>
          <w:bCs/>
        </w:rPr>
        <w:t xml:space="preserve">results cannot be guaranteed if </w:t>
      </w:r>
      <w:proofErr w:type="spellStart"/>
      <w:r w:rsidRPr="00A503C7">
        <w:rPr>
          <w:rFonts w:eastAsia="HelenPro-Bold"/>
          <w:b/>
          <w:bCs/>
        </w:rPr>
        <w:t>septums</w:t>
      </w:r>
      <w:proofErr w:type="spellEnd"/>
      <w:r w:rsidRPr="00A503C7">
        <w:rPr>
          <w:rFonts w:eastAsia="HelenPro-Bold"/>
          <w:b/>
          <w:bCs/>
        </w:rPr>
        <w:t xml:space="preserve"> are not used according</w:t>
      </w:r>
      <w:r>
        <w:rPr>
          <w:rFonts w:eastAsia="HelenPro-Bold"/>
          <w:b/>
          <w:bCs/>
        </w:rPr>
        <w:t xml:space="preserve"> </w:t>
      </w:r>
      <w:r w:rsidRPr="00A503C7">
        <w:rPr>
          <w:rFonts w:eastAsia="HelenPro-Bold"/>
          <w:b/>
          <w:bCs/>
        </w:rPr>
        <w:t xml:space="preserve">to the instructions in </w:t>
      </w:r>
      <w:r>
        <w:rPr>
          <w:rFonts w:eastAsia="HelenPro-Bold"/>
          <w:b/>
          <w:bCs/>
        </w:rPr>
        <w:t>the</w:t>
      </w:r>
      <w:r w:rsidRPr="00A503C7">
        <w:rPr>
          <w:rFonts w:eastAsia="HelenPro-Bold"/>
          <w:b/>
          <w:bCs/>
        </w:rPr>
        <w:t xml:space="preserve"> package insert.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To avoid contamination, wear clean gloves when placing a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septum on an uncapped reagent bottle.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 xml:space="preserve">Once a septum has been placed on an open reagent bottle, </w:t>
      </w:r>
      <w:r w:rsidRPr="00A503C7">
        <w:rPr>
          <w:rFonts w:eastAsia="HelenPro-Bold"/>
          <w:b/>
          <w:bCs/>
        </w:rPr>
        <w:t>do</w:t>
      </w:r>
      <w:r>
        <w:rPr>
          <w:rFonts w:eastAsia="HelenPro-Bold"/>
          <w:b/>
          <w:bCs/>
        </w:rPr>
        <w:t xml:space="preserve"> </w:t>
      </w:r>
      <w:r w:rsidRPr="00A503C7">
        <w:rPr>
          <w:rFonts w:eastAsia="HelenPro-Bold"/>
          <w:b/>
          <w:bCs/>
        </w:rPr>
        <w:t xml:space="preserve">not invert the bottle </w:t>
      </w:r>
      <w:r w:rsidRPr="00A503C7">
        <w:rPr>
          <w:rFonts w:eastAsia="HelenPro-Regular"/>
        </w:rPr>
        <w:t>as this will result in reagent leakage and</w:t>
      </w:r>
      <w:r>
        <w:rPr>
          <w:rFonts w:eastAsia="HelenPro-Bold"/>
          <w:b/>
          <w:bCs/>
        </w:rPr>
        <w:t xml:space="preserve"> </w:t>
      </w:r>
      <w:r w:rsidRPr="00A503C7">
        <w:rPr>
          <w:rFonts w:eastAsia="HelenPro-Regular"/>
        </w:rPr>
        <w:t>may compromise assay results.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Over time, residual liquids may dry on the septum surface.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These are typically dried salts and have no effect on assay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efficacy.</w:t>
      </w:r>
    </w:p>
    <w:p w:rsidR="00B54C79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For a detailed discussion of handling precautions during system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operation, refer to the ARCHITECT System Operations Manual, Section 7.</w:t>
      </w: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Bold"/>
          <w:b/>
          <w:bCs/>
        </w:rPr>
        <w:t xml:space="preserve">• </w:t>
      </w:r>
      <w:r w:rsidRPr="00A503C7">
        <w:rPr>
          <w:rFonts w:eastAsia="HelenPro-Regular"/>
        </w:rPr>
        <w:t>Do not freeze.</w:t>
      </w:r>
    </w:p>
    <w:p w:rsidR="001D3AFA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When stored and handled as directed, reagents are stable until the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expiration date.</w:t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52E52EC" wp14:editId="65829888">
            <wp:extent cx="3962400" cy="2038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C7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>* On board stability is tracked only when the reagent kit is on board the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processing module. To update the on board stability timer, a reagent scan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must be performed every time a reagent kit is unloaded.</w:t>
      </w:r>
    </w:p>
    <w:p w:rsidR="0038442D" w:rsidRPr="00A503C7" w:rsidRDefault="00A503C7" w:rsidP="00A503C7">
      <w:pPr>
        <w:autoSpaceDE w:val="0"/>
        <w:autoSpaceDN w:val="0"/>
        <w:adjustRightInd w:val="0"/>
        <w:rPr>
          <w:rFonts w:eastAsia="HelenPro-Regular"/>
        </w:rPr>
      </w:pPr>
      <w:r w:rsidRPr="00A503C7">
        <w:rPr>
          <w:rFonts w:eastAsia="HelenPro-Regular"/>
        </w:rPr>
        <w:t xml:space="preserve">Reagents may be stored on or off the ARCHITECT </w:t>
      </w:r>
      <w:proofErr w:type="spellStart"/>
      <w:r w:rsidRPr="00A503C7">
        <w:rPr>
          <w:rFonts w:eastAsia="HelenPro-Regular"/>
        </w:rPr>
        <w:t>iSystem</w:t>
      </w:r>
      <w:proofErr w:type="spellEnd"/>
      <w:r w:rsidRPr="00A503C7">
        <w:rPr>
          <w:rFonts w:eastAsia="HelenPro-Regular"/>
        </w:rPr>
        <w:t>. If reagents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 xml:space="preserve">are removed from the system, store them at 2-8°C (with </w:t>
      </w:r>
      <w:proofErr w:type="spellStart"/>
      <w:r w:rsidRPr="00A503C7">
        <w:rPr>
          <w:rFonts w:eastAsia="HelenPro-Regular"/>
        </w:rPr>
        <w:t>septums</w:t>
      </w:r>
      <w:proofErr w:type="spellEnd"/>
      <w:r w:rsidRPr="00A503C7">
        <w:rPr>
          <w:rFonts w:eastAsia="HelenPro-Regular"/>
        </w:rPr>
        <w:t xml:space="preserve"> and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replacement caps) in an upright position. For reagents stored off the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system, it is recommended that they be stored in their original trays and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 xml:space="preserve">boxes to ensure they remain upright. </w:t>
      </w:r>
      <w:r w:rsidRPr="00A503C7">
        <w:rPr>
          <w:rFonts w:eastAsia="HelenPro-Bold"/>
          <w:b/>
          <w:bCs/>
        </w:rPr>
        <w:t xml:space="preserve">If the </w:t>
      </w:r>
      <w:proofErr w:type="spellStart"/>
      <w:r w:rsidRPr="00A503C7">
        <w:rPr>
          <w:rFonts w:eastAsia="HelenPro-Bold"/>
          <w:b/>
          <w:bCs/>
        </w:rPr>
        <w:t>microparticle</w:t>
      </w:r>
      <w:proofErr w:type="spellEnd"/>
      <w:r w:rsidRPr="00A503C7">
        <w:rPr>
          <w:rFonts w:eastAsia="HelenPro-Bold"/>
          <w:b/>
          <w:bCs/>
        </w:rPr>
        <w:t xml:space="preserve"> bottle does not</w:t>
      </w:r>
      <w:r>
        <w:rPr>
          <w:rFonts w:eastAsia="HelenPro-Regular"/>
        </w:rPr>
        <w:t xml:space="preserve"> </w:t>
      </w:r>
      <w:r w:rsidRPr="00A503C7">
        <w:rPr>
          <w:rFonts w:eastAsia="HelenPro-Bold"/>
          <w:b/>
          <w:bCs/>
        </w:rPr>
        <w:t>remain upright (with a septum installed) while in refrigerated storage</w:t>
      </w:r>
      <w:r>
        <w:rPr>
          <w:rFonts w:eastAsia="HelenPro-Regular"/>
        </w:rPr>
        <w:t xml:space="preserve"> </w:t>
      </w:r>
      <w:r w:rsidRPr="00A503C7">
        <w:rPr>
          <w:rFonts w:eastAsia="HelenPro-Bold"/>
          <w:b/>
          <w:bCs/>
        </w:rPr>
        <w:t xml:space="preserve">off the system, the reagent kit must be discarded. </w:t>
      </w:r>
      <w:r w:rsidRPr="00A503C7">
        <w:rPr>
          <w:rFonts w:eastAsia="HelenPro-Regular"/>
        </w:rPr>
        <w:t>For information on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unloading reagents, refer to the ARCHITECT System Operations Manual,</w:t>
      </w:r>
      <w:r>
        <w:rPr>
          <w:rFonts w:eastAsia="HelenPro-Regular"/>
        </w:rPr>
        <w:t xml:space="preserve"> </w:t>
      </w:r>
      <w:r w:rsidRPr="00A503C7">
        <w:rPr>
          <w:rFonts w:eastAsia="HelenPro-Regular"/>
        </w:rPr>
        <w:t>Section 5.</w:t>
      </w:r>
    </w:p>
    <w:p w:rsidR="00A503C7" w:rsidRDefault="00A503C7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B54C79" w:rsidRDefault="00A7716D" w:rsidP="00B36577">
      <w:pPr>
        <w:spacing w:after="72"/>
      </w:pPr>
      <w:r>
        <w:rPr>
          <w:rStyle w:val="BodyBold"/>
          <w:rFonts w:ascii="Times New Roman" w:hAnsi="Times New Roman"/>
          <w:sz w:val="24"/>
          <w:szCs w:val="24"/>
        </w:rPr>
        <w:t>R</w:t>
      </w:r>
      <w:r w:rsidR="00B54C79">
        <w:rPr>
          <w:rStyle w:val="BodyBold"/>
          <w:rFonts w:ascii="Times New Roman" w:hAnsi="Times New Roman"/>
          <w:sz w:val="24"/>
          <w:szCs w:val="24"/>
        </w:rPr>
        <w:t>eagents</w:t>
      </w:r>
    </w:p>
    <w:p w:rsidR="00285F86" w:rsidRDefault="00A503C7" w:rsidP="009F648F">
      <w:pPr>
        <w:pStyle w:val="txt"/>
        <w:ind w:left="0"/>
        <w:rPr>
          <w:noProof/>
        </w:rPr>
      </w:pPr>
      <w:r>
        <w:rPr>
          <w:noProof/>
        </w:rPr>
        <w:drawing>
          <wp:inline distT="0" distB="0" distL="0" distR="0" wp14:anchorId="4BE4EC68" wp14:editId="6D7270D7">
            <wp:extent cx="3952875" cy="1762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86" w:rsidRDefault="00285F86" w:rsidP="009F648F">
      <w:pPr>
        <w:pStyle w:val="txt"/>
        <w:ind w:left="0"/>
        <w:rPr>
          <w:noProof/>
        </w:rPr>
      </w:pPr>
      <w:r>
        <w:rPr>
          <w:noProof/>
        </w:rPr>
        <w:drawing>
          <wp:inline distT="0" distB="0" distL="0" distR="0" wp14:anchorId="7ACD44C1" wp14:editId="63FC5DB5">
            <wp:extent cx="3981450" cy="1466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8F" w:rsidRDefault="00285F86" w:rsidP="009F648F">
      <w:pPr>
        <w:pStyle w:val="txt"/>
        <w:ind w:left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547389" wp14:editId="1FAC5DA2">
            <wp:extent cx="3886200" cy="1457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AFA">
        <w:rPr>
          <w:noProof/>
        </w:rPr>
        <w:t xml:space="preserve"> </w:t>
      </w: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285F86" w:rsidRPr="00A503C7">
        <w:rPr>
          <w:rFonts w:eastAsia="HelenPro-Regular"/>
        </w:rPr>
        <w:t>6P22-01 ARCHITECT B∙R∙A∙H∙M∙S PCT Calibrators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285F86" w:rsidRPr="00A503C7">
        <w:rPr>
          <w:rFonts w:eastAsia="HelenPro-Regular"/>
        </w:rPr>
        <w:t>6P22-10 ARCHITECT B∙R∙A∙H∙M∙</w:t>
      </w:r>
      <w:r w:rsidR="00285F86">
        <w:rPr>
          <w:rFonts w:eastAsia="HelenPro-Regular"/>
        </w:rPr>
        <w:t xml:space="preserve">S PCT Controls or other control </w:t>
      </w:r>
      <w:r w:rsidR="00285F86" w:rsidRPr="00A503C7">
        <w:rPr>
          <w:rFonts w:eastAsia="HelenPro-Regular"/>
        </w:rPr>
        <w:t>material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D70A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>
        <w:t>Recalibration is required with each new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285F86" w:rsidRPr="00285F86" w:rsidRDefault="00285F8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Regular"/>
        </w:rPr>
        <w:t>Once an ARCHITECT B∙R∙A∙H∙M∙</w:t>
      </w:r>
      <w:r>
        <w:rPr>
          <w:rFonts w:eastAsia="HelenPro-Regular"/>
        </w:rPr>
        <w:t xml:space="preserve">S PCT calibration is accepted </w:t>
      </w:r>
      <w:r w:rsidRPr="00285F86">
        <w:rPr>
          <w:rFonts w:eastAsia="HelenPro-Regular"/>
        </w:rPr>
        <w:t>and stored, all subsequent samples may be tested without further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calibration unless:</w:t>
      </w:r>
    </w:p>
    <w:p w:rsidR="00CC3D62" w:rsidRPr="00285F86" w:rsidRDefault="00285F86" w:rsidP="00285F86">
      <w:pPr>
        <w:autoSpaceDE w:val="0"/>
        <w:autoSpaceDN w:val="0"/>
        <w:adjustRightInd w:val="0"/>
        <w:ind w:left="720"/>
        <w:rPr>
          <w:b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A reagent kit with a new lot number is used.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Daily quality control results are</w:t>
      </w:r>
      <w:r>
        <w:rPr>
          <w:rFonts w:eastAsia="HelenPro-Regular"/>
        </w:rPr>
        <w:t xml:space="preserve"> outside of statistically-based </w:t>
      </w:r>
      <w:r w:rsidRPr="00285F86">
        <w:rPr>
          <w:rFonts w:eastAsia="HelenPro-Regular"/>
        </w:rPr>
        <w:t>quality control limits, as described in the Quality Control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Procedure section of this package insert, used to monitor and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control system performance.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If statistically-based quality c</w:t>
      </w:r>
      <w:r>
        <w:rPr>
          <w:rFonts w:eastAsia="HelenPro-Regular"/>
        </w:rPr>
        <w:t xml:space="preserve">ontrol limits are not available </w:t>
      </w:r>
      <w:r w:rsidRPr="00285F86">
        <w:rPr>
          <w:rFonts w:eastAsia="HelenPro-Regular"/>
        </w:rPr>
        <w:t>then the calibration should not exceed a 30-day limit for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recalibration frequency.</w:t>
      </w:r>
    </w:p>
    <w:p w:rsidR="00CC3D62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Regular"/>
        </w:rPr>
        <w:t>The ARCHITECT B∙R∙A∙H∙M∙</w:t>
      </w:r>
      <w:r>
        <w:rPr>
          <w:rFonts w:eastAsia="HelenPro-Regular"/>
        </w:rPr>
        <w:t xml:space="preserve">S PCT assay may also need to </w:t>
      </w:r>
      <w:r w:rsidRPr="00285F86">
        <w:rPr>
          <w:rFonts w:eastAsia="HelenPro-Regular"/>
        </w:rPr>
        <w:t>be recalibrated after specified service procedures have been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performed or maintenance to critical part or subsystems that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might influence the performance of the assay.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285F86" w:rsidRPr="00A503C7">
        <w:rPr>
          <w:rFonts w:eastAsia="HelenPro-Regular"/>
        </w:rPr>
        <w:t>6P22-01 ARCHITECT B∙R∙A∙H∙M∙S PCT Calibrators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4F5F8A" w:rsidRPr="000E7BF4" w:rsidRDefault="0025031C" w:rsidP="00AD402C">
      <w:pPr>
        <w:ind w:firstLine="720"/>
        <w:rPr>
          <w:b/>
        </w:rPr>
      </w:pPr>
      <w:r w:rsidRPr="000E7BF4">
        <w:rPr>
          <w:b/>
        </w:rPr>
        <w:t>Calibration Procedure:</w:t>
      </w:r>
      <w:r w:rsidR="0006502B" w:rsidRPr="000E7BF4">
        <w:rPr>
          <w:b/>
        </w:rPr>
        <w:t xml:space="preserve"> 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Regular"/>
        </w:rPr>
        <w:t>Test Calibrators A-F in duplicate. The</w:t>
      </w:r>
      <w:r>
        <w:rPr>
          <w:rFonts w:eastAsia="HelenPro-Regular"/>
        </w:rPr>
        <w:t xml:space="preserve"> calibrators should be priority </w:t>
      </w:r>
      <w:r w:rsidRPr="00285F86">
        <w:rPr>
          <w:rFonts w:eastAsia="HelenPro-Regular"/>
        </w:rPr>
        <w:t>loaded.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Regular"/>
        </w:rPr>
        <w:t>A single sample of each control level must be tested to evaluate the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assay calibration. Ensure that assay control values are within the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ranges specified in the respective control package insert.</w:t>
      </w:r>
    </w:p>
    <w:p w:rsidR="004E04CB" w:rsidRDefault="00285F86" w:rsidP="00285F86">
      <w:pPr>
        <w:ind w:left="2160"/>
        <w:rPr>
          <w:b/>
          <w:bCs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 xml:space="preserve">Calibration Range: 0.00 - 100.00 </w:t>
      </w:r>
      <w:proofErr w:type="spellStart"/>
      <w:r w:rsidRPr="00285F86">
        <w:rPr>
          <w:rFonts w:eastAsia="HelenPro-Regular"/>
        </w:rPr>
        <w:t>ng</w:t>
      </w:r>
      <w:proofErr w:type="spellEnd"/>
      <w:r w:rsidRPr="00285F86">
        <w:rPr>
          <w:rFonts w:eastAsia="HelenPro-Regular"/>
        </w:rPr>
        <w:t xml:space="preserve">/mL (0.00 - 100.00 </w:t>
      </w:r>
      <w:proofErr w:type="spellStart"/>
      <w:r w:rsidRPr="00285F86">
        <w:rPr>
          <w:rFonts w:eastAsia="HelenPro-Regular"/>
        </w:rPr>
        <w:t>μg</w:t>
      </w:r>
      <w:proofErr w:type="spellEnd"/>
      <w:r w:rsidRPr="00285F86">
        <w:rPr>
          <w:rFonts w:eastAsia="HelenPro-Regular"/>
        </w:rPr>
        <w:t>/L).</w:t>
      </w:r>
    </w:p>
    <w:p w:rsidR="004E04CB" w:rsidRDefault="004E04CB" w:rsidP="0055619E">
      <w:pPr>
        <w:ind w:left="720"/>
        <w:rPr>
          <w:b/>
          <w:bCs/>
        </w:rPr>
      </w:pPr>
    </w:p>
    <w:p w:rsidR="00CC08BC" w:rsidRDefault="00CC08BC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7150E8" w:rsidRDefault="007150E8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lastRenderedPageBreak/>
        <w:t>Quality Control:</w:t>
      </w:r>
      <w:r w:rsidR="00D60AFA">
        <w:rPr>
          <w:b/>
          <w:sz w:val="28"/>
          <w:szCs w:val="28"/>
        </w:rPr>
        <w:t xml:space="preserve"> 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The recommended contro</w:t>
      </w:r>
      <w:r>
        <w:rPr>
          <w:rFonts w:eastAsia="HelenPro-Regular"/>
        </w:rPr>
        <w:t xml:space="preserve">l requirement for the ARCHITECT </w:t>
      </w:r>
      <w:r w:rsidRPr="00285F86">
        <w:rPr>
          <w:rFonts w:eastAsia="HelenPro-Regular"/>
        </w:rPr>
        <w:t>B∙R∙A∙H∙M∙S PCT assay is that a single sample of each control level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be tested: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Once every 24 hours each day of use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After performing calibration</w:t>
      </w:r>
    </w:p>
    <w:p w:rsid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After instrument service pro</w:t>
      </w:r>
      <w:r>
        <w:rPr>
          <w:rFonts w:eastAsia="HelenPro-Regular"/>
        </w:rPr>
        <w:t xml:space="preserve">cedures or maintenance that may </w:t>
      </w:r>
      <w:r w:rsidRPr="00285F86">
        <w:rPr>
          <w:rFonts w:eastAsia="HelenPro-Regular"/>
        </w:rPr>
        <w:t>affect assay performance have been performed.</w:t>
      </w:r>
      <w:r>
        <w:rPr>
          <w:rFonts w:eastAsia="HelenPro-Regular"/>
        </w:rPr>
        <w:t xml:space="preserve"> 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Regular"/>
        </w:rPr>
        <w:t>If the quality control procedures in your laboratory require more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frequent use of controls to verify test results, follow your laboratory specific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procedures.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Additional controls may be tested i</w:t>
      </w:r>
      <w:r>
        <w:rPr>
          <w:rFonts w:eastAsia="HelenPro-Regular"/>
        </w:rPr>
        <w:t xml:space="preserve">n accordance with local, state, and/or federal regulations or </w:t>
      </w:r>
      <w:r w:rsidRPr="00285F86">
        <w:rPr>
          <w:rFonts w:eastAsia="HelenPro-Regular"/>
        </w:rPr>
        <w:t>accreditation requirements and your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laboratory’s quality control policy.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Each laboratory should establis</w:t>
      </w:r>
      <w:r>
        <w:rPr>
          <w:rFonts w:eastAsia="HelenPro-Regular"/>
        </w:rPr>
        <w:t xml:space="preserve">h control ranges to monitor the </w:t>
      </w:r>
      <w:r w:rsidRPr="00285F86">
        <w:rPr>
          <w:rFonts w:eastAsia="HelenPro-Regular"/>
        </w:rPr>
        <w:t>acceptable performance of the assay. If a control is out of its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specified range, the associated sample results are invalid and the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samples must be retested. Recalibration may be indicated.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To establish statistically-based control</w:t>
      </w:r>
      <w:r>
        <w:rPr>
          <w:rFonts w:eastAsia="HelenPro-Regular"/>
        </w:rPr>
        <w:t xml:space="preserve"> limits, each laboratory should </w:t>
      </w:r>
      <w:r w:rsidRPr="00285F86">
        <w:rPr>
          <w:rFonts w:eastAsia="HelenPro-Regular"/>
        </w:rPr>
        <w:t>establish its own concentration target and ranges for new control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lots at each control level. This can be accomplished by assaying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a minimum of 20 replicates over several (3-5) days and using the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reported results to establish the expected average (target) and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variability about this average (ranges) for the laboratory. Sources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of variation that should be included in this study in order to be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representative of future system performance include: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Multiple stored calibrations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Multiple reagent lots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Multiple calibrator lots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Multiple processing modules</w:t>
      </w:r>
    </w:p>
    <w:p w:rsidR="00285F86" w:rsidRPr="00285F86" w:rsidRDefault="00285F86" w:rsidP="00285F8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Data points collected at different times of the day</w:t>
      </w:r>
    </w:p>
    <w:p w:rsidR="005E48EE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Bold"/>
          <w:b/>
          <w:bCs/>
        </w:rPr>
        <w:t xml:space="preserve">• </w:t>
      </w:r>
      <w:r w:rsidRPr="00285F86">
        <w:rPr>
          <w:rFonts w:eastAsia="HelenPro-Regular"/>
        </w:rPr>
        <w:t>These results should be applied to your laboratory’</w:t>
      </w:r>
      <w:r>
        <w:rPr>
          <w:rFonts w:eastAsia="HelenPro-Regular"/>
        </w:rPr>
        <w:t xml:space="preserve">s quality control </w:t>
      </w:r>
      <w:r w:rsidRPr="00285F86">
        <w:rPr>
          <w:rFonts w:eastAsia="HelenPro-Regular"/>
        </w:rPr>
        <w:t>practices. In addition, the laboratory must ensure that the matrix of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the control material is suitable for use in the assay per the assay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package insert.</w:t>
      </w:r>
    </w:p>
    <w:p w:rsidR="00285F86" w:rsidRDefault="00285F86" w:rsidP="00F66836">
      <w:pPr>
        <w:rPr>
          <w:b/>
          <w:sz w:val="28"/>
          <w:szCs w:val="28"/>
        </w:rPr>
      </w:pPr>
    </w:p>
    <w:p w:rsidR="002648A6" w:rsidRDefault="002648A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Instrument Procedure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Regular"/>
        </w:rPr>
        <w:t>The ARCHITECT B∙R∙A∙H∙M∙S PCT assay file must be installed on the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 xml:space="preserve">ARCHITECT </w:t>
      </w:r>
      <w:proofErr w:type="spellStart"/>
      <w:r w:rsidRPr="00285F86">
        <w:rPr>
          <w:rFonts w:eastAsia="HelenPro-Regular"/>
        </w:rPr>
        <w:t>iSystem</w:t>
      </w:r>
      <w:proofErr w:type="spellEnd"/>
      <w:r w:rsidRPr="00285F86">
        <w:rPr>
          <w:rFonts w:eastAsia="HelenPro-Regular"/>
        </w:rPr>
        <w:t xml:space="preserve"> from an ARCHITECT </w:t>
      </w:r>
      <w:proofErr w:type="spellStart"/>
      <w:r w:rsidRPr="00285F86">
        <w:rPr>
          <w:rFonts w:eastAsia="HelenPro-Regular"/>
        </w:rPr>
        <w:t>iSystem</w:t>
      </w:r>
      <w:proofErr w:type="spellEnd"/>
      <w:r w:rsidRPr="00285F86">
        <w:rPr>
          <w:rFonts w:eastAsia="HelenPro-Regular"/>
        </w:rPr>
        <w:t xml:space="preserve"> Assay CD-ROM prior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to performing the assay.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Regular"/>
        </w:rPr>
        <w:t>For detailed information on assay file installation and viewing and editing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assay parameters, refer to the ARCHITECT System Operations Manual,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Section 2.</w:t>
      </w:r>
    </w:p>
    <w:p w:rsidR="00285F8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Regular"/>
        </w:rPr>
        <w:t>For information on printing assay parameters, refer to the ARCHITECT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System Operations Manual, Section 5.</w:t>
      </w:r>
    </w:p>
    <w:p w:rsidR="002648A6" w:rsidRPr="00285F86" w:rsidRDefault="00285F86" w:rsidP="00285F86">
      <w:pPr>
        <w:autoSpaceDE w:val="0"/>
        <w:autoSpaceDN w:val="0"/>
        <w:adjustRightInd w:val="0"/>
        <w:rPr>
          <w:rFonts w:eastAsia="HelenPro-Regular"/>
        </w:rPr>
      </w:pPr>
      <w:r w:rsidRPr="00285F86">
        <w:rPr>
          <w:rFonts w:eastAsia="HelenPro-Regular"/>
        </w:rPr>
        <w:t>For a detailed description of system procedures, refer to the ARCHITECT</w:t>
      </w:r>
      <w:r>
        <w:rPr>
          <w:rFonts w:eastAsia="HelenPro-Regular"/>
        </w:rPr>
        <w:t xml:space="preserve"> </w:t>
      </w:r>
      <w:r w:rsidRPr="00285F86">
        <w:rPr>
          <w:rFonts w:eastAsia="HelenPro-Regular"/>
        </w:rPr>
        <w:t>System Operations Manual.</w:t>
      </w:r>
    </w:p>
    <w:p w:rsidR="00260434" w:rsidRDefault="00260434" w:rsidP="00F66836">
      <w:pPr>
        <w:rPr>
          <w:b/>
          <w:sz w:val="28"/>
          <w:szCs w:val="28"/>
        </w:rPr>
      </w:pPr>
    </w:p>
    <w:p w:rsidR="00F66836" w:rsidRPr="00E50643" w:rsidRDefault="002648A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Assay </w:t>
      </w:r>
      <w:r w:rsidR="00F66836"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173EA4" w:rsidRDefault="00173EA4" w:rsidP="002C7FD5">
      <w:pPr>
        <w:rPr>
          <w:b/>
        </w:rPr>
      </w:pPr>
    </w:p>
    <w:p w:rsidR="0049724B" w:rsidRDefault="00285F86" w:rsidP="002C7F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3BCEB6D" wp14:editId="46BCBB9F">
            <wp:extent cx="4038600" cy="3514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86" w:rsidRDefault="00285F86" w:rsidP="002C7FD5">
      <w:pPr>
        <w:rPr>
          <w:b/>
        </w:rPr>
      </w:pPr>
      <w:r>
        <w:rPr>
          <w:noProof/>
        </w:rPr>
        <w:drawing>
          <wp:inline distT="0" distB="0" distL="0" distR="0" wp14:anchorId="458B3B6B" wp14:editId="2893DEF9">
            <wp:extent cx="4038600" cy="3695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86" w:rsidRDefault="00285F86" w:rsidP="002C7F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6CE0549" wp14:editId="671D1CC9">
            <wp:extent cx="4000500" cy="2562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86" w:rsidRDefault="00285F86" w:rsidP="002C7FD5">
      <w:pPr>
        <w:rPr>
          <w:b/>
        </w:rPr>
      </w:pPr>
      <w:r>
        <w:rPr>
          <w:noProof/>
        </w:rPr>
        <w:drawing>
          <wp:inline distT="0" distB="0" distL="0" distR="0" wp14:anchorId="3A9C525A" wp14:editId="5D82914D">
            <wp:extent cx="3905250" cy="1724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520" w:rsidRDefault="00F92520" w:rsidP="00971014">
      <w:pPr>
        <w:rPr>
          <w:rFonts w:eastAsia="HelenPro-Regular"/>
        </w:rPr>
      </w:pPr>
    </w:p>
    <w:p w:rsidR="000A090B" w:rsidRPr="007E4CE6" w:rsidRDefault="002648A6" w:rsidP="000A09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132081" w:rsidRPr="007E4CE6">
        <w:rPr>
          <w:b/>
          <w:sz w:val="28"/>
          <w:szCs w:val="28"/>
        </w:rPr>
        <w:t>esults</w:t>
      </w:r>
      <w:r w:rsidR="000A090B" w:rsidRPr="007E4CE6">
        <w:rPr>
          <w:sz w:val="28"/>
          <w:szCs w:val="28"/>
        </w:rPr>
        <w:t xml:space="preserve"> </w:t>
      </w:r>
    </w:p>
    <w:p w:rsidR="002648A6" w:rsidRDefault="00285F86" w:rsidP="00C3571A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35B8A32B" wp14:editId="526953CA">
            <wp:extent cx="40100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6" w:rsidRDefault="007F5666" w:rsidP="00C3571A">
      <w:pPr>
        <w:autoSpaceDE w:val="0"/>
        <w:autoSpaceDN w:val="0"/>
        <w:adjustRightInd w:val="0"/>
        <w:rPr>
          <w:rFonts w:eastAsia="HelenPro-Regular"/>
        </w:rPr>
      </w:pP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Bold"/>
          <w:b/>
          <w:bCs/>
        </w:rPr>
        <w:t>Interpretation of Results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Regular"/>
        </w:rPr>
        <w:t xml:space="preserve">1. </w:t>
      </w:r>
      <w:r w:rsidRPr="007F5666">
        <w:rPr>
          <w:rFonts w:eastAsia="HelenPro-Bold"/>
          <w:b/>
          <w:bCs/>
        </w:rPr>
        <w:t>Risk assessment for progress</w:t>
      </w:r>
      <w:r>
        <w:rPr>
          <w:rFonts w:eastAsia="HelenPro-Bold"/>
          <w:b/>
          <w:bCs/>
        </w:rPr>
        <w:t xml:space="preserve">ion to severe sepsis and septic </w:t>
      </w:r>
      <w:r w:rsidRPr="007F5666">
        <w:rPr>
          <w:rFonts w:eastAsia="HelenPro-Bold"/>
          <w:b/>
          <w:bCs/>
        </w:rPr>
        <w:t>shock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The ARCHITECT B∙R∙A∙H∙M∙S PCT assay is intended to aid in the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risk assessment of critically ill patients on their first day of ICU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admission for progression to severe sepsis and septic shock.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Systemic inflammatory response syndrome (SIRS), sepsis, severe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sepsis, and septic shock were categorized according to the criteria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of the consensus conference of the American College of Chest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Physicians / Society of Critical Care Medicine.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PCT should always be interpreted</w:t>
      </w:r>
      <w:r>
        <w:rPr>
          <w:rFonts w:eastAsia="HelenPro-Regular"/>
        </w:rPr>
        <w:t xml:space="preserve"> in the clinical context of the </w:t>
      </w:r>
      <w:r w:rsidRPr="007F5666">
        <w:rPr>
          <w:rFonts w:eastAsia="HelenPro-Regular"/>
        </w:rPr>
        <w:t>patient. Therefore, clinicians should use the PCT results in</w:t>
      </w:r>
      <w:r>
        <w:rPr>
          <w:rFonts w:eastAsia="HelenPro-Regular"/>
        </w:rPr>
        <w:t xml:space="preserve"> </w:t>
      </w:r>
      <w:r w:rsidRPr="007F5666">
        <w:rPr>
          <w:rFonts w:eastAsia="HelenPro-Regular"/>
        </w:rPr>
        <w:t>conjunction with other laboratory findings and clinical signs of the</w:t>
      </w:r>
    </w:p>
    <w:p w:rsidR="003E317C" w:rsidRDefault="003E317C" w:rsidP="007F5666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 xml:space="preserve">patient. 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Data support the following interpretative risk assessment criteria: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Bold"/>
          <w:b/>
          <w:bCs/>
        </w:rPr>
        <w:t xml:space="preserve">• PCT &gt; 2.0 </w:t>
      </w:r>
      <w:proofErr w:type="spellStart"/>
      <w:r w:rsidRPr="007F5666">
        <w:rPr>
          <w:rFonts w:eastAsia="HelenPro-Bold"/>
          <w:b/>
          <w:bCs/>
        </w:rPr>
        <w:t>ng</w:t>
      </w:r>
      <w:proofErr w:type="spellEnd"/>
      <w:r w:rsidRPr="007F5666">
        <w:rPr>
          <w:rFonts w:eastAsia="HelenPro-Bold"/>
          <w:b/>
          <w:bCs/>
        </w:rPr>
        <w:t xml:space="preserve">/mL: </w:t>
      </w:r>
      <w:r w:rsidRPr="007F5666">
        <w:rPr>
          <w:rFonts w:eastAsia="HelenPro-Regular"/>
        </w:rPr>
        <w:t>A PCT level a</w:t>
      </w:r>
      <w:r w:rsidR="003E317C">
        <w:rPr>
          <w:rFonts w:eastAsia="HelenPro-Regular"/>
        </w:rPr>
        <w:t xml:space="preserve">bove 2.0 </w:t>
      </w:r>
      <w:proofErr w:type="spellStart"/>
      <w:r w:rsidR="003E317C">
        <w:rPr>
          <w:rFonts w:eastAsia="HelenPro-Regular"/>
        </w:rPr>
        <w:t>ng</w:t>
      </w:r>
      <w:proofErr w:type="spellEnd"/>
      <w:r w:rsidR="003E317C">
        <w:rPr>
          <w:rFonts w:eastAsia="HelenPro-Regular"/>
        </w:rPr>
        <w:t xml:space="preserve">/mL on the first day </w:t>
      </w:r>
      <w:r w:rsidRPr="007F5666">
        <w:rPr>
          <w:rFonts w:eastAsia="HelenPro-Regular"/>
        </w:rPr>
        <w:t>of ICU admission is associated with a high risk for progression to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severe sepsis and/or septic shock.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Bold"/>
          <w:b/>
          <w:bCs/>
        </w:rPr>
        <w:t xml:space="preserve">• PCT &lt; 0.5 </w:t>
      </w:r>
      <w:proofErr w:type="spellStart"/>
      <w:r w:rsidRPr="007F5666">
        <w:rPr>
          <w:rFonts w:eastAsia="HelenPro-Bold"/>
          <w:b/>
          <w:bCs/>
        </w:rPr>
        <w:t>ng</w:t>
      </w:r>
      <w:proofErr w:type="spellEnd"/>
      <w:r w:rsidRPr="007F5666">
        <w:rPr>
          <w:rFonts w:eastAsia="HelenPro-Bold"/>
          <w:b/>
          <w:bCs/>
        </w:rPr>
        <w:t xml:space="preserve">/mL: </w:t>
      </w:r>
      <w:r w:rsidRPr="007F5666">
        <w:rPr>
          <w:rFonts w:eastAsia="HelenPro-Regular"/>
        </w:rPr>
        <w:t>A PCT level b</w:t>
      </w:r>
      <w:r w:rsidR="003E317C">
        <w:rPr>
          <w:rFonts w:eastAsia="HelenPro-Regular"/>
        </w:rPr>
        <w:t xml:space="preserve">elow 0.5 </w:t>
      </w:r>
      <w:proofErr w:type="spellStart"/>
      <w:r w:rsidR="003E317C">
        <w:rPr>
          <w:rFonts w:eastAsia="HelenPro-Regular"/>
        </w:rPr>
        <w:t>ng</w:t>
      </w:r>
      <w:proofErr w:type="spellEnd"/>
      <w:r w:rsidR="003E317C">
        <w:rPr>
          <w:rFonts w:eastAsia="HelenPro-Regular"/>
        </w:rPr>
        <w:t xml:space="preserve">/mL on the first day </w:t>
      </w:r>
      <w:r w:rsidRPr="007F5666">
        <w:rPr>
          <w:rFonts w:eastAsia="HelenPro-Regular"/>
        </w:rPr>
        <w:t>of ICU admission is associated with a low risk for progression to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severe sepsis and/or septic shock.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lastRenderedPageBreak/>
        <w:t xml:space="preserve">Note: PCT levels below 0.5 </w:t>
      </w:r>
      <w:proofErr w:type="spellStart"/>
      <w:r w:rsidRPr="007F5666">
        <w:rPr>
          <w:rFonts w:eastAsia="HelenPro-Regular"/>
        </w:rPr>
        <w:t>ng</w:t>
      </w:r>
      <w:proofErr w:type="spellEnd"/>
      <w:r w:rsidRPr="007F5666">
        <w:rPr>
          <w:rFonts w:eastAsia="HelenPro-Regular"/>
        </w:rPr>
        <w:t>/mL d</w:t>
      </w:r>
      <w:r w:rsidR="003E317C">
        <w:rPr>
          <w:rFonts w:eastAsia="HelenPro-Regular"/>
        </w:rPr>
        <w:t xml:space="preserve">o not exclude an infection, </w:t>
      </w:r>
      <w:r w:rsidRPr="007F5666">
        <w:rPr>
          <w:rFonts w:eastAsia="HelenPro-Regular"/>
        </w:rPr>
        <w:t>because localized infections (without systemic signs) may also be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associated with such low levels. If the PCT measurement is done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very early after the systemic infection process has started (usually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&lt; 6 hours), these values may still be low.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Various non-infectious conditions</w:t>
      </w:r>
      <w:r w:rsidR="003E317C">
        <w:rPr>
          <w:rFonts w:eastAsia="HelenPro-Regular"/>
        </w:rPr>
        <w:t xml:space="preserve"> are known to induce changes in </w:t>
      </w:r>
      <w:r w:rsidRPr="007F5666">
        <w:rPr>
          <w:rFonts w:eastAsia="HelenPro-Regular"/>
        </w:rPr>
        <w:t xml:space="preserve">PCT level. PCT levels between 0.5 </w:t>
      </w:r>
      <w:proofErr w:type="spellStart"/>
      <w:r w:rsidRPr="007F5666">
        <w:rPr>
          <w:rFonts w:eastAsia="HelenPro-Regular"/>
        </w:rPr>
        <w:t>ng</w:t>
      </w:r>
      <w:proofErr w:type="spellEnd"/>
      <w:r w:rsidRPr="007F5666">
        <w:rPr>
          <w:rFonts w:eastAsia="HelenPro-Regular"/>
        </w:rPr>
        <w:t xml:space="preserve">/mL and 2.0 </w:t>
      </w:r>
      <w:proofErr w:type="spellStart"/>
      <w:r w:rsidRPr="007F5666">
        <w:rPr>
          <w:rFonts w:eastAsia="HelenPro-Regular"/>
        </w:rPr>
        <w:t>ng</w:t>
      </w:r>
      <w:proofErr w:type="spellEnd"/>
      <w:r w:rsidRPr="007F5666">
        <w:rPr>
          <w:rFonts w:eastAsia="HelenPro-Regular"/>
        </w:rPr>
        <w:t>/mL should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be interpreted in the context of the specific clinical background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and condition(s) of the individual patient. It is recommended to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 xml:space="preserve">retest PCT within 6–24 hours if any concentrations &lt; 2.0 </w:t>
      </w:r>
      <w:proofErr w:type="spellStart"/>
      <w:r w:rsidRPr="007F5666">
        <w:rPr>
          <w:rFonts w:eastAsia="HelenPro-Regular"/>
        </w:rPr>
        <w:t>ng</w:t>
      </w:r>
      <w:proofErr w:type="spellEnd"/>
      <w:r w:rsidRPr="007F5666">
        <w:rPr>
          <w:rFonts w:eastAsia="HelenPro-Regular"/>
        </w:rPr>
        <w:t>/mL are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obtained.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Regular"/>
        </w:rPr>
        <w:t xml:space="preserve">2. </w:t>
      </w:r>
      <w:r w:rsidRPr="007F5666">
        <w:rPr>
          <w:rFonts w:eastAsia="HelenPro-Bold"/>
          <w:b/>
          <w:bCs/>
        </w:rPr>
        <w:t>Percent change in PCT level over t</w:t>
      </w:r>
      <w:r w:rsidR="003E317C">
        <w:rPr>
          <w:rFonts w:eastAsia="HelenPro-Bold"/>
          <w:b/>
          <w:bCs/>
        </w:rPr>
        <w:t xml:space="preserve">ime to aid in the prediction of </w:t>
      </w:r>
      <w:r w:rsidRPr="007F5666">
        <w:rPr>
          <w:rFonts w:eastAsia="HelenPro-Bold"/>
          <w:b/>
          <w:bCs/>
        </w:rPr>
        <w:t>cumulative 28-day mortality in patients with severe sepsis and</w:t>
      </w:r>
      <w:r w:rsidR="003E317C">
        <w:rPr>
          <w:rFonts w:eastAsia="HelenPro-Bold"/>
          <w:b/>
          <w:bCs/>
        </w:rPr>
        <w:t xml:space="preserve"> </w:t>
      </w:r>
      <w:r w:rsidRPr="007F5666">
        <w:rPr>
          <w:rFonts w:eastAsia="HelenPro-Bold"/>
          <w:b/>
          <w:bCs/>
        </w:rPr>
        <w:t>septic shock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 xml:space="preserve">In addition to the interpretative </w:t>
      </w:r>
      <w:r w:rsidR="003E317C">
        <w:rPr>
          <w:rFonts w:eastAsia="HelenPro-Regular"/>
        </w:rPr>
        <w:t xml:space="preserve">risk assessment criteria above, </w:t>
      </w:r>
      <w:r w:rsidRPr="007F5666">
        <w:rPr>
          <w:rFonts w:eastAsia="HelenPro-Regular"/>
        </w:rPr>
        <w:t>the change in PCT concentration over time provides prognostic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information about the risk of mortality within 28 days for patients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diagnosed with severe sepsis or septic shock coming from the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Emergency Department, ICU, other medical wards, or directly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from outside the hospital. Mortality rates found in an observational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prospective study of 858 patients diagnosed with severe sepsis or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septic shock showing an overall mortality of 22%.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Bold"/>
          <w:b/>
          <w:bCs/>
        </w:rPr>
        <w:t xml:space="preserve">• </w:t>
      </w:r>
      <w:r w:rsidRPr="007F5666">
        <w:rPr>
          <w:rFonts w:eastAsia="HelenPro-Regular"/>
        </w:rPr>
        <w:t xml:space="preserve">A PCT level that declines ≤ 80% </w:t>
      </w:r>
      <w:r w:rsidR="003E317C">
        <w:rPr>
          <w:rFonts w:eastAsia="HelenPro-Regular"/>
        </w:rPr>
        <w:t xml:space="preserve">from the day that severe sepsis </w:t>
      </w:r>
      <w:r w:rsidRPr="007F5666">
        <w:rPr>
          <w:rFonts w:eastAsia="HelenPro-Regular"/>
        </w:rPr>
        <w:t>or septic shock was clinically diagnosed (Day 0) to 4 days after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clinical diagnosis (Day 4) is associated with higher cumulative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Regular"/>
        </w:rPr>
        <w:t>28-day risk of all-cause mortality than a decline &gt; 80%.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Bold"/>
          <w:b/>
          <w:bCs/>
        </w:rPr>
        <w:t xml:space="preserve">• </w:t>
      </w:r>
      <w:r w:rsidRPr="007F5666">
        <w:rPr>
          <w:rFonts w:eastAsia="HelenPro-Regular"/>
        </w:rPr>
        <w:t>The combination of the first PCT level (≤</w:t>
      </w:r>
      <w:r w:rsidR="003E317C">
        <w:rPr>
          <w:rFonts w:eastAsia="HelenPro-Regular"/>
        </w:rPr>
        <w:t xml:space="preserve"> 2.0 </w:t>
      </w:r>
      <w:proofErr w:type="spellStart"/>
      <w:r w:rsidR="003E317C">
        <w:rPr>
          <w:rFonts w:eastAsia="HelenPro-Regular"/>
        </w:rPr>
        <w:t>ng</w:t>
      </w:r>
      <w:proofErr w:type="spellEnd"/>
      <w:r w:rsidR="003E317C">
        <w:rPr>
          <w:rFonts w:eastAsia="HelenPro-Regular"/>
        </w:rPr>
        <w:t xml:space="preserve">/mL or </w:t>
      </w:r>
      <w:r w:rsidRPr="007F5666">
        <w:rPr>
          <w:rFonts w:eastAsia="HelenPro-Regular"/>
        </w:rPr>
        <w:t xml:space="preserve">&gt; 2.0 </w:t>
      </w:r>
      <w:proofErr w:type="spellStart"/>
      <w:r w:rsidRPr="007F5666">
        <w:rPr>
          <w:rFonts w:eastAsia="HelenPro-Regular"/>
        </w:rPr>
        <w:t>ng</w:t>
      </w:r>
      <w:proofErr w:type="spellEnd"/>
      <w:r w:rsidRPr="007F5666">
        <w:rPr>
          <w:rFonts w:eastAsia="HelenPro-Regular"/>
        </w:rPr>
        <w:t>/mL) at initial diagnosis of severe sepsis or septic shock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with the patient’s clinical course and the change in PCT level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Regular"/>
        </w:rPr>
        <w:t>over time until Day 4 provides important additional information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about the mortality risk.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Bold"/>
          <w:b/>
          <w:bCs/>
        </w:rPr>
        <w:t xml:space="preserve">• </w:t>
      </w:r>
      <w:r w:rsidRPr="007F5666">
        <w:rPr>
          <w:rFonts w:eastAsia="HelenPro-Regular"/>
        </w:rPr>
        <w:t>The PCT level on Day 1 (the da</w:t>
      </w:r>
      <w:r w:rsidR="003E317C">
        <w:rPr>
          <w:rFonts w:eastAsia="HelenPro-Regular"/>
        </w:rPr>
        <w:t xml:space="preserve">y after severe sepsis or septic </w:t>
      </w:r>
      <w:r w:rsidRPr="007F5666">
        <w:rPr>
          <w:rFonts w:eastAsia="HelenPro-Regular"/>
        </w:rPr>
        <w:t>shock is first clinically diagnosed) can be used to calculate the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percent change in PCT level at Day 4 if the Day 0 measurement</w:t>
      </w:r>
    </w:p>
    <w:p w:rsidR="007F5666" w:rsidRPr="007F5666" w:rsidRDefault="007F5666" w:rsidP="00CC08B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F5666">
        <w:rPr>
          <w:rFonts w:eastAsia="HelenPro-Regular"/>
        </w:rPr>
        <w:t>is unavailable.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Data support the use of PCT det</w:t>
      </w:r>
      <w:r w:rsidR="003E317C">
        <w:rPr>
          <w:rFonts w:eastAsia="HelenPro-Regular"/>
        </w:rPr>
        <w:t xml:space="preserve">erminations from the day severe </w:t>
      </w:r>
      <w:r w:rsidRPr="007F5666">
        <w:rPr>
          <w:rFonts w:eastAsia="HelenPro-Regular"/>
        </w:rPr>
        <w:t>sepsis or septic shock is first diagnosed (Day 0) or day thereafter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(Day 1) and the fourth day after diagnosis (Day 4) for the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classification of patients into higher and lower risk for mortality within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28 days according to the workflow below: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noProof/>
        </w:rPr>
        <w:lastRenderedPageBreak/>
        <w:drawing>
          <wp:inline distT="0" distB="0" distL="0" distR="0" wp14:anchorId="0A79E004" wp14:editId="46F76485">
            <wp:extent cx="3857625" cy="44958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7C" w:rsidRDefault="003E317C" w:rsidP="007F5666">
      <w:pPr>
        <w:autoSpaceDE w:val="0"/>
        <w:autoSpaceDN w:val="0"/>
        <w:adjustRightInd w:val="0"/>
        <w:rPr>
          <w:rFonts w:eastAsia="HelenPro-Regular"/>
        </w:rPr>
      </w:pP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Regular"/>
        </w:rPr>
        <w:t xml:space="preserve">3. </w:t>
      </w:r>
      <w:r w:rsidRPr="007F5666">
        <w:rPr>
          <w:rFonts w:eastAsia="HelenPro-Bold"/>
          <w:b/>
          <w:bCs/>
        </w:rPr>
        <w:t>Decision making on antibiotic therapy for patients with suspected</w:t>
      </w:r>
      <w:r w:rsidR="003E317C">
        <w:rPr>
          <w:rFonts w:eastAsia="HelenPro-Bold"/>
          <w:b/>
          <w:bCs/>
        </w:rPr>
        <w:t xml:space="preserve"> </w:t>
      </w:r>
      <w:r w:rsidRPr="007F5666">
        <w:rPr>
          <w:rFonts w:eastAsia="HelenPro-Bold"/>
          <w:b/>
          <w:bCs/>
        </w:rPr>
        <w:t>or confirmed LRTI</w:t>
      </w:r>
      <w:r w:rsidR="003E317C">
        <w:rPr>
          <w:rFonts w:eastAsia="HelenPro-Bold"/>
          <w:b/>
          <w:bCs/>
        </w:rPr>
        <w:t xml:space="preserve"> </w:t>
      </w:r>
      <w:r w:rsidRPr="007F5666">
        <w:rPr>
          <w:rFonts w:eastAsia="HelenPro-Bold"/>
          <w:b/>
          <w:bCs/>
        </w:rPr>
        <w:t>Initiation: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noProof/>
        </w:rPr>
        <w:lastRenderedPageBreak/>
        <w:drawing>
          <wp:inline distT="0" distB="0" distL="0" distR="0" wp14:anchorId="23CC670C" wp14:editId="56CB935D">
            <wp:extent cx="4048125" cy="4381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Antibiotic therapy may be cont</w:t>
      </w:r>
      <w:r w:rsidR="003E317C">
        <w:rPr>
          <w:rFonts w:eastAsia="HelenPro-Regular"/>
        </w:rPr>
        <w:t xml:space="preserve">inued based upon other clinical </w:t>
      </w:r>
      <w:r w:rsidRPr="007F5666">
        <w:rPr>
          <w:rFonts w:eastAsia="HelenPro-Regular"/>
        </w:rPr>
        <w:t>findings, such as apparent progression on chest x-ray or ongoing/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increasing toxicity.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Bold"/>
          <w:b/>
          <w:bCs/>
        </w:rPr>
        <w:t>If clinical picture has not improved and PCT remains high,</w:t>
      </w:r>
      <w:r w:rsidR="003E317C">
        <w:rPr>
          <w:rFonts w:eastAsia="HelenPro-Bold"/>
          <w:b/>
          <w:bCs/>
        </w:rPr>
        <w:t xml:space="preserve"> </w:t>
      </w:r>
      <w:r w:rsidRPr="007F5666">
        <w:rPr>
          <w:rFonts w:eastAsia="HelenPro-Bold"/>
          <w:b/>
          <w:bCs/>
        </w:rPr>
        <w:t>reevaluate and consider treatment failure or other causes.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F5666">
        <w:rPr>
          <w:rFonts w:eastAsia="HelenPro-Regular"/>
        </w:rPr>
        <w:t xml:space="preserve">4. </w:t>
      </w:r>
      <w:r w:rsidRPr="007F5666">
        <w:rPr>
          <w:rFonts w:eastAsia="HelenPro-Bold"/>
          <w:b/>
          <w:bCs/>
        </w:rPr>
        <w:t>Decision making on antibiotic discontinuation for suspected or</w:t>
      </w:r>
      <w:r w:rsidR="003E317C">
        <w:rPr>
          <w:rFonts w:eastAsia="HelenPro-Bold"/>
          <w:b/>
          <w:bCs/>
        </w:rPr>
        <w:t xml:space="preserve"> </w:t>
      </w:r>
      <w:r w:rsidRPr="007F5666">
        <w:rPr>
          <w:rFonts w:eastAsia="HelenPro-Bold"/>
          <w:b/>
          <w:bCs/>
        </w:rPr>
        <w:t>confirmed septic patients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rFonts w:eastAsia="HelenPro-Regular"/>
        </w:rPr>
        <w:t>In order to assess treatment succe</w:t>
      </w:r>
      <w:r w:rsidR="003E317C">
        <w:rPr>
          <w:rFonts w:eastAsia="HelenPro-Regular"/>
        </w:rPr>
        <w:t xml:space="preserve">ss and to support a decision to </w:t>
      </w:r>
      <w:r w:rsidRPr="007F5666">
        <w:rPr>
          <w:rFonts w:eastAsia="HelenPro-Regular"/>
        </w:rPr>
        <w:t>discontinue antibiotic therapy, follow-up samples should be tested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once every 1–2 days, based upon physician discretion taking into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account the patients’ evolution and progress. Antibiotic therapy may</w:t>
      </w:r>
      <w:r w:rsidR="003E317C">
        <w:rPr>
          <w:rFonts w:eastAsia="HelenPro-Regular"/>
        </w:rPr>
        <w:t xml:space="preserve"> </w:t>
      </w:r>
      <w:r w:rsidRPr="007F5666">
        <w:rPr>
          <w:rFonts w:eastAsia="HelenPro-Regular"/>
        </w:rPr>
        <w:t>be adjusted using the discontinuation table below:</w:t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noProof/>
        </w:rPr>
        <w:lastRenderedPageBreak/>
        <w:drawing>
          <wp:inline distT="0" distB="0" distL="0" distR="0" wp14:anchorId="41BEAFEF" wp14:editId="53CCD53F">
            <wp:extent cx="3781425" cy="23622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6" w:rsidRPr="007F5666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7F5666">
        <w:rPr>
          <w:noProof/>
        </w:rPr>
        <w:drawing>
          <wp:inline distT="0" distB="0" distL="0" distR="0" wp14:anchorId="42AA01C6" wp14:editId="6092C842">
            <wp:extent cx="3867150" cy="1485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A6" w:rsidRPr="002648A6" w:rsidRDefault="002648A6" w:rsidP="00C3571A">
      <w:pPr>
        <w:autoSpaceDE w:val="0"/>
        <w:autoSpaceDN w:val="0"/>
        <w:adjustRightInd w:val="0"/>
        <w:rPr>
          <w:rFonts w:eastAsia="HelenPro-Regular"/>
          <w:b/>
          <w:sz w:val="28"/>
          <w:szCs w:val="28"/>
        </w:rPr>
      </w:pPr>
      <w:r w:rsidRPr="002648A6">
        <w:rPr>
          <w:rFonts w:eastAsia="HelenPro-Regular"/>
          <w:b/>
          <w:sz w:val="28"/>
          <w:szCs w:val="28"/>
        </w:rPr>
        <w:t>Flags</w:t>
      </w:r>
    </w:p>
    <w:p w:rsidR="002648A6" w:rsidRPr="00C3571A" w:rsidRDefault="002648A6" w:rsidP="002648A6">
      <w:pPr>
        <w:autoSpaceDE w:val="0"/>
        <w:autoSpaceDN w:val="0"/>
        <w:adjustRightInd w:val="0"/>
        <w:rPr>
          <w:rFonts w:eastAsia="HelenPro-Regular"/>
        </w:rPr>
      </w:pPr>
      <w:r w:rsidRPr="002648A6">
        <w:rPr>
          <w:rFonts w:eastAsia="HelenPro-Regular"/>
        </w:rPr>
        <w:t>Some results may contain information in the</w:t>
      </w:r>
      <w:r>
        <w:rPr>
          <w:rFonts w:eastAsia="HelenPro-Regular"/>
        </w:rPr>
        <w:t xml:space="preserve"> Flags field. For a description </w:t>
      </w:r>
      <w:r w:rsidRPr="002648A6">
        <w:rPr>
          <w:rFonts w:eastAsia="HelenPro-Regular"/>
        </w:rPr>
        <w:t>of the flags that may appear in this field, refer to the ARCHITECT System</w:t>
      </w:r>
      <w:r>
        <w:rPr>
          <w:rFonts w:eastAsia="HelenPro-Regular"/>
        </w:rPr>
        <w:t xml:space="preserve"> </w:t>
      </w:r>
      <w:r w:rsidRPr="002648A6">
        <w:rPr>
          <w:rFonts w:eastAsia="HelenPro-Regular"/>
        </w:rPr>
        <w:t>Operations Manual, Section 5.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464B1C" w:rsidRDefault="00912FE4" w:rsidP="00AB793D">
      <w:pPr>
        <w:rPr>
          <w:b/>
          <w:bCs/>
          <w:sz w:val="28"/>
          <w:szCs w:val="28"/>
        </w:rPr>
      </w:pPr>
      <w:r w:rsidRPr="00464B1C">
        <w:rPr>
          <w:b/>
          <w:bCs/>
          <w:sz w:val="28"/>
          <w:szCs w:val="28"/>
        </w:rPr>
        <w:t>Specific Performance Characteristics</w:t>
      </w:r>
      <w:r w:rsidR="00D60AFA" w:rsidRPr="00464B1C">
        <w:rPr>
          <w:b/>
          <w:bCs/>
          <w:sz w:val="28"/>
          <w:szCs w:val="28"/>
        </w:rPr>
        <w:t xml:space="preserve"> </w:t>
      </w:r>
    </w:p>
    <w:p w:rsidR="00CE2DC7" w:rsidRPr="00464B1C" w:rsidRDefault="002648A6" w:rsidP="00AB793D">
      <w:pPr>
        <w:rPr>
          <w:b/>
          <w:bCs/>
        </w:rPr>
      </w:pPr>
      <w:r w:rsidRPr="00464B1C">
        <w:rPr>
          <w:b/>
          <w:bCs/>
        </w:rPr>
        <w:t>Expected Values</w:t>
      </w:r>
      <w:r w:rsidR="00D60AFA" w:rsidRPr="00464B1C">
        <w:rPr>
          <w:b/>
          <w:bCs/>
        </w:rPr>
        <w:t xml:space="preserve"> </w:t>
      </w:r>
    </w:p>
    <w:p w:rsidR="0055619E" w:rsidRPr="00464B1C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464B1C">
        <w:rPr>
          <w:rFonts w:eastAsia="HelenPro-Regular"/>
        </w:rPr>
        <w:t>It is recommended that each laboratory determine its own reference range based upon its particular locale and population characteristics.</w:t>
      </w:r>
    </w:p>
    <w:p w:rsidR="00317056" w:rsidRPr="00464B1C" w:rsidRDefault="00317056" w:rsidP="00AB793D">
      <w:pPr>
        <w:rPr>
          <w:b/>
          <w:bCs/>
        </w:rPr>
      </w:pPr>
    </w:p>
    <w:p w:rsidR="0055619E" w:rsidRPr="00464B1C" w:rsidRDefault="00464B1C" w:rsidP="00AB793D">
      <w:pPr>
        <w:rPr>
          <w:bCs/>
        </w:rPr>
      </w:pPr>
      <w:r>
        <w:rPr>
          <w:b/>
          <w:bCs/>
        </w:rPr>
        <w:t xml:space="preserve">Serum/Plasma: </w:t>
      </w:r>
      <w:r>
        <w:rPr>
          <w:bCs/>
        </w:rPr>
        <w:t xml:space="preserve">&lt; 0.10 </w:t>
      </w:r>
      <w:proofErr w:type="spellStart"/>
      <w:r>
        <w:rPr>
          <w:bCs/>
        </w:rPr>
        <w:t>ng</w:t>
      </w:r>
      <w:proofErr w:type="spellEnd"/>
      <w:r>
        <w:rPr>
          <w:bCs/>
        </w:rPr>
        <w:t>/mL</w:t>
      </w:r>
    </w:p>
    <w:p w:rsidR="00D64E39" w:rsidRPr="00464B1C" w:rsidRDefault="00D64E39" w:rsidP="00AB793D">
      <w:pPr>
        <w:rPr>
          <w:bCs/>
        </w:rPr>
      </w:pPr>
    </w:p>
    <w:p w:rsidR="00B63E8F" w:rsidRPr="00464B1C" w:rsidRDefault="00B63E8F" w:rsidP="00623EFB">
      <w:pPr>
        <w:ind w:right="720"/>
        <w:jc w:val="both"/>
        <w:rPr>
          <w:b/>
        </w:rPr>
      </w:pPr>
      <w:r w:rsidRPr="00464B1C">
        <w:rPr>
          <w:b/>
        </w:rPr>
        <w:t>Critical Values</w:t>
      </w:r>
      <w:r w:rsidR="00464B1C">
        <w:rPr>
          <w:b/>
        </w:rPr>
        <w:t>: N/A</w:t>
      </w:r>
    </w:p>
    <w:p w:rsidR="0038442D" w:rsidRPr="00464B1C" w:rsidRDefault="0038442D" w:rsidP="00AB793D">
      <w:pPr>
        <w:rPr>
          <w:b/>
          <w:sz w:val="28"/>
          <w:szCs w:val="28"/>
        </w:rPr>
      </w:pPr>
    </w:p>
    <w:p w:rsidR="003E317C" w:rsidRPr="00464B1C" w:rsidRDefault="003E317C" w:rsidP="00AB793D">
      <w:pPr>
        <w:rPr>
          <w:b/>
          <w:sz w:val="28"/>
          <w:szCs w:val="28"/>
        </w:rPr>
      </w:pPr>
    </w:p>
    <w:p w:rsidR="00D5211B" w:rsidRPr="00464B1C" w:rsidRDefault="005E3D52" w:rsidP="00AB793D">
      <w:pPr>
        <w:rPr>
          <w:i/>
          <w:color w:val="FF0000"/>
          <w:sz w:val="28"/>
          <w:szCs w:val="28"/>
        </w:rPr>
      </w:pPr>
      <w:r w:rsidRPr="00464B1C">
        <w:rPr>
          <w:b/>
          <w:sz w:val="28"/>
          <w:szCs w:val="28"/>
        </w:rPr>
        <w:t>Performance Characteristics</w:t>
      </w:r>
      <w:r w:rsidR="00973EAF" w:rsidRPr="00464B1C">
        <w:rPr>
          <w:b/>
          <w:sz w:val="28"/>
          <w:szCs w:val="28"/>
        </w:rPr>
        <w:t xml:space="preserve"> </w:t>
      </w:r>
    </w:p>
    <w:p w:rsidR="007F5666" w:rsidRPr="00464B1C" w:rsidRDefault="007F5666" w:rsidP="002648A6">
      <w:pPr>
        <w:autoSpaceDE w:val="0"/>
        <w:autoSpaceDN w:val="0"/>
        <w:adjustRightInd w:val="0"/>
        <w:rPr>
          <w:rFonts w:eastAsia="HelenPro-Regular"/>
          <w:b/>
        </w:rPr>
      </w:pPr>
    </w:p>
    <w:p w:rsidR="00C7332C" w:rsidRPr="00464B1C" w:rsidRDefault="007F5666" w:rsidP="002648A6">
      <w:pPr>
        <w:autoSpaceDE w:val="0"/>
        <w:autoSpaceDN w:val="0"/>
        <w:adjustRightInd w:val="0"/>
        <w:rPr>
          <w:rFonts w:eastAsia="HelenPro-Regular"/>
          <w:b/>
        </w:rPr>
      </w:pPr>
      <w:r w:rsidRPr="00464B1C">
        <w:rPr>
          <w:rFonts w:eastAsia="HelenPro-Regular"/>
          <w:b/>
        </w:rPr>
        <w:t>Measuring Interval</w:t>
      </w:r>
      <w:r w:rsidR="00C7332C" w:rsidRPr="00464B1C">
        <w:rPr>
          <w:rFonts w:eastAsia="HelenPro-Regular"/>
          <w:b/>
        </w:rPr>
        <w:t>: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 xml:space="preserve">Measuring interval is defined as the range of values in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 (</w:t>
      </w:r>
      <w:proofErr w:type="spellStart"/>
      <w:r w:rsidRPr="003E317C">
        <w:rPr>
          <w:rFonts w:eastAsia="HelenPro-Regular"/>
        </w:rPr>
        <w:t>μ</w:t>
      </w:r>
      <w:r w:rsidR="003E317C">
        <w:rPr>
          <w:rFonts w:eastAsia="HelenPro-Regular"/>
        </w:rPr>
        <w:t>g</w:t>
      </w:r>
      <w:proofErr w:type="spellEnd"/>
      <w:r w:rsidR="003E317C">
        <w:rPr>
          <w:rFonts w:eastAsia="HelenPro-Regular"/>
        </w:rPr>
        <w:t xml:space="preserve">/L) </w:t>
      </w:r>
      <w:r w:rsidRPr="003E317C">
        <w:rPr>
          <w:rFonts w:eastAsia="HelenPro-Regular"/>
        </w:rPr>
        <w:t>which meets the limits of acceptable performance for both imprecision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and bias for an undiluted sample.</w:t>
      </w:r>
    </w:p>
    <w:p w:rsidR="00C7332C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measuring interval of the ARCHITECT B∙R∙A∙H∙M∙</w:t>
      </w:r>
      <w:r w:rsidR="003E317C">
        <w:rPr>
          <w:rFonts w:eastAsia="HelenPro-Regular"/>
        </w:rPr>
        <w:t xml:space="preserve">S PCT assay is 0.02 </w:t>
      </w:r>
      <w:r w:rsidRPr="003E317C">
        <w:rPr>
          <w:rFonts w:eastAsia="HelenPro-Regular"/>
        </w:rPr>
        <w:t xml:space="preserve">to 100.00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 (0.02 to 100.00 </w:t>
      </w:r>
      <w:proofErr w:type="spellStart"/>
      <w:r w:rsidRPr="003E317C">
        <w:rPr>
          <w:rFonts w:eastAsia="HelenPro-Regular"/>
        </w:rPr>
        <w:t>μg</w:t>
      </w:r>
      <w:proofErr w:type="spellEnd"/>
      <w:r w:rsidRPr="003E317C">
        <w:rPr>
          <w:rFonts w:eastAsia="HelenPro-Regular"/>
        </w:rPr>
        <w:t>/L). When using the 1:10 automated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dilution protocol, the assay can report values up to 1000.00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(1000.00 </w:t>
      </w:r>
      <w:proofErr w:type="spellStart"/>
      <w:r w:rsidRPr="003E317C">
        <w:rPr>
          <w:rFonts w:eastAsia="HelenPro-Regular"/>
        </w:rPr>
        <w:t>μg</w:t>
      </w:r>
      <w:proofErr w:type="spellEnd"/>
      <w:r w:rsidRPr="003E317C">
        <w:rPr>
          <w:rFonts w:eastAsia="HelenPro-Regular"/>
        </w:rPr>
        <w:t>/L).</w:t>
      </w:r>
    </w:p>
    <w:p w:rsidR="007F5666" w:rsidRPr="003E317C" w:rsidRDefault="007F5666" w:rsidP="00C7332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7332C" w:rsidRPr="003E317C" w:rsidRDefault="007F5666" w:rsidP="00C7332C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E317C">
        <w:rPr>
          <w:rFonts w:eastAsia="HelenPro-Bold"/>
          <w:b/>
          <w:bCs/>
        </w:rPr>
        <w:lastRenderedPageBreak/>
        <w:t>Linearity</w:t>
      </w:r>
    </w:p>
    <w:p w:rsidR="000E7BF4" w:rsidRPr="003E317C" w:rsidRDefault="007F5666" w:rsidP="003E317C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ARCHITECT B∙R∙A∙H∙M∙S PCT assay demonstrated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linearity from 0.02 to 100.00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 (0.02 to 100.00 </w:t>
      </w:r>
      <w:proofErr w:type="spellStart"/>
      <w:r w:rsidRPr="003E317C">
        <w:rPr>
          <w:rFonts w:eastAsia="HelenPro-Regular"/>
        </w:rPr>
        <w:t>μg</w:t>
      </w:r>
      <w:proofErr w:type="spellEnd"/>
      <w:r w:rsidRPr="003E317C">
        <w:rPr>
          <w:rFonts w:eastAsia="HelenPro-Regular"/>
        </w:rPr>
        <w:t>/L).</w:t>
      </w:r>
    </w:p>
    <w:p w:rsidR="007F5666" w:rsidRPr="003E317C" w:rsidRDefault="007F5666" w:rsidP="007F5666">
      <w:pPr>
        <w:rPr>
          <w:rFonts w:eastAsia="HelenPro-Regular"/>
        </w:rPr>
      </w:pPr>
    </w:p>
    <w:p w:rsidR="007F5666" w:rsidRPr="003E317C" w:rsidRDefault="007F5666" w:rsidP="007F5666">
      <w:pPr>
        <w:rPr>
          <w:rFonts w:eastAsia="HelenPro-Regular"/>
          <w:b/>
        </w:rPr>
      </w:pPr>
      <w:r w:rsidRPr="003E317C">
        <w:rPr>
          <w:rFonts w:eastAsia="HelenPro-Regular"/>
          <w:b/>
        </w:rPr>
        <w:t>Sensitivity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highest observed</w:t>
      </w:r>
      <w:r w:rsidR="003E317C">
        <w:rPr>
          <w:rFonts w:eastAsia="HelenPro-Regular"/>
        </w:rPr>
        <w:t xml:space="preserve"> Limit of Blank (</w:t>
      </w:r>
      <w:proofErr w:type="spellStart"/>
      <w:r w:rsidR="003E317C">
        <w:rPr>
          <w:rFonts w:eastAsia="HelenPro-Regular"/>
        </w:rPr>
        <w:t>LoB</w:t>
      </w:r>
      <w:proofErr w:type="spellEnd"/>
      <w:r w:rsidR="003E317C">
        <w:rPr>
          <w:rFonts w:eastAsia="HelenPro-Regular"/>
        </w:rPr>
        <w:t xml:space="preserve">) value was </w:t>
      </w:r>
      <w:r w:rsidRPr="003E317C">
        <w:rPr>
          <w:rFonts w:eastAsia="HelenPro-Regular"/>
        </w:rPr>
        <w:t xml:space="preserve">0.00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/mL, and the highest observed Limit of Detection (</w:t>
      </w:r>
      <w:proofErr w:type="spellStart"/>
      <w:r w:rsidRPr="003E317C">
        <w:rPr>
          <w:rFonts w:eastAsia="HelenPro-Regular"/>
        </w:rPr>
        <w:t>LoD</w:t>
      </w:r>
      <w:proofErr w:type="spellEnd"/>
      <w:r w:rsidRPr="003E317C">
        <w:rPr>
          <w:rFonts w:eastAsia="HelenPro-Regular"/>
        </w:rPr>
        <w:t>) value was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0.00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</w:t>
      </w:r>
      <w:proofErr w:type="spellStart"/>
      <w:r w:rsidRPr="003E317C">
        <w:rPr>
          <w:rFonts w:eastAsia="HelenPro-Regular"/>
        </w:rPr>
        <w:t>mL.</w:t>
      </w:r>
      <w:proofErr w:type="spellEnd"/>
    </w:p>
    <w:p w:rsidR="007F5666" w:rsidRPr="003E317C" w:rsidRDefault="007F5666" w:rsidP="003E317C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Limit of Quantitation (</w:t>
      </w:r>
      <w:proofErr w:type="spellStart"/>
      <w:r w:rsidRPr="003E317C">
        <w:rPr>
          <w:rFonts w:eastAsia="HelenPro-Regular"/>
        </w:rPr>
        <w:t>LoQ</w:t>
      </w:r>
      <w:proofErr w:type="spellEnd"/>
      <w:r w:rsidRPr="003E317C">
        <w:rPr>
          <w:rFonts w:eastAsia="HelenPro-Regular"/>
        </w:rPr>
        <w:t>) is the l</w:t>
      </w:r>
      <w:r w:rsidR="003E317C">
        <w:rPr>
          <w:rFonts w:eastAsia="HelenPro-Regular"/>
        </w:rPr>
        <w:t xml:space="preserve">owest concentration observed at </w:t>
      </w:r>
      <w:r w:rsidRPr="003E317C">
        <w:rPr>
          <w:rFonts w:eastAsia="HelenPro-Regular"/>
        </w:rPr>
        <w:t xml:space="preserve">≤ 20% CV. The highest observed </w:t>
      </w:r>
      <w:proofErr w:type="spellStart"/>
      <w:r w:rsidRPr="003E317C">
        <w:rPr>
          <w:rFonts w:eastAsia="HelenPro-Regular"/>
        </w:rPr>
        <w:t>LoQ</w:t>
      </w:r>
      <w:proofErr w:type="spellEnd"/>
      <w:r w:rsidRPr="003E317C">
        <w:rPr>
          <w:rFonts w:eastAsia="HelenPro-Regular"/>
        </w:rPr>
        <w:t xml:space="preserve"> value was 0.01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 with the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ARCHITECT B∙R∙A∙H∙M∙S PCT assay.</w:t>
      </w:r>
    </w:p>
    <w:p w:rsidR="007F5666" w:rsidRPr="003E317C" w:rsidRDefault="007F5666" w:rsidP="007F5666">
      <w:pPr>
        <w:rPr>
          <w:rFonts w:eastAsia="HelenPro-Bold"/>
          <w:b/>
          <w:bCs/>
        </w:rPr>
      </w:pPr>
    </w:p>
    <w:p w:rsidR="00912FE4" w:rsidRPr="003E317C" w:rsidRDefault="00912FE4" w:rsidP="002C2F49">
      <w:pPr>
        <w:rPr>
          <w:rFonts w:eastAsia="HelenPro-Bold"/>
          <w:b/>
          <w:bCs/>
        </w:rPr>
      </w:pPr>
      <w:r w:rsidRPr="003E317C">
        <w:rPr>
          <w:rFonts w:eastAsia="HelenPro-Bold"/>
          <w:b/>
          <w:bCs/>
        </w:rPr>
        <w:t>Dilution:</w:t>
      </w:r>
      <w:r w:rsidR="00973EAF" w:rsidRPr="003E317C">
        <w:rPr>
          <w:rFonts w:eastAsia="HelenPro-Bold"/>
          <w:b/>
          <w:bCs/>
        </w:rPr>
        <w:t xml:space="preserve"> 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 xml:space="preserve">Specimens with a PCT value exceeding 100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 (100 </w:t>
      </w:r>
      <w:proofErr w:type="spellStart"/>
      <w:r w:rsidRPr="003E317C">
        <w:rPr>
          <w:rFonts w:eastAsia="HelenPro-Regular"/>
        </w:rPr>
        <w:t>μ</w:t>
      </w:r>
      <w:r w:rsidR="003E317C">
        <w:rPr>
          <w:rFonts w:eastAsia="HelenPro-Regular"/>
        </w:rPr>
        <w:t>g</w:t>
      </w:r>
      <w:proofErr w:type="spellEnd"/>
      <w:r w:rsidR="003E317C">
        <w:rPr>
          <w:rFonts w:eastAsia="HelenPro-Regular"/>
        </w:rPr>
        <w:t xml:space="preserve">/L) are </w:t>
      </w:r>
      <w:r w:rsidRPr="003E317C">
        <w:rPr>
          <w:rFonts w:eastAsia="HelenPro-Regular"/>
        </w:rPr>
        <w:t xml:space="preserve">flagged with the code “&gt; 100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/mL” (“&gt; 100 </w:t>
      </w:r>
      <w:proofErr w:type="spellStart"/>
      <w:r w:rsidRPr="003E317C">
        <w:rPr>
          <w:rFonts w:eastAsia="HelenPro-Regular"/>
        </w:rPr>
        <w:t>μg</w:t>
      </w:r>
      <w:proofErr w:type="spellEnd"/>
      <w:r w:rsidRPr="003E317C">
        <w:rPr>
          <w:rFonts w:eastAsia="HelenPro-Regular"/>
        </w:rPr>
        <w:t>/L”) and may be diluted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using the Automated Dilution Protocol.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E317C">
        <w:rPr>
          <w:rFonts w:eastAsia="HelenPro-Bold"/>
          <w:b/>
          <w:bCs/>
        </w:rPr>
        <w:t>Automated Dilution Protocol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system performs a 1:10 dilution of</w:t>
      </w:r>
      <w:r w:rsidR="003E317C">
        <w:rPr>
          <w:rFonts w:eastAsia="HelenPro-Regular"/>
        </w:rPr>
        <w:t xml:space="preserve"> the specimen and automatically </w:t>
      </w:r>
      <w:r w:rsidRPr="003E317C">
        <w:rPr>
          <w:rFonts w:eastAsia="HelenPro-Regular"/>
        </w:rPr>
        <w:t>calculates the concentration of the specimen before dilution and reports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the result.</w:t>
      </w:r>
    </w:p>
    <w:p w:rsidR="00A7716D" w:rsidRPr="000E7BF4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For detailed information on ordering di</w:t>
      </w:r>
      <w:r w:rsidR="003E317C">
        <w:rPr>
          <w:rFonts w:eastAsia="HelenPro-Regular"/>
        </w:rPr>
        <w:t xml:space="preserve">lutions, refer to the ARCHITECT </w:t>
      </w:r>
      <w:r w:rsidRPr="003E317C">
        <w:rPr>
          <w:rFonts w:eastAsia="HelenPro-Regular"/>
        </w:rPr>
        <w:t>System Operations Manual, Section 5.</w:t>
      </w:r>
    </w:p>
    <w:p w:rsidR="00DA0D83" w:rsidRPr="000E7BF4" w:rsidRDefault="00DA0D83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3E317C" w:rsidRDefault="003E317C" w:rsidP="00F95946">
      <w:pPr>
        <w:rPr>
          <w:b/>
          <w:color w:val="000000"/>
        </w:rPr>
      </w:pPr>
    </w:p>
    <w:p w:rsidR="00912FE4" w:rsidRPr="000E7BF4" w:rsidRDefault="00912FE4" w:rsidP="00F95946">
      <w:pPr>
        <w:rPr>
          <w:rFonts w:eastAsia="HelenPro-Regular"/>
        </w:rPr>
      </w:pPr>
      <w:r w:rsidRPr="000E7BF4">
        <w:rPr>
          <w:b/>
          <w:color w:val="000000"/>
        </w:rPr>
        <w:t>Precision:</w:t>
      </w:r>
      <w:r w:rsidR="0038442D" w:rsidRPr="000E7BF4">
        <w:rPr>
          <w:b/>
          <w:color w:val="000000"/>
        </w:rPr>
        <w:t xml:space="preserve"> </w:t>
      </w:r>
    </w:p>
    <w:p w:rsidR="00971014" w:rsidRDefault="007F5666" w:rsidP="00C7332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79C853B4" wp14:editId="55D3941F">
            <wp:extent cx="4038600" cy="5029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6" w:rsidRPr="000E7BF4" w:rsidRDefault="007F5666" w:rsidP="00C7332C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3ABF923" wp14:editId="06683E3A">
            <wp:extent cx="3952875" cy="16573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7C" w:rsidRDefault="003E317C" w:rsidP="00C53E37">
      <w:pPr>
        <w:pStyle w:val="Heading4"/>
        <w:rPr>
          <w:sz w:val="24"/>
          <w:szCs w:val="24"/>
        </w:rPr>
      </w:pPr>
    </w:p>
    <w:p w:rsidR="00C53E37" w:rsidRPr="000E7BF4" w:rsidRDefault="00C53E37" w:rsidP="00C53E37">
      <w:pPr>
        <w:pStyle w:val="Heading4"/>
        <w:rPr>
          <w:sz w:val="24"/>
          <w:szCs w:val="24"/>
        </w:rPr>
      </w:pPr>
      <w:r w:rsidRPr="000E7BF4">
        <w:rPr>
          <w:sz w:val="24"/>
          <w:szCs w:val="24"/>
        </w:rPr>
        <w:t>Limitations of Procedure</w:t>
      </w:r>
      <w:r w:rsidR="00973EAF" w:rsidRPr="000E7BF4">
        <w:rPr>
          <w:sz w:val="24"/>
          <w:szCs w:val="24"/>
        </w:rPr>
        <w:t xml:space="preserve"> 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Bold"/>
          <w:b/>
          <w:bCs/>
        </w:rPr>
        <w:t xml:space="preserve">• </w:t>
      </w:r>
      <w:r w:rsidRPr="003E317C">
        <w:rPr>
          <w:rFonts w:eastAsia="HelenPro-Regular"/>
        </w:rPr>
        <w:t>Potential interference has not been evaluated for s</w:t>
      </w:r>
      <w:r w:rsidR="003E317C">
        <w:rPr>
          <w:rFonts w:eastAsia="HelenPro-Regular"/>
        </w:rPr>
        <w:t xml:space="preserve">ubstances </w:t>
      </w:r>
      <w:r w:rsidRPr="003E317C">
        <w:rPr>
          <w:rFonts w:eastAsia="HelenPro-Regular"/>
        </w:rPr>
        <w:t xml:space="preserve">other than those described in the </w:t>
      </w:r>
      <w:r w:rsidRPr="003E317C">
        <w:rPr>
          <w:rFonts w:eastAsia="HelenPro-Bold"/>
          <w:b/>
          <w:bCs/>
        </w:rPr>
        <w:t>SPECIFIC PERFORMANCE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Bold"/>
          <w:b/>
          <w:bCs/>
        </w:rPr>
        <w:t>CHARACTERISTICS</w:t>
      </w:r>
      <w:r w:rsidRPr="003E317C">
        <w:rPr>
          <w:rFonts w:eastAsia="HelenPro-Regular"/>
        </w:rPr>
        <w:t xml:space="preserve">, </w:t>
      </w:r>
      <w:r w:rsidRPr="003E317C">
        <w:rPr>
          <w:rFonts w:eastAsia="HelenPro-Bold"/>
          <w:b/>
          <w:bCs/>
        </w:rPr>
        <w:t xml:space="preserve">Interference </w:t>
      </w:r>
      <w:r w:rsidRPr="003E317C">
        <w:rPr>
          <w:rFonts w:eastAsia="HelenPro-Regular"/>
        </w:rPr>
        <w:t>section</w:t>
      </w:r>
      <w:r w:rsidR="003E317C">
        <w:rPr>
          <w:rFonts w:eastAsia="HelenPro-Regular"/>
        </w:rPr>
        <w:t xml:space="preserve"> of the Package Insert</w:t>
      </w:r>
      <w:r w:rsidRPr="003E317C">
        <w:rPr>
          <w:rFonts w:eastAsia="HelenPro-Regular"/>
        </w:rPr>
        <w:t>.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Bold"/>
          <w:b/>
          <w:bCs/>
        </w:rPr>
        <w:lastRenderedPageBreak/>
        <w:t xml:space="preserve">• </w:t>
      </w:r>
      <w:r w:rsidRPr="003E317C">
        <w:rPr>
          <w:rFonts w:eastAsia="HelenPro-Regular"/>
        </w:rPr>
        <w:t>Specimens from patients who have</w:t>
      </w:r>
      <w:r w:rsidR="003E317C">
        <w:rPr>
          <w:rFonts w:eastAsia="HelenPro-Regular"/>
        </w:rPr>
        <w:t xml:space="preserve"> received preparations of mouse </w:t>
      </w:r>
      <w:r w:rsidRPr="003E317C">
        <w:rPr>
          <w:rFonts w:eastAsia="HelenPro-Regular"/>
        </w:rPr>
        <w:t>monoclonal antibodies for diagnosis or therapy may contain human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anti-mouse antibodies (HAMA). Such specimens may show either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falsely elevated or depressed values when tested with assay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kits such as ARCHITECT B∙R∙A∙H∙M∙S PCT that employ mouse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monoclonal antibodies. Additional information may be required for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diagnosis.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Bold"/>
          <w:b/>
          <w:bCs/>
        </w:rPr>
        <w:t xml:space="preserve">• </w:t>
      </w:r>
      <w:proofErr w:type="spellStart"/>
      <w:r w:rsidRPr="003E317C">
        <w:rPr>
          <w:rFonts w:eastAsia="HelenPro-Regular"/>
        </w:rPr>
        <w:t>Heterophilic</w:t>
      </w:r>
      <w:proofErr w:type="spellEnd"/>
      <w:r w:rsidRPr="003E317C">
        <w:rPr>
          <w:rFonts w:eastAsia="HelenPro-Regular"/>
        </w:rPr>
        <w:t xml:space="preserve"> antibodies in hum</w:t>
      </w:r>
      <w:r w:rsidR="003E317C">
        <w:rPr>
          <w:rFonts w:eastAsia="HelenPro-Regular"/>
        </w:rPr>
        <w:t xml:space="preserve">an serum can react with reagent </w:t>
      </w:r>
      <w:proofErr w:type="spellStart"/>
      <w:r w:rsidRPr="003E317C">
        <w:rPr>
          <w:rFonts w:eastAsia="HelenPro-Regular"/>
        </w:rPr>
        <w:t>immunoglobulins</w:t>
      </w:r>
      <w:proofErr w:type="spellEnd"/>
      <w:r w:rsidRPr="003E317C">
        <w:rPr>
          <w:rFonts w:eastAsia="HelenPro-Regular"/>
        </w:rPr>
        <w:t xml:space="preserve">, interfering with </w:t>
      </w:r>
      <w:r w:rsidRPr="003E317C">
        <w:rPr>
          <w:rFonts w:eastAsia="HelenPro-Bold"/>
          <w:i/>
          <w:iCs/>
        </w:rPr>
        <w:t xml:space="preserve">in vitro </w:t>
      </w:r>
      <w:r w:rsidRPr="003E317C">
        <w:rPr>
          <w:rFonts w:eastAsia="HelenPro-Regular"/>
        </w:rPr>
        <w:t>immunoassays. Patients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routinely exposed to animals or to animal serum products can be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prone to this interference, and anomalous values may be observed.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Additional information may be required for diagnosis.</w:t>
      </w:r>
    </w:p>
    <w:p w:rsidR="00C7332C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Bold"/>
          <w:b/>
          <w:bCs/>
        </w:rPr>
        <w:t xml:space="preserve">• </w:t>
      </w:r>
      <w:r w:rsidRPr="003E317C">
        <w:rPr>
          <w:rFonts w:eastAsia="HelenPro-Regular"/>
        </w:rPr>
        <w:t>Rheumatoid factor (RF) in human serum can react with reagent</w:t>
      </w:r>
      <w:r w:rsidR="003E317C">
        <w:rPr>
          <w:rFonts w:eastAsia="HelenPro-Regular"/>
        </w:rPr>
        <w:t xml:space="preserve"> </w:t>
      </w:r>
      <w:proofErr w:type="spellStart"/>
      <w:r w:rsidRPr="003E317C">
        <w:rPr>
          <w:rFonts w:eastAsia="HelenPro-Regular"/>
        </w:rPr>
        <w:t>immunoglobulins</w:t>
      </w:r>
      <w:proofErr w:type="spellEnd"/>
      <w:r w:rsidRPr="003E317C">
        <w:rPr>
          <w:rFonts w:eastAsia="HelenPro-Regular"/>
        </w:rPr>
        <w:t xml:space="preserve">, interfering with </w:t>
      </w:r>
      <w:r w:rsidRPr="003E317C">
        <w:rPr>
          <w:rFonts w:eastAsia="HelenPro-Bold"/>
          <w:i/>
          <w:iCs/>
        </w:rPr>
        <w:t xml:space="preserve">in vitro </w:t>
      </w:r>
      <w:r w:rsidRPr="003E317C">
        <w:rPr>
          <w:rFonts w:eastAsia="HelenPro-Regular"/>
        </w:rPr>
        <w:t>immunoassays.</w:t>
      </w:r>
    </w:p>
    <w:p w:rsidR="0049724B" w:rsidRPr="003E317C" w:rsidRDefault="0049724B" w:rsidP="0049724B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9724B" w:rsidRPr="003E317C" w:rsidRDefault="0049724B" w:rsidP="0049724B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E317C">
        <w:rPr>
          <w:rFonts w:eastAsia="HelenPro-Bold"/>
          <w:b/>
          <w:bCs/>
        </w:rPr>
        <w:t>Specificity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3E317C">
        <w:rPr>
          <w:rFonts w:eastAsia="HelenPro-Regular"/>
          <w:u w:val="single"/>
        </w:rPr>
        <w:t>Cross-Reactivity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cross-reactants listed below were evaluated to determine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whether PCT concentrations were affected when using the ARCHITECT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B∙R∙A∙H∙M∙S PCT assay. Samples containing the cross-reactant were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E317C">
        <w:rPr>
          <w:rFonts w:eastAsia="HelenPro-Regular"/>
        </w:rPr>
        <w:t xml:space="preserve">prepared at 2 target PCT concentrations (0.5 and 2.0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/mL).</w:t>
      </w:r>
    </w:p>
    <w:p w:rsidR="005B1BF7" w:rsidRDefault="007F5666" w:rsidP="00D16B69">
      <w:pPr>
        <w:jc w:val="both"/>
        <w:rPr>
          <w:b/>
        </w:rPr>
      </w:pPr>
      <w:r>
        <w:rPr>
          <w:noProof/>
        </w:rPr>
        <w:drawing>
          <wp:inline distT="0" distB="0" distL="0" distR="0" wp14:anchorId="7651A111" wp14:editId="73DCB7B0">
            <wp:extent cx="3971925" cy="11049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7C" w:rsidRDefault="003E317C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7F5666" w:rsidRPr="003E317C" w:rsidRDefault="003E317C" w:rsidP="007F5666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>Interference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3E317C">
        <w:rPr>
          <w:rFonts w:eastAsia="HelenPro-Regular"/>
          <w:u w:val="single"/>
        </w:rPr>
        <w:t>Potentially Interfering Drugs</w:t>
      </w:r>
    </w:p>
    <w:p w:rsidR="007F5666" w:rsidRPr="003E317C" w:rsidRDefault="007F5666" w:rsidP="003E317C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The potentially inter</w:t>
      </w:r>
      <w:r w:rsidR="003E317C">
        <w:rPr>
          <w:rFonts w:eastAsia="HelenPro-Regular"/>
        </w:rPr>
        <w:t xml:space="preserve">fering drugs evaluated with the </w:t>
      </w:r>
      <w:r w:rsidRPr="003E317C">
        <w:rPr>
          <w:rFonts w:eastAsia="HelenPro-Regular"/>
        </w:rPr>
        <w:t>ARCHITECT B∙R∙A∙H∙M∙S PCT assay were found not to affect the test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performance at concentrations reasonably and consistently found in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clinical situations. The drugs evaluated are presented in the table below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7F5666" w:rsidRDefault="007F5666" w:rsidP="007F5666">
      <w:pPr>
        <w:jc w:val="both"/>
      </w:pPr>
      <w:r>
        <w:rPr>
          <w:noProof/>
        </w:rPr>
        <w:lastRenderedPageBreak/>
        <w:drawing>
          <wp:inline distT="0" distB="0" distL="0" distR="0" wp14:anchorId="66968E23" wp14:editId="597DB4E6">
            <wp:extent cx="3990975" cy="57531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3E317C">
        <w:rPr>
          <w:rFonts w:eastAsia="HelenPro-Regular"/>
          <w:u w:val="single"/>
        </w:rPr>
        <w:t>Potentially Interfering Substances</w:t>
      </w:r>
    </w:p>
    <w:p w:rsidR="007F5666" w:rsidRPr="003E317C" w:rsidRDefault="007F5666" w:rsidP="007F5666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>Potentially interfering substances were eval</w:t>
      </w:r>
      <w:r w:rsidR="003E317C">
        <w:rPr>
          <w:rFonts w:eastAsia="HelenPro-Regular"/>
        </w:rPr>
        <w:t xml:space="preserve">uated to determine </w:t>
      </w:r>
      <w:r w:rsidRPr="003E317C">
        <w:rPr>
          <w:rFonts w:eastAsia="HelenPro-Regular"/>
        </w:rPr>
        <w:t>whether PCT concentrations were affected when using the ARCHITECT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B∙R∙A∙H∙M∙S PCT assay. Samples containing bilirubin, hemoglobin, total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protein, and triglycerides were prepared at approximately 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/mL,</w:t>
      </w:r>
    </w:p>
    <w:p w:rsidR="007F5666" w:rsidRPr="003E317C" w:rsidRDefault="007F5666" w:rsidP="003E317C">
      <w:pPr>
        <w:autoSpaceDE w:val="0"/>
        <w:autoSpaceDN w:val="0"/>
        <w:adjustRightInd w:val="0"/>
        <w:rPr>
          <w:rFonts w:eastAsia="HelenPro-Regular"/>
        </w:rPr>
      </w:pPr>
      <w:r w:rsidRPr="003E317C">
        <w:rPr>
          <w:rFonts w:eastAsia="HelenPro-Regular"/>
        </w:rPr>
        <w:t xml:space="preserve">0.3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/mL, and &gt; 10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 PCT, an</w:t>
      </w:r>
      <w:r w:rsidR="003E317C">
        <w:rPr>
          <w:rFonts w:eastAsia="HelenPro-Regular"/>
        </w:rPr>
        <w:t xml:space="preserve">d samples containing HAMA and </w:t>
      </w:r>
      <w:r w:rsidRPr="003E317C">
        <w:rPr>
          <w:rFonts w:eastAsia="HelenPro-Regular"/>
        </w:rPr>
        <w:t xml:space="preserve">RF were prepared at approximately 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/mL, 1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 xml:space="preserve">/mL, and &gt; 10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</w:t>
      </w:r>
      <w:r w:rsidR="003E317C" w:rsidRPr="003E317C">
        <w:rPr>
          <w:rFonts w:eastAsia="HelenPro-Regular"/>
        </w:rPr>
        <w:t>Ml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PCT. The samples were assayed, and the PCT concentrations of the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spiked samples were compared to the reference samples. The observed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differences for the zero level sample and the 0.3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/mL sample ranged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 xml:space="preserve">from 0.00 to 0.05 </w:t>
      </w:r>
      <w:proofErr w:type="spellStart"/>
      <w:r w:rsidRPr="003E317C">
        <w:rPr>
          <w:rFonts w:eastAsia="HelenPro-Regular"/>
        </w:rPr>
        <w:t>ng</w:t>
      </w:r>
      <w:proofErr w:type="spellEnd"/>
      <w:r w:rsidRPr="003E317C">
        <w:rPr>
          <w:rFonts w:eastAsia="HelenPro-Regular"/>
        </w:rPr>
        <w:t>/</w:t>
      </w:r>
      <w:proofErr w:type="spellStart"/>
      <w:r w:rsidRPr="003E317C">
        <w:rPr>
          <w:rFonts w:eastAsia="HelenPro-Regular"/>
        </w:rPr>
        <w:t>mL.</w:t>
      </w:r>
      <w:proofErr w:type="spellEnd"/>
      <w:r w:rsidRPr="003E317C">
        <w:rPr>
          <w:rFonts w:eastAsia="HelenPro-Regular"/>
        </w:rPr>
        <w:t xml:space="preserve"> The substances evaluated are presented in the</w:t>
      </w:r>
      <w:r w:rsidR="003E317C">
        <w:rPr>
          <w:rFonts w:eastAsia="HelenPro-Regular"/>
        </w:rPr>
        <w:t xml:space="preserve"> </w:t>
      </w:r>
      <w:r w:rsidRPr="003E317C">
        <w:rPr>
          <w:rFonts w:eastAsia="HelenPro-Regular"/>
        </w:rPr>
        <w:t>following table.</w:t>
      </w:r>
    </w:p>
    <w:p w:rsidR="007F5666" w:rsidRPr="007F5666" w:rsidRDefault="007F5666" w:rsidP="007F5666">
      <w:pPr>
        <w:jc w:val="both"/>
      </w:pPr>
      <w:r>
        <w:rPr>
          <w:noProof/>
        </w:rPr>
        <w:lastRenderedPageBreak/>
        <w:drawing>
          <wp:inline distT="0" distB="0" distL="0" distR="0" wp14:anchorId="013C0670" wp14:editId="3E73C5A5">
            <wp:extent cx="4010025" cy="16573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BF4" w:rsidRDefault="000E7BF4" w:rsidP="00D16B69">
      <w:pPr>
        <w:jc w:val="both"/>
        <w:rPr>
          <w:b/>
        </w:rPr>
      </w:pPr>
    </w:p>
    <w:p w:rsidR="00D16B69" w:rsidRPr="00464B1C" w:rsidRDefault="00D16B69" w:rsidP="00D16B69">
      <w:pPr>
        <w:jc w:val="both"/>
        <w:rPr>
          <w:b/>
        </w:rPr>
      </w:pPr>
      <w:r w:rsidRPr="00464B1C">
        <w:rPr>
          <w:b/>
        </w:rPr>
        <w:t>References:</w:t>
      </w:r>
      <w:r w:rsidR="00973EAF" w:rsidRPr="00464B1C">
        <w:rPr>
          <w:b/>
        </w:rPr>
        <w:t xml:space="preserve"> </w:t>
      </w:r>
    </w:p>
    <w:p w:rsidR="000A13F2" w:rsidRPr="00464B1C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64B1C">
        <w:rPr>
          <w:sz w:val="22"/>
          <w:szCs w:val="22"/>
        </w:rPr>
        <w:t xml:space="preserve">ABBOTT </w:t>
      </w:r>
      <w:r w:rsidR="003E317C" w:rsidRPr="00464B1C">
        <w:rPr>
          <w:rFonts w:eastAsia="HelenPro-Regular"/>
        </w:rPr>
        <w:t>ARCHITECT B∙R∙A∙H∙M∙S PCT</w:t>
      </w:r>
      <w:r w:rsidR="003E317C" w:rsidRPr="00464B1C">
        <w:rPr>
          <w:sz w:val="22"/>
          <w:szCs w:val="22"/>
        </w:rPr>
        <w:t xml:space="preserve"> </w:t>
      </w:r>
      <w:r w:rsidRPr="00464B1C">
        <w:rPr>
          <w:sz w:val="22"/>
          <w:szCs w:val="22"/>
        </w:rPr>
        <w:t>package insert</w:t>
      </w:r>
    </w:p>
    <w:p w:rsidR="000A13F2" w:rsidRPr="00464B1C" w:rsidRDefault="000A13F2" w:rsidP="000A13F2">
      <w:pPr>
        <w:pStyle w:val="ListParagraph"/>
        <w:rPr>
          <w:sz w:val="22"/>
          <w:szCs w:val="22"/>
        </w:rPr>
      </w:pPr>
      <w:r w:rsidRPr="00464B1C">
        <w:rPr>
          <w:sz w:val="22"/>
          <w:szCs w:val="22"/>
        </w:rPr>
        <w:t>Abbott Laboratories</w:t>
      </w:r>
    </w:p>
    <w:p w:rsidR="000A13F2" w:rsidRPr="00464B1C" w:rsidRDefault="000A13F2" w:rsidP="000A13F2">
      <w:pPr>
        <w:pStyle w:val="ListParagraph"/>
        <w:rPr>
          <w:sz w:val="22"/>
          <w:szCs w:val="22"/>
        </w:rPr>
      </w:pPr>
      <w:r w:rsidRPr="00464B1C">
        <w:rPr>
          <w:sz w:val="22"/>
          <w:szCs w:val="22"/>
        </w:rPr>
        <w:t>Diagnostics Division</w:t>
      </w:r>
    </w:p>
    <w:p w:rsidR="000A13F2" w:rsidRPr="00464B1C" w:rsidRDefault="000A13F2" w:rsidP="000A13F2">
      <w:pPr>
        <w:pStyle w:val="ListParagraph"/>
        <w:rPr>
          <w:sz w:val="22"/>
          <w:szCs w:val="22"/>
        </w:rPr>
      </w:pPr>
      <w:r w:rsidRPr="00464B1C">
        <w:rPr>
          <w:sz w:val="22"/>
          <w:szCs w:val="22"/>
        </w:rPr>
        <w:t>Abbott Park, IL  60064</w:t>
      </w:r>
    </w:p>
    <w:p w:rsidR="00425BA0" w:rsidRPr="00464B1C" w:rsidRDefault="003E317C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464B1C">
        <w:rPr>
          <w:bCs/>
          <w:sz w:val="22"/>
          <w:szCs w:val="22"/>
        </w:rPr>
        <w:t>June</w:t>
      </w:r>
      <w:r w:rsidR="0074336C" w:rsidRPr="00464B1C">
        <w:rPr>
          <w:bCs/>
          <w:sz w:val="22"/>
          <w:szCs w:val="22"/>
        </w:rPr>
        <w:t xml:space="preserve"> 201</w:t>
      </w:r>
      <w:r w:rsidRPr="00464B1C">
        <w:rPr>
          <w:bCs/>
          <w:sz w:val="22"/>
          <w:szCs w:val="22"/>
        </w:rPr>
        <w:t>7</w:t>
      </w:r>
      <w:r w:rsidR="000A13F2" w:rsidRPr="00464B1C">
        <w:rPr>
          <w:bCs/>
          <w:sz w:val="22"/>
          <w:szCs w:val="22"/>
        </w:rPr>
        <w:t xml:space="preserve"> </w:t>
      </w:r>
      <w:r w:rsidRPr="00464B1C">
        <w:rPr>
          <w:rFonts w:eastAsia="HelenPro-Bold"/>
          <w:bCs/>
          <w:sz w:val="22"/>
          <w:szCs w:val="28"/>
        </w:rPr>
        <w:t>G1-0601/R01</w:t>
      </w:r>
    </w:p>
    <w:p w:rsidR="00881923" w:rsidRPr="00464B1C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 w:rsidRPr="00464B1C">
        <w:t>Abbott ARCHITECT</w:t>
      </w:r>
      <w:r w:rsidR="00D16B69" w:rsidRPr="00464B1C">
        <w:rPr>
          <w:lang w:val="ru-RU"/>
        </w:rPr>
        <w:t xml:space="preserve"> Operator’s Guide</w:t>
      </w:r>
    </w:p>
    <w:p w:rsidR="00AB5354" w:rsidRPr="00464B1C" w:rsidRDefault="00AB5354" w:rsidP="0009322F">
      <w:pPr>
        <w:rPr>
          <w:b/>
        </w:rPr>
      </w:pPr>
    </w:p>
    <w:p w:rsidR="00830E61" w:rsidRPr="00464B1C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30E61" w:rsidRDefault="00830E61" w:rsidP="0009322F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  <w:bookmarkStart w:id="0" w:name="_GoBack"/>
      <w:bookmarkEnd w:id="0"/>
    </w:p>
    <w:sectPr w:rsidR="002D18CA" w:rsidSect="00507B0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14" w:rsidRDefault="00871114">
      <w:r>
        <w:separator/>
      </w:r>
    </w:p>
  </w:endnote>
  <w:endnote w:type="continuationSeparator" w:id="0">
    <w:p w:rsidR="00871114" w:rsidRDefault="0087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07" w:rsidRDefault="00B80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D6" w:rsidRDefault="00EC6FD6" w:rsidP="00BC1EC4">
    <w:pPr>
      <w:pStyle w:val="Footer"/>
      <w:rPr>
        <w:b/>
        <w:sz w:val="20"/>
        <w:szCs w:val="20"/>
      </w:rPr>
    </w:pPr>
  </w:p>
  <w:p w:rsidR="00EC6FD6" w:rsidRPr="00427B21" w:rsidRDefault="00EC6FD6" w:rsidP="00B80607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464B1C">
      <w:rPr>
        <w:noProof/>
        <w:sz w:val="20"/>
        <w:szCs w:val="20"/>
      </w:rPr>
      <w:t>20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464B1C">
      <w:rPr>
        <w:noProof/>
        <w:sz w:val="20"/>
        <w:szCs w:val="20"/>
      </w:rPr>
      <w:t>20</w:t>
    </w:r>
    <w:r w:rsidRPr="00427B21">
      <w:rPr>
        <w:sz w:val="20"/>
        <w:szCs w:val="20"/>
      </w:rPr>
      <w:fldChar w:fldCharType="end"/>
    </w:r>
  </w:p>
  <w:p w:rsidR="00EC6FD6" w:rsidRDefault="00EC6FD6">
    <w:pPr>
      <w:pStyle w:val="Footer"/>
    </w:pPr>
  </w:p>
  <w:p w:rsidR="00EC6FD6" w:rsidRDefault="00EC6FD6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07" w:rsidRDefault="00B80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14" w:rsidRDefault="00871114">
      <w:r>
        <w:separator/>
      </w:r>
    </w:p>
  </w:footnote>
  <w:footnote w:type="continuationSeparator" w:id="0">
    <w:p w:rsidR="00871114" w:rsidRDefault="0087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07" w:rsidRDefault="00B80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D6" w:rsidRDefault="00EC6FD6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B80607">
      <w:rPr>
        <w:b/>
        <w:sz w:val="20"/>
        <w:szCs w:val="20"/>
      </w:rPr>
      <w:t xml:space="preserve"> 4840-CH-</w:t>
    </w:r>
    <w:r w:rsidR="008C17F0">
      <w:rPr>
        <w:b/>
        <w:sz w:val="20"/>
        <w:szCs w:val="20"/>
      </w:rPr>
      <w:t>275</w:t>
    </w:r>
  </w:p>
  <w:p w:rsidR="00EC6FD6" w:rsidRDefault="00EC6FD6" w:rsidP="00100BF8">
    <w:pPr>
      <w:jc w:val="right"/>
      <w:rPr>
        <w:sz w:val="20"/>
        <w:szCs w:val="20"/>
      </w:rPr>
    </w:pPr>
    <w:r>
      <w:rPr>
        <w:sz w:val="20"/>
        <w:szCs w:val="20"/>
      </w:rPr>
      <w:t>ARCHITECT BRAHMS PCT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07" w:rsidRDefault="00B806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366369"/>
    <w:multiLevelType w:val="hybridMultilevel"/>
    <w:tmpl w:val="EA8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0784"/>
    <w:multiLevelType w:val="hybridMultilevel"/>
    <w:tmpl w:val="F82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6959"/>
    <w:multiLevelType w:val="hybridMultilevel"/>
    <w:tmpl w:val="86F6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372E"/>
    <w:multiLevelType w:val="hybridMultilevel"/>
    <w:tmpl w:val="38C8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97B8D"/>
    <w:multiLevelType w:val="hybridMultilevel"/>
    <w:tmpl w:val="092E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A796F4B"/>
    <w:multiLevelType w:val="hybridMultilevel"/>
    <w:tmpl w:val="E02C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8B6567"/>
    <w:multiLevelType w:val="hybridMultilevel"/>
    <w:tmpl w:val="E0BE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677F3"/>
    <w:multiLevelType w:val="hybridMultilevel"/>
    <w:tmpl w:val="0F1E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F4D28C7"/>
    <w:multiLevelType w:val="hybridMultilevel"/>
    <w:tmpl w:val="10F8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20464"/>
    <w:multiLevelType w:val="hybridMultilevel"/>
    <w:tmpl w:val="287E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419AD"/>
    <w:multiLevelType w:val="hybridMultilevel"/>
    <w:tmpl w:val="62AE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FBC1383"/>
    <w:multiLevelType w:val="hybridMultilevel"/>
    <w:tmpl w:val="817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7"/>
  </w:num>
  <w:num w:numId="14">
    <w:abstractNumId w:val="11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4"/>
  </w:num>
  <w:num w:numId="22">
    <w:abstractNumId w:val="15"/>
  </w:num>
  <w:num w:numId="23">
    <w:abstractNumId w:val="2"/>
  </w:num>
  <w:num w:numId="24">
    <w:abstractNumId w:val="19"/>
  </w:num>
  <w:num w:numId="25">
    <w:abstractNumId w:val="22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B7A"/>
    <w:rsid w:val="00030CDD"/>
    <w:rsid w:val="00032E92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85F48"/>
    <w:rsid w:val="0009322F"/>
    <w:rsid w:val="000A090B"/>
    <w:rsid w:val="000A13F2"/>
    <w:rsid w:val="000A341D"/>
    <w:rsid w:val="000A7D58"/>
    <w:rsid w:val="000B4575"/>
    <w:rsid w:val="000C1FD8"/>
    <w:rsid w:val="000D4A90"/>
    <w:rsid w:val="000E3328"/>
    <w:rsid w:val="000E7BF4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3EA4"/>
    <w:rsid w:val="001756AB"/>
    <w:rsid w:val="0019760C"/>
    <w:rsid w:val="001A639E"/>
    <w:rsid w:val="001B29A7"/>
    <w:rsid w:val="001B4267"/>
    <w:rsid w:val="001C10E5"/>
    <w:rsid w:val="001C48DA"/>
    <w:rsid w:val="001D3841"/>
    <w:rsid w:val="001D3AFA"/>
    <w:rsid w:val="001D6AE0"/>
    <w:rsid w:val="001E079E"/>
    <w:rsid w:val="001F32A9"/>
    <w:rsid w:val="001F6B7B"/>
    <w:rsid w:val="00211DD8"/>
    <w:rsid w:val="00246FA8"/>
    <w:rsid w:val="0025031C"/>
    <w:rsid w:val="00253C1F"/>
    <w:rsid w:val="00255C54"/>
    <w:rsid w:val="00260434"/>
    <w:rsid w:val="002648A6"/>
    <w:rsid w:val="002649AA"/>
    <w:rsid w:val="002746A8"/>
    <w:rsid w:val="00285F86"/>
    <w:rsid w:val="00294A08"/>
    <w:rsid w:val="002B0D2A"/>
    <w:rsid w:val="002B1993"/>
    <w:rsid w:val="002C0E55"/>
    <w:rsid w:val="002C2F49"/>
    <w:rsid w:val="002C7FD5"/>
    <w:rsid w:val="002D18CA"/>
    <w:rsid w:val="002D2075"/>
    <w:rsid w:val="002D370D"/>
    <w:rsid w:val="002D38DF"/>
    <w:rsid w:val="002D70E2"/>
    <w:rsid w:val="002E679B"/>
    <w:rsid w:val="002F52E0"/>
    <w:rsid w:val="003056A7"/>
    <w:rsid w:val="00317056"/>
    <w:rsid w:val="003356DF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8E4"/>
    <w:rsid w:val="003C596F"/>
    <w:rsid w:val="003D10DE"/>
    <w:rsid w:val="003D38B7"/>
    <w:rsid w:val="003D447C"/>
    <w:rsid w:val="003D708C"/>
    <w:rsid w:val="003E317C"/>
    <w:rsid w:val="003E62E7"/>
    <w:rsid w:val="00400A1A"/>
    <w:rsid w:val="00400CBA"/>
    <w:rsid w:val="00405EC8"/>
    <w:rsid w:val="00410514"/>
    <w:rsid w:val="00413150"/>
    <w:rsid w:val="00413FEE"/>
    <w:rsid w:val="00425BA0"/>
    <w:rsid w:val="00427542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64B1C"/>
    <w:rsid w:val="004708FA"/>
    <w:rsid w:val="004773D3"/>
    <w:rsid w:val="00491618"/>
    <w:rsid w:val="00493DD1"/>
    <w:rsid w:val="00496605"/>
    <w:rsid w:val="0049724B"/>
    <w:rsid w:val="004A03BD"/>
    <w:rsid w:val="004A2AA3"/>
    <w:rsid w:val="004C05F8"/>
    <w:rsid w:val="004C104D"/>
    <w:rsid w:val="004C2C23"/>
    <w:rsid w:val="004C37CB"/>
    <w:rsid w:val="004C73AF"/>
    <w:rsid w:val="004E04CB"/>
    <w:rsid w:val="004E0AFF"/>
    <w:rsid w:val="004F5F8A"/>
    <w:rsid w:val="00507B0C"/>
    <w:rsid w:val="00520089"/>
    <w:rsid w:val="00533CE1"/>
    <w:rsid w:val="00551335"/>
    <w:rsid w:val="0055619E"/>
    <w:rsid w:val="0056023B"/>
    <w:rsid w:val="00570113"/>
    <w:rsid w:val="00574309"/>
    <w:rsid w:val="005806E5"/>
    <w:rsid w:val="0058304A"/>
    <w:rsid w:val="005902C0"/>
    <w:rsid w:val="005A1D53"/>
    <w:rsid w:val="005A4739"/>
    <w:rsid w:val="005A7348"/>
    <w:rsid w:val="005B0D1C"/>
    <w:rsid w:val="005B1BF7"/>
    <w:rsid w:val="005C4292"/>
    <w:rsid w:val="005E3AB5"/>
    <w:rsid w:val="005E3D52"/>
    <w:rsid w:val="005E48EE"/>
    <w:rsid w:val="005F3E81"/>
    <w:rsid w:val="00607638"/>
    <w:rsid w:val="00610572"/>
    <w:rsid w:val="006107A2"/>
    <w:rsid w:val="0061553C"/>
    <w:rsid w:val="00621ABB"/>
    <w:rsid w:val="00623EFB"/>
    <w:rsid w:val="0063150E"/>
    <w:rsid w:val="00644800"/>
    <w:rsid w:val="0065052E"/>
    <w:rsid w:val="006559EB"/>
    <w:rsid w:val="00656BB9"/>
    <w:rsid w:val="00674186"/>
    <w:rsid w:val="00682038"/>
    <w:rsid w:val="00687C2F"/>
    <w:rsid w:val="006A15AE"/>
    <w:rsid w:val="006A5AAE"/>
    <w:rsid w:val="006B0A70"/>
    <w:rsid w:val="006B3C65"/>
    <w:rsid w:val="006B4204"/>
    <w:rsid w:val="006D28ED"/>
    <w:rsid w:val="006D40ED"/>
    <w:rsid w:val="006E5155"/>
    <w:rsid w:val="006F7F4F"/>
    <w:rsid w:val="00714B7D"/>
    <w:rsid w:val="00714F24"/>
    <w:rsid w:val="007150E8"/>
    <w:rsid w:val="00715D55"/>
    <w:rsid w:val="00742830"/>
    <w:rsid w:val="0074336C"/>
    <w:rsid w:val="007703C0"/>
    <w:rsid w:val="007840DD"/>
    <w:rsid w:val="007B09E3"/>
    <w:rsid w:val="007B0CCE"/>
    <w:rsid w:val="007B247B"/>
    <w:rsid w:val="007E4CE6"/>
    <w:rsid w:val="007E6C3C"/>
    <w:rsid w:val="007F5666"/>
    <w:rsid w:val="0080146D"/>
    <w:rsid w:val="008036AC"/>
    <w:rsid w:val="00804822"/>
    <w:rsid w:val="00812CCF"/>
    <w:rsid w:val="00816ACE"/>
    <w:rsid w:val="008240A7"/>
    <w:rsid w:val="00830E61"/>
    <w:rsid w:val="00833E15"/>
    <w:rsid w:val="00841397"/>
    <w:rsid w:val="00846F9F"/>
    <w:rsid w:val="00847607"/>
    <w:rsid w:val="00861504"/>
    <w:rsid w:val="00863AA4"/>
    <w:rsid w:val="00864220"/>
    <w:rsid w:val="00871114"/>
    <w:rsid w:val="00880FDF"/>
    <w:rsid w:val="0088112F"/>
    <w:rsid w:val="00881923"/>
    <w:rsid w:val="0088257A"/>
    <w:rsid w:val="00883611"/>
    <w:rsid w:val="00886363"/>
    <w:rsid w:val="00887139"/>
    <w:rsid w:val="00893E5B"/>
    <w:rsid w:val="008A1AF7"/>
    <w:rsid w:val="008A1CED"/>
    <w:rsid w:val="008A7551"/>
    <w:rsid w:val="008A7F96"/>
    <w:rsid w:val="008B590F"/>
    <w:rsid w:val="008C0AEF"/>
    <w:rsid w:val="008C17F0"/>
    <w:rsid w:val="008D06FF"/>
    <w:rsid w:val="008D30BD"/>
    <w:rsid w:val="008D4DF4"/>
    <w:rsid w:val="008E00E3"/>
    <w:rsid w:val="008F7947"/>
    <w:rsid w:val="008F794A"/>
    <w:rsid w:val="00900D77"/>
    <w:rsid w:val="0091292B"/>
    <w:rsid w:val="00912BAD"/>
    <w:rsid w:val="00912FE4"/>
    <w:rsid w:val="0092389D"/>
    <w:rsid w:val="00924B1D"/>
    <w:rsid w:val="00926441"/>
    <w:rsid w:val="00926E1B"/>
    <w:rsid w:val="009318E8"/>
    <w:rsid w:val="009467CE"/>
    <w:rsid w:val="00951C8E"/>
    <w:rsid w:val="00952933"/>
    <w:rsid w:val="00953BF2"/>
    <w:rsid w:val="00964971"/>
    <w:rsid w:val="00971014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0CBD"/>
    <w:rsid w:val="009F648F"/>
    <w:rsid w:val="00A015C6"/>
    <w:rsid w:val="00A016EE"/>
    <w:rsid w:val="00A062F7"/>
    <w:rsid w:val="00A06412"/>
    <w:rsid w:val="00A06F60"/>
    <w:rsid w:val="00A1152E"/>
    <w:rsid w:val="00A1486D"/>
    <w:rsid w:val="00A15B97"/>
    <w:rsid w:val="00A226F3"/>
    <w:rsid w:val="00A241F8"/>
    <w:rsid w:val="00A30D01"/>
    <w:rsid w:val="00A320E4"/>
    <w:rsid w:val="00A35DB6"/>
    <w:rsid w:val="00A408AE"/>
    <w:rsid w:val="00A503C7"/>
    <w:rsid w:val="00A5042D"/>
    <w:rsid w:val="00A541AC"/>
    <w:rsid w:val="00A554D4"/>
    <w:rsid w:val="00A67673"/>
    <w:rsid w:val="00A71728"/>
    <w:rsid w:val="00A71D1D"/>
    <w:rsid w:val="00A72EC0"/>
    <w:rsid w:val="00A7716D"/>
    <w:rsid w:val="00A81234"/>
    <w:rsid w:val="00A82E30"/>
    <w:rsid w:val="00A92E30"/>
    <w:rsid w:val="00A937D1"/>
    <w:rsid w:val="00AA271B"/>
    <w:rsid w:val="00AA7B6F"/>
    <w:rsid w:val="00AB5354"/>
    <w:rsid w:val="00AB793D"/>
    <w:rsid w:val="00AC0E64"/>
    <w:rsid w:val="00AD402C"/>
    <w:rsid w:val="00AE6F5B"/>
    <w:rsid w:val="00AF597C"/>
    <w:rsid w:val="00B11C38"/>
    <w:rsid w:val="00B13AB5"/>
    <w:rsid w:val="00B24260"/>
    <w:rsid w:val="00B30875"/>
    <w:rsid w:val="00B36577"/>
    <w:rsid w:val="00B434E9"/>
    <w:rsid w:val="00B438DB"/>
    <w:rsid w:val="00B45FE2"/>
    <w:rsid w:val="00B46687"/>
    <w:rsid w:val="00B50C75"/>
    <w:rsid w:val="00B54C79"/>
    <w:rsid w:val="00B63263"/>
    <w:rsid w:val="00B63E8F"/>
    <w:rsid w:val="00B70AAC"/>
    <w:rsid w:val="00B712B1"/>
    <w:rsid w:val="00B72271"/>
    <w:rsid w:val="00B80607"/>
    <w:rsid w:val="00BA0054"/>
    <w:rsid w:val="00BB32A7"/>
    <w:rsid w:val="00BC1EC4"/>
    <w:rsid w:val="00BC76E2"/>
    <w:rsid w:val="00BE40A6"/>
    <w:rsid w:val="00BF32B2"/>
    <w:rsid w:val="00BF7718"/>
    <w:rsid w:val="00C32412"/>
    <w:rsid w:val="00C3571A"/>
    <w:rsid w:val="00C46D5D"/>
    <w:rsid w:val="00C53E37"/>
    <w:rsid w:val="00C63D0C"/>
    <w:rsid w:val="00C63D9F"/>
    <w:rsid w:val="00C7332C"/>
    <w:rsid w:val="00C90E57"/>
    <w:rsid w:val="00C912E2"/>
    <w:rsid w:val="00C967D5"/>
    <w:rsid w:val="00CA11D0"/>
    <w:rsid w:val="00CA5058"/>
    <w:rsid w:val="00CC08BC"/>
    <w:rsid w:val="00CC2751"/>
    <w:rsid w:val="00CC37B4"/>
    <w:rsid w:val="00CC3D62"/>
    <w:rsid w:val="00CE2DC7"/>
    <w:rsid w:val="00CF7868"/>
    <w:rsid w:val="00D006C7"/>
    <w:rsid w:val="00D16262"/>
    <w:rsid w:val="00D16B69"/>
    <w:rsid w:val="00D27C5A"/>
    <w:rsid w:val="00D339B0"/>
    <w:rsid w:val="00D35CAC"/>
    <w:rsid w:val="00D5070C"/>
    <w:rsid w:val="00D50F05"/>
    <w:rsid w:val="00D5211B"/>
    <w:rsid w:val="00D60AFA"/>
    <w:rsid w:val="00D64E39"/>
    <w:rsid w:val="00D70A7B"/>
    <w:rsid w:val="00D71AF7"/>
    <w:rsid w:val="00D73BF8"/>
    <w:rsid w:val="00D77B64"/>
    <w:rsid w:val="00D80968"/>
    <w:rsid w:val="00D84ADA"/>
    <w:rsid w:val="00D94BB8"/>
    <w:rsid w:val="00D97908"/>
    <w:rsid w:val="00DA040A"/>
    <w:rsid w:val="00DA0D83"/>
    <w:rsid w:val="00DA31F4"/>
    <w:rsid w:val="00DA6C6A"/>
    <w:rsid w:val="00DB3051"/>
    <w:rsid w:val="00DB49D0"/>
    <w:rsid w:val="00DC076E"/>
    <w:rsid w:val="00DC16C5"/>
    <w:rsid w:val="00DC56D1"/>
    <w:rsid w:val="00DD0481"/>
    <w:rsid w:val="00DE6C4E"/>
    <w:rsid w:val="00DF01DC"/>
    <w:rsid w:val="00DF022C"/>
    <w:rsid w:val="00E03927"/>
    <w:rsid w:val="00E03B3D"/>
    <w:rsid w:val="00E07C43"/>
    <w:rsid w:val="00E12522"/>
    <w:rsid w:val="00E1254C"/>
    <w:rsid w:val="00E12AF4"/>
    <w:rsid w:val="00E30C56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6FD6"/>
    <w:rsid w:val="00EC7B32"/>
    <w:rsid w:val="00ED2343"/>
    <w:rsid w:val="00ED4BBB"/>
    <w:rsid w:val="00ED5787"/>
    <w:rsid w:val="00EF4170"/>
    <w:rsid w:val="00F05CCD"/>
    <w:rsid w:val="00F13523"/>
    <w:rsid w:val="00F175CB"/>
    <w:rsid w:val="00F1787A"/>
    <w:rsid w:val="00F17F45"/>
    <w:rsid w:val="00F20C64"/>
    <w:rsid w:val="00F23218"/>
    <w:rsid w:val="00F25293"/>
    <w:rsid w:val="00F31927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96FC1"/>
    <w:rsid w:val="00FA489B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C1F0-D94B-44C0-B400-B000B778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3589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24215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4</cp:revision>
  <cp:lastPrinted>2012-02-10T12:42:00Z</cp:lastPrinted>
  <dcterms:created xsi:type="dcterms:W3CDTF">2018-09-05T17:38:00Z</dcterms:created>
  <dcterms:modified xsi:type="dcterms:W3CDTF">2018-10-22T20:01:00Z</dcterms:modified>
</cp:coreProperties>
</file>