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C579B6">
      <w:pPr>
        <w:rPr>
          <w:b/>
        </w:rPr>
      </w:pPr>
      <w:r>
        <w:rPr>
          <w:noProof/>
        </w:rPr>
        <w:drawing>
          <wp:inline distT="0" distB="0" distL="0" distR="0" wp14:anchorId="727C970A" wp14:editId="30BB4256">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C579B6" w:rsidRPr="007E4CE6" w:rsidRDefault="00C579B6">
      <w:pPr>
        <w:rPr>
          <w:b/>
        </w:rPr>
      </w:pPr>
    </w:p>
    <w:p w:rsidR="00D006C7" w:rsidRPr="00D006C7" w:rsidRDefault="008C4A98" w:rsidP="006107A2">
      <w:pPr>
        <w:jc w:val="center"/>
        <w:rPr>
          <w:rFonts w:eastAsia="HelenPro-Regular"/>
          <w:b/>
          <w:sz w:val="28"/>
          <w:szCs w:val="28"/>
        </w:rPr>
      </w:pPr>
      <w:proofErr w:type="spellStart"/>
      <w:r w:rsidRPr="008C4A98">
        <w:rPr>
          <w:rFonts w:eastAsia="HelenPro-Regular"/>
          <w:b/>
          <w:i/>
          <w:sz w:val="28"/>
          <w:szCs w:val="28"/>
        </w:rPr>
        <w:t>i</w:t>
      </w:r>
      <w:r w:rsidR="00380D60">
        <w:rPr>
          <w:rFonts w:eastAsia="HelenPro-Regular"/>
          <w:b/>
          <w:sz w:val="28"/>
          <w:szCs w:val="28"/>
        </w:rPr>
        <w:t>DIGOXIN</w:t>
      </w:r>
      <w:proofErr w:type="spellEnd"/>
    </w:p>
    <w:p w:rsidR="0056023B" w:rsidRPr="001A639E" w:rsidRDefault="004A2AA3" w:rsidP="006107A2">
      <w:pPr>
        <w:jc w:val="center"/>
        <w:rPr>
          <w:b/>
          <w:sz w:val="28"/>
          <w:szCs w:val="28"/>
        </w:rPr>
      </w:pPr>
      <w:r>
        <w:rPr>
          <w:b/>
          <w:sz w:val="28"/>
          <w:szCs w:val="28"/>
        </w:rPr>
        <w:t>SERUM</w:t>
      </w:r>
      <w:r w:rsidR="00C32412">
        <w:rPr>
          <w:b/>
          <w:sz w:val="28"/>
          <w:szCs w:val="28"/>
        </w:rPr>
        <w:t xml:space="preserve"> 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4A03BD" w:rsidRPr="00924391" w:rsidRDefault="00924391" w:rsidP="00924391">
      <w:pPr>
        <w:autoSpaceDE w:val="0"/>
        <w:autoSpaceDN w:val="0"/>
        <w:adjustRightInd w:val="0"/>
        <w:rPr>
          <w:rFonts w:eastAsia="HelenPro-Regular"/>
        </w:rPr>
      </w:pPr>
      <w:r w:rsidRPr="00924391">
        <w:rPr>
          <w:rFonts w:eastAsia="HelenPro-Regular"/>
        </w:rPr>
        <w:t xml:space="preserve">The ARCHITECT </w:t>
      </w:r>
      <w:proofErr w:type="spellStart"/>
      <w:r w:rsidRPr="00924391">
        <w:rPr>
          <w:rFonts w:eastAsia="HelenPro-Regular"/>
        </w:rPr>
        <w:t>iDigoxin</w:t>
      </w:r>
      <w:proofErr w:type="spellEnd"/>
      <w:r w:rsidRPr="00924391">
        <w:rPr>
          <w:rFonts w:eastAsia="HelenPro-Regular"/>
        </w:rPr>
        <w:t xml:space="preserve"> assay is an </w:t>
      </w:r>
      <w:r w:rsidRPr="00924391">
        <w:rPr>
          <w:rFonts w:eastAsia="HelenPro-Regular"/>
          <w:i/>
          <w:iCs/>
        </w:rPr>
        <w:t xml:space="preserve">in vitro </w:t>
      </w:r>
      <w:proofErr w:type="spellStart"/>
      <w:r>
        <w:rPr>
          <w:rFonts w:eastAsia="HelenPro-Regular"/>
        </w:rPr>
        <w:t>chemiluminescent</w:t>
      </w:r>
      <w:proofErr w:type="spellEnd"/>
      <w:r>
        <w:rPr>
          <w:rFonts w:eastAsia="HelenPro-Regular"/>
        </w:rPr>
        <w:t xml:space="preserve"> </w:t>
      </w:r>
      <w:proofErr w:type="spellStart"/>
      <w:r w:rsidRPr="00924391">
        <w:rPr>
          <w:rFonts w:eastAsia="HelenPro-Regular"/>
        </w:rPr>
        <w:t>microparticle</w:t>
      </w:r>
      <w:proofErr w:type="spellEnd"/>
      <w:r w:rsidRPr="00924391">
        <w:rPr>
          <w:rFonts w:eastAsia="HelenPro-Regular"/>
        </w:rPr>
        <w:t xml:space="preserve"> immunoassay (CMIA) for the quantitative measurement</w:t>
      </w:r>
      <w:r>
        <w:rPr>
          <w:rFonts w:eastAsia="HelenPro-Regular"/>
        </w:rPr>
        <w:t xml:space="preserve"> </w:t>
      </w:r>
      <w:r w:rsidRPr="00924391">
        <w:rPr>
          <w:rFonts w:eastAsia="HelenPro-Regular"/>
        </w:rPr>
        <w:t xml:space="preserve">of digoxin in human serum or plasma on the ARCHITECT </w:t>
      </w:r>
      <w:proofErr w:type="spellStart"/>
      <w:r w:rsidRPr="00924391">
        <w:rPr>
          <w:rFonts w:eastAsia="HelenPro-Regular"/>
        </w:rPr>
        <w:t>iSystem</w:t>
      </w:r>
      <w:proofErr w:type="spellEnd"/>
      <w:r>
        <w:rPr>
          <w:rFonts w:eastAsia="HelenPro-Regular"/>
        </w:rPr>
        <w:t xml:space="preserve"> </w:t>
      </w:r>
      <w:r w:rsidRPr="00924391">
        <w:rPr>
          <w:rFonts w:eastAsia="HelenPro-Regular"/>
        </w:rPr>
        <w:t>with STAT protocol capability. The measurements obtained are used</w:t>
      </w:r>
      <w:r>
        <w:rPr>
          <w:rFonts w:eastAsia="HelenPro-Regular"/>
        </w:rPr>
        <w:t xml:space="preserve"> </w:t>
      </w:r>
      <w:r w:rsidRPr="00924391">
        <w:rPr>
          <w:rFonts w:eastAsia="HelenPro-Regular"/>
        </w:rPr>
        <w:t>to aid in the diagnosis and treatment of digoxin overdose and in</w:t>
      </w:r>
      <w:r>
        <w:rPr>
          <w:rFonts w:eastAsia="HelenPro-Regular"/>
        </w:rPr>
        <w:t xml:space="preserve"> </w:t>
      </w:r>
      <w:r w:rsidRPr="00924391">
        <w:rPr>
          <w:rFonts w:eastAsia="HelenPro-Regular"/>
        </w:rPr>
        <w:t>monitoring levels of digoxin to help ensure appropriate therapy.</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D84ADA" w:rsidRPr="00924391" w:rsidRDefault="00924391" w:rsidP="00924391">
      <w:pPr>
        <w:autoSpaceDE w:val="0"/>
        <w:autoSpaceDN w:val="0"/>
        <w:adjustRightInd w:val="0"/>
        <w:rPr>
          <w:rFonts w:eastAsia="HelenPro-Regular"/>
        </w:rPr>
      </w:pPr>
      <w:r w:rsidRPr="00924391">
        <w:rPr>
          <w:rFonts w:eastAsia="HelenPro-Regular"/>
        </w:rPr>
        <w:t xml:space="preserve">Digoxin is a potent cardiac glycoside </w:t>
      </w:r>
      <w:r>
        <w:rPr>
          <w:rFonts w:eastAsia="HelenPro-Regular"/>
        </w:rPr>
        <w:t xml:space="preserve">prescribed for the treatment of </w:t>
      </w:r>
      <w:r w:rsidRPr="00924391">
        <w:rPr>
          <w:rFonts w:eastAsia="HelenPro-Regular"/>
        </w:rPr>
        <w:t>patients suffering from congestive heart failure1 or from some types</w:t>
      </w:r>
      <w:r>
        <w:rPr>
          <w:rFonts w:eastAsia="HelenPro-Regular"/>
        </w:rPr>
        <w:t xml:space="preserve"> </w:t>
      </w:r>
      <w:r w:rsidRPr="00924391">
        <w:rPr>
          <w:rFonts w:eastAsia="HelenPro-Regular"/>
        </w:rPr>
        <w:t>of cardiac arrhythmias. Monitoring of serum or plasma digoxin levels</w:t>
      </w:r>
      <w:r>
        <w:rPr>
          <w:rFonts w:eastAsia="HelenPro-Regular"/>
        </w:rPr>
        <w:t xml:space="preserve"> </w:t>
      </w:r>
      <w:r w:rsidRPr="00924391">
        <w:rPr>
          <w:rFonts w:eastAsia="HelenPro-Regular"/>
        </w:rPr>
        <w:t>is performed because the drug has a low therapeutic ratio (a small</w:t>
      </w:r>
      <w:r>
        <w:rPr>
          <w:rFonts w:eastAsia="HelenPro-Regular"/>
        </w:rPr>
        <w:t xml:space="preserve"> </w:t>
      </w:r>
      <w:r w:rsidRPr="00924391">
        <w:rPr>
          <w:rFonts w:eastAsia="HelenPro-Regular"/>
        </w:rPr>
        <w:t>difference between therapeutic and tissue toxic levels) and because</w:t>
      </w:r>
      <w:r>
        <w:rPr>
          <w:rFonts w:eastAsia="HelenPro-Regular"/>
        </w:rPr>
        <w:t xml:space="preserve"> </w:t>
      </w:r>
      <w:r w:rsidRPr="00924391">
        <w:rPr>
          <w:rFonts w:eastAsia="HelenPro-Regular"/>
        </w:rPr>
        <w:t>the symptoms of drug overdose may resemble the original condition</w:t>
      </w:r>
      <w:r>
        <w:rPr>
          <w:rFonts w:eastAsia="HelenPro-Regular"/>
        </w:rPr>
        <w:t xml:space="preserve"> </w:t>
      </w:r>
      <w:r w:rsidRPr="00924391">
        <w:rPr>
          <w:rFonts w:eastAsia="HelenPro-Regular"/>
        </w:rPr>
        <w:t>for which the drug was prescribed. Also, digoxin dosage may require</w:t>
      </w:r>
      <w:r>
        <w:rPr>
          <w:rFonts w:eastAsia="HelenPro-Regular"/>
        </w:rPr>
        <w:t xml:space="preserve"> </w:t>
      </w:r>
      <w:r w:rsidRPr="00924391">
        <w:rPr>
          <w:rFonts w:eastAsia="HelenPro-Regular"/>
        </w:rPr>
        <w:t>adjustment when renal function is impaired or when drugs known</w:t>
      </w:r>
      <w:r>
        <w:rPr>
          <w:rFonts w:eastAsia="HelenPro-Regular"/>
        </w:rPr>
        <w:t xml:space="preserve"> </w:t>
      </w:r>
      <w:r w:rsidRPr="00924391">
        <w:rPr>
          <w:rFonts w:eastAsia="HelenPro-Regular"/>
        </w:rPr>
        <w:t>to alter the pharmacokinetics of digoxin (e.g., quinidine, verapamil,</w:t>
      </w:r>
      <w:r>
        <w:rPr>
          <w:rFonts w:eastAsia="HelenPro-Regular"/>
        </w:rPr>
        <w:t xml:space="preserve"> </w:t>
      </w:r>
      <w:r w:rsidRPr="00924391">
        <w:rPr>
          <w:rFonts w:eastAsia="HelenPro-Regular"/>
        </w:rPr>
        <w:t xml:space="preserve">or </w:t>
      </w:r>
      <w:proofErr w:type="spellStart"/>
      <w:r w:rsidRPr="00924391">
        <w:rPr>
          <w:rFonts w:eastAsia="HelenPro-Regular"/>
        </w:rPr>
        <w:t>amiodarone</w:t>
      </w:r>
      <w:proofErr w:type="spellEnd"/>
      <w:r w:rsidRPr="00924391">
        <w:rPr>
          <w:rFonts w:eastAsia="HelenPro-Regular"/>
        </w:rPr>
        <w:t xml:space="preserve">) are </w:t>
      </w:r>
      <w:proofErr w:type="spellStart"/>
      <w:r w:rsidRPr="00924391">
        <w:rPr>
          <w:rFonts w:eastAsia="HelenPro-Regular"/>
        </w:rPr>
        <w:t>coadministered</w:t>
      </w:r>
      <w:proofErr w:type="spellEnd"/>
      <w:r w:rsidRPr="00924391">
        <w:rPr>
          <w:rFonts w:eastAsia="HelenPro-Regular"/>
        </w:rPr>
        <w:t>. Monitoring serum or plasma</w:t>
      </w:r>
      <w:r>
        <w:rPr>
          <w:rFonts w:eastAsia="HelenPro-Regular"/>
        </w:rPr>
        <w:t xml:space="preserve"> </w:t>
      </w:r>
      <w:r w:rsidRPr="00924391">
        <w:rPr>
          <w:rFonts w:eastAsia="HelenPro-Regular"/>
        </w:rPr>
        <w:t>digoxin levels along with other clinical data can aid the physician in</w:t>
      </w:r>
      <w:r>
        <w:rPr>
          <w:rFonts w:eastAsia="HelenPro-Regular"/>
        </w:rPr>
        <w:t xml:space="preserve"> </w:t>
      </w:r>
      <w:r w:rsidRPr="00924391">
        <w:rPr>
          <w:rFonts w:eastAsia="HelenPro-Regular"/>
        </w:rPr>
        <w:t>adjusting patient dosage to achieve optimal therapeutic effect while</w:t>
      </w:r>
      <w:r>
        <w:rPr>
          <w:rFonts w:eastAsia="HelenPro-Regular"/>
        </w:rPr>
        <w:t xml:space="preserve"> </w:t>
      </w:r>
      <w:r w:rsidRPr="00924391">
        <w:rPr>
          <w:rFonts w:eastAsia="HelenPro-Regular"/>
        </w:rPr>
        <w:t xml:space="preserve">avoiding </w:t>
      </w:r>
      <w:proofErr w:type="spellStart"/>
      <w:r w:rsidRPr="00924391">
        <w:rPr>
          <w:rFonts w:eastAsia="HelenPro-Regular"/>
        </w:rPr>
        <w:t>subtherapeutic</w:t>
      </w:r>
      <w:proofErr w:type="spellEnd"/>
      <w:r w:rsidRPr="00924391">
        <w:rPr>
          <w:rFonts w:eastAsia="HelenPro-Regular"/>
        </w:rPr>
        <w:t xml:space="preserve"> or toxic dosage levels.</w:t>
      </w:r>
    </w:p>
    <w:p w:rsidR="005E48EE" w:rsidRDefault="005E48EE" w:rsidP="008A7F96">
      <w:pPr>
        <w:jc w:val="both"/>
        <w:rPr>
          <w:b/>
          <w:sz w:val="28"/>
          <w:szCs w:val="28"/>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924391" w:rsidRPr="00924391" w:rsidRDefault="00924391" w:rsidP="00924391">
      <w:pPr>
        <w:autoSpaceDE w:val="0"/>
        <w:autoSpaceDN w:val="0"/>
        <w:adjustRightInd w:val="0"/>
        <w:rPr>
          <w:rFonts w:eastAsia="HelenPro-Regular"/>
        </w:rPr>
      </w:pPr>
      <w:r w:rsidRPr="00924391">
        <w:rPr>
          <w:rFonts w:eastAsia="HelenPro-Regular"/>
        </w:rPr>
        <w:t xml:space="preserve">The ARCHITECT </w:t>
      </w:r>
      <w:proofErr w:type="spellStart"/>
      <w:r w:rsidRPr="00924391">
        <w:rPr>
          <w:rFonts w:eastAsia="HelenPro-Regular"/>
        </w:rPr>
        <w:t>iDigoxin</w:t>
      </w:r>
      <w:proofErr w:type="spellEnd"/>
      <w:r w:rsidRPr="00924391">
        <w:rPr>
          <w:rFonts w:eastAsia="HelenPro-Regular"/>
        </w:rPr>
        <w:t xml:space="preserve"> assay is </w:t>
      </w:r>
      <w:r>
        <w:rPr>
          <w:rFonts w:eastAsia="HelenPro-Regular"/>
        </w:rPr>
        <w:t xml:space="preserve">a one-step STAT immunoassay for </w:t>
      </w:r>
      <w:r w:rsidRPr="00924391">
        <w:rPr>
          <w:rFonts w:eastAsia="HelenPro-Regular"/>
        </w:rPr>
        <w:t>the quantitative measurement of digoxin in human serum or plasma</w:t>
      </w:r>
      <w:r>
        <w:rPr>
          <w:rFonts w:eastAsia="HelenPro-Regular"/>
        </w:rPr>
        <w:t xml:space="preserve"> </w:t>
      </w:r>
      <w:r w:rsidRPr="00924391">
        <w:rPr>
          <w:rFonts w:eastAsia="HelenPro-Regular"/>
        </w:rPr>
        <w:t>using CMIA technology with flexible assay protocols, referred to as</w:t>
      </w:r>
      <w:r>
        <w:rPr>
          <w:rFonts w:eastAsia="HelenPro-Regular"/>
        </w:rPr>
        <w:t xml:space="preserve"> </w:t>
      </w:r>
      <w:proofErr w:type="spellStart"/>
      <w:r w:rsidRPr="00924391">
        <w:rPr>
          <w:rFonts w:eastAsia="HelenPro-Regular"/>
        </w:rPr>
        <w:t>Chemiflex</w:t>
      </w:r>
      <w:proofErr w:type="spellEnd"/>
      <w:r w:rsidRPr="00924391">
        <w:rPr>
          <w:rFonts w:eastAsia="HelenPro-Regular"/>
        </w:rPr>
        <w:t>.</w:t>
      </w:r>
    </w:p>
    <w:p w:rsidR="00924391" w:rsidRPr="00924391" w:rsidRDefault="00924391" w:rsidP="00924391">
      <w:pPr>
        <w:autoSpaceDE w:val="0"/>
        <w:autoSpaceDN w:val="0"/>
        <w:adjustRightInd w:val="0"/>
        <w:rPr>
          <w:rFonts w:eastAsia="HelenPro-Regular"/>
        </w:rPr>
      </w:pPr>
      <w:r w:rsidRPr="00924391">
        <w:rPr>
          <w:rFonts w:eastAsia="HelenPro-Regular"/>
        </w:rPr>
        <w:t>1. Sample, anti-digoxin coat</w:t>
      </w:r>
      <w:r>
        <w:rPr>
          <w:rFonts w:eastAsia="HelenPro-Regular"/>
        </w:rPr>
        <w:t xml:space="preserve">ed paramagnetic </w:t>
      </w:r>
      <w:proofErr w:type="spellStart"/>
      <w:r>
        <w:rPr>
          <w:rFonts w:eastAsia="HelenPro-Regular"/>
        </w:rPr>
        <w:t>microparticles</w:t>
      </w:r>
      <w:proofErr w:type="spellEnd"/>
      <w:r>
        <w:rPr>
          <w:rFonts w:eastAsia="HelenPro-Regular"/>
        </w:rPr>
        <w:t xml:space="preserve">, </w:t>
      </w:r>
      <w:r w:rsidRPr="00924391">
        <w:rPr>
          <w:rFonts w:eastAsia="HelenPro-Regular"/>
        </w:rPr>
        <w:t xml:space="preserve">assay diluent, and </w:t>
      </w:r>
      <w:proofErr w:type="spellStart"/>
      <w:r w:rsidRPr="00924391">
        <w:rPr>
          <w:rFonts w:eastAsia="HelenPro-Regular"/>
        </w:rPr>
        <w:t>digoxigenin</w:t>
      </w:r>
      <w:proofErr w:type="spellEnd"/>
      <w:r w:rsidRPr="00924391">
        <w:rPr>
          <w:rFonts w:eastAsia="HelenPro-Regular"/>
        </w:rPr>
        <w:t xml:space="preserve"> </w:t>
      </w:r>
      <w:proofErr w:type="spellStart"/>
      <w:r w:rsidRPr="00924391">
        <w:rPr>
          <w:rFonts w:eastAsia="HelenPro-Regular"/>
        </w:rPr>
        <w:t>acridinium</w:t>
      </w:r>
      <w:proofErr w:type="spellEnd"/>
      <w:r w:rsidRPr="00924391">
        <w:rPr>
          <w:rFonts w:eastAsia="HelenPro-Regular"/>
        </w:rPr>
        <w:t>-labeled conjugate are</w:t>
      </w:r>
      <w:r>
        <w:rPr>
          <w:rFonts w:eastAsia="HelenPro-Regular"/>
        </w:rPr>
        <w:t xml:space="preserve"> </w:t>
      </w:r>
      <w:r w:rsidRPr="00924391">
        <w:rPr>
          <w:rFonts w:eastAsia="HelenPro-Regular"/>
        </w:rPr>
        <w:t>combined to create a reaction mixture. The anti-digoxin coated</w:t>
      </w:r>
      <w:r>
        <w:rPr>
          <w:rFonts w:eastAsia="HelenPro-Regular"/>
        </w:rPr>
        <w:t xml:space="preserve"> </w:t>
      </w:r>
      <w:proofErr w:type="spellStart"/>
      <w:r w:rsidRPr="00924391">
        <w:rPr>
          <w:rFonts w:eastAsia="HelenPro-Regular"/>
        </w:rPr>
        <w:t>microparticles</w:t>
      </w:r>
      <w:proofErr w:type="spellEnd"/>
      <w:r w:rsidRPr="00924391">
        <w:rPr>
          <w:rFonts w:eastAsia="HelenPro-Regular"/>
        </w:rPr>
        <w:t xml:space="preserve"> bind to digoxin present in the sample and to the</w:t>
      </w:r>
      <w:r>
        <w:rPr>
          <w:rFonts w:eastAsia="HelenPro-Regular"/>
        </w:rPr>
        <w:t xml:space="preserve"> </w:t>
      </w:r>
      <w:proofErr w:type="spellStart"/>
      <w:r w:rsidRPr="00924391">
        <w:rPr>
          <w:rFonts w:eastAsia="HelenPro-Regular"/>
        </w:rPr>
        <w:t>digoxigenin</w:t>
      </w:r>
      <w:proofErr w:type="spellEnd"/>
      <w:r w:rsidRPr="00924391">
        <w:rPr>
          <w:rFonts w:eastAsia="HelenPro-Regular"/>
        </w:rPr>
        <w:t xml:space="preserve"> </w:t>
      </w:r>
      <w:proofErr w:type="spellStart"/>
      <w:r w:rsidRPr="00924391">
        <w:rPr>
          <w:rFonts w:eastAsia="HelenPro-Regular"/>
        </w:rPr>
        <w:t>acridinium</w:t>
      </w:r>
      <w:proofErr w:type="spellEnd"/>
      <w:r w:rsidRPr="00924391">
        <w:rPr>
          <w:rFonts w:eastAsia="HelenPro-Regular"/>
        </w:rPr>
        <w:t>-labeled conjugate.</w:t>
      </w:r>
    </w:p>
    <w:p w:rsidR="00924391" w:rsidRPr="00924391" w:rsidRDefault="00924391" w:rsidP="00924391">
      <w:pPr>
        <w:autoSpaceDE w:val="0"/>
        <w:autoSpaceDN w:val="0"/>
        <w:adjustRightInd w:val="0"/>
        <w:rPr>
          <w:rFonts w:eastAsia="HelenPro-Regular"/>
        </w:rPr>
      </w:pPr>
      <w:r w:rsidRPr="00924391">
        <w:rPr>
          <w:rFonts w:eastAsia="HelenPro-Regular"/>
        </w:rPr>
        <w:t>2. After washing, Pre-Trigger and Tri</w:t>
      </w:r>
      <w:r>
        <w:rPr>
          <w:rFonts w:eastAsia="HelenPro-Regular"/>
        </w:rPr>
        <w:t xml:space="preserve">gger Solutions are added to the </w:t>
      </w:r>
      <w:r w:rsidRPr="00924391">
        <w:rPr>
          <w:rFonts w:eastAsia="HelenPro-Regular"/>
        </w:rPr>
        <w:t>reaction mixture.</w:t>
      </w:r>
    </w:p>
    <w:p w:rsidR="00924391" w:rsidRPr="00924391" w:rsidRDefault="00924391" w:rsidP="00924391">
      <w:pPr>
        <w:autoSpaceDE w:val="0"/>
        <w:autoSpaceDN w:val="0"/>
        <w:adjustRightInd w:val="0"/>
        <w:rPr>
          <w:rFonts w:eastAsia="HelenPro-Regular"/>
        </w:rPr>
      </w:pPr>
      <w:r w:rsidRPr="00924391">
        <w:rPr>
          <w:rFonts w:eastAsia="HelenPro-Regular"/>
        </w:rPr>
        <w:t xml:space="preserve">3. The resulting </w:t>
      </w:r>
      <w:proofErr w:type="spellStart"/>
      <w:r w:rsidRPr="00924391">
        <w:rPr>
          <w:rFonts w:eastAsia="HelenPro-Regular"/>
        </w:rPr>
        <w:t>chemiluminescent</w:t>
      </w:r>
      <w:proofErr w:type="spellEnd"/>
      <w:r w:rsidRPr="00924391">
        <w:rPr>
          <w:rFonts w:eastAsia="HelenPro-Regular"/>
        </w:rPr>
        <w:t xml:space="preserve"> reaction is measured as relative</w:t>
      </w:r>
      <w:r>
        <w:rPr>
          <w:rFonts w:eastAsia="HelenPro-Regular"/>
        </w:rPr>
        <w:t xml:space="preserve"> </w:t>
      </w:r>
      <w:r w:rsidRPr="00924391">
        <w:rPr>
          <w:rFonts w:eastAsia="HelenPro-Regular"/>
        </w:rPr>
        <w:t>light units (RLUs). There is an indirect relationship between the</w:t>
      </w:r>
      <w:r>
        <w:rPr>
          <w:rFonts w:eastAsia="HelenPro-Regular"/>
        </w:rPr>
        <w:t xml:space="preserve"> </w:t>
      </w:r>
      <w:r w:rsidRPr="00924391">
        <w:rPr>
          <w:rFonts w:eastAsia="HelenPro-Regular"/>
        </w:rPr>
        <w:t>amount of digoxin in the sample and the RLUs detected by the</w:t>
      </w:r>
      <w:r>
        <w:rPr>
          <w:rFonts w:eastAsia="HelenPro-Regular"/>
        </w:rPr>
        <w:t xml:space="preserve"> </w:t>
      </w:r>
      <w:r w:rsidRPr="00924391">
        <w:rPr>
          <w:rFonts w:eastAsia="HelenPro-Regular"/>
        </w:rPr>
        <w:t xml:space="preserve">ARCHITECT </w:t>
      </w:r>
      <w:proofErr w:type="spellStart"/>
      <w:r w:rsidRPr="00924391">
        <w:rPr>
          <w:rFonts w:eastAsia="HelenPro-Regular"/>
        </w:rPr>
        <w:t>iSystem</w:t>
      </w:r>
      <w:proofErr w:type="spellEnd"/>
      <w:r w:rsidRPr="00924391">
        <w:rPr>
          <w:rFonts w:eastAsia="HelenPro-Regular"/>
        </w:rPr>
        <w:t xml:space="preserve"> optics.</w:t>
      </w:r>
    </w:p>
    <w:p w:rsidR="008A7F96" w:rsidRPr="008036AC" w:rsidRDefault="00924391" w:rsidP="00924391">
      <w:pPr>
        <w:autoSpaceDE w:val="0"/>
        <w:autoSpaceDN w:val="0"/>
        <w:adjustRightInd w:val="0"/>
        <w:rPr>
          <w:rFonts w:eastAsia="HelenPro-Regular"/>
        </w:rPr>
      </w:pPr>
      <w:r w:rsidRPr="00924391">
        <w:rPr>
          <w:rFonts w:eastAsia="HelenPro-Regular"/>
        </w:rPr>
        <w:t>For additional information on system and assay technology, refer to</w:t>
      </w:r>
      <w:r>
        <w:rPr>
          <w:rFonts w:eastAsia="HelenPro-Regular"/>
        </w:rPr>
        <w:t xml:space="preserve"> </w:t>
      </w:r>
      <w:r w:rsidRPr="00924391">
        <w:rPr>
          <w:rFonts w:eastAsia="HelenPro-Regular"/>
        </w:rPr>
        <w:t>the ARCHITECT System Operations Manual, Section 3.</w:t>
      </w:r>
    </w:p>
    <w:p w:rsidR="004E0AFF" w:rsidRDefault="004E0AFF"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Pr="00460600" w:rsidRDefault="00D77B64" w:rsidP="00D77B64">
      <w:pPr>
        <w:autoSpaceDE w:val="0"/>
        <w:autoSpaceDN w:val="0"/>
        <w:adjustRightInd w:val="0"/>
        <w:rPr>
          <w:rFonts w:eastAsia="HelenPro-Bold"/>
          <w:b/>
          <w:bCs/>
        </w:rPr>
      </w:pPr>
      <w:r w:rsidRPr="00460600">
        <w:rPr>
          <w:rFonts w:eastAsia="HelenPro-Bold"/>
          <w:b/>
          <w:bCs/>
        </w:rPr>
        <w:t>Suitable Specimens</w:t>
      </w:r>
    </w:p>
    <w:p w:rsidR="00924391" w:rsidRDefault="00924391" w:rsidP="00470CE6">
      <w:pPr>
        <w:autoSpaceDE w:val="0"/>
        <w:autoSpaceDN w:val="0"/>
        <w:adjustRightInd w:val="0"/>
        <w:ind w:firstLine="360"/>
        <w:rPr>
          <w:rFonts w:eastAsia="HelenPro-Regular"/>
        </w:rPr>
      </w:pPr>
      <w:r>
        <w:rPr>
          <w:noProof/>
        </w:rPr>
        <w:lastRenderedPageBreak/>
        <w:drawing>
          <wp:inline distT="0" distB="0" distL="0" distR="0" wp14:anchorId="6653193E" wp14:editId="1CFC5683">
            <wp:extent cx="413385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33850" cy="1219200"/>
                    </a:xfrm>
                    <a:prstGeom prst="rect">
                      <a:avLst/>
                    </a:prstGeom>
                  </pic:spPr>
                </pic:pic>
              </a:graphicData>
            </a:graphic>
          </wp:inline>
        </w:drawing>
      </w:r>
      <w:r w:rsidRPr="00470CE6">
        <w:rPr>
          <w:rFonts w:eastAsia="HelenPro-Regular"/>
        </w:rPr>
        <w:t xml:space="preserve"> </w:t>
      </w:r>
    </w:p>
    <w:p w:rsidR="00924391" w:rsidRPr="00924391" w:rsidRDefault="00924391" w:rsidP="00924391">
      <w:pPr>
        <w:autoSpaceDE w:val="0"/>
        <w:autoSpaceDN w:val="0"/>
        <w:adjustRightInd w:val="0"/>
        <w:rPr>
          <w:rFonts w:eastAsia="HelenPro-Regular"/>
        </w:rPr>
      </w:pPr>
      <w:r w:rsidRPr="00924391">
        <w:rPr>
          <w:rFonts w:eastAsia="HelenPro-Bold"/>
          <w:b/>
          <w:bCs/>
        </w:rPr>
        <w:t xml:space="preserve">• </w:t>
      </w:r>
      <w:r w:rsidRPr="00924391">
        <w:rPr>
          <w:rFonts w:eastAsia="HelenPro-Regular"/>
        </w:rPr>
        <w:t>Liquid anticoagulants may have a dil</w:t>
      </w:r>
      <w:r>
        <w:rPr>
          <w:rFonts w:eastAsia="HelenPro-Regular"/>
        </w:rPr>
        <w:t xml:space="preserve">ution effect resulting in lower </w:t>
      </w:r>
      <w:r w:rsidRPr="00924391">
        <w:rPr>
          <w:rFonts w:eastAsia="HelenPro-Regular"/>
        </w:rPr>
        <w:t>concentrations for individual patient specimens.</w:t>
      </w:r>
    </w:p>
    <w:p w:rsidR="00AA7423" w:rsidRPr="00470CE6" w:rsidRDefault="00AA7423" w:rsidP="00470CE6">
      <w:pPr>
        <w:autoSpaceDE w:val="0"/>
        <w:autoSpaceDN w:val="0"/>
        <w:adjustRightInd w:val="0"/>
        <w:ind w:firstLine="360"/>
        <w:rPr>
          <w:rFonts w:eastAsia="HelenPro-Regular"/>
        </w:rPr>
      </w:pPr>
      <w:r w:rsidRPr="00470CE6">
        <w:rPr>
          <w:rFonts w:eastAsia="HelenPro-Regular"/>
        </w:rPr>
        <w:t>Do not use specimens with the following conditions:</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heat-inactivated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pooled</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 xml:space="preserve">grossly </w:t>
      </w:r>
      <w:proofErr w:type="spellStart"/>
      <w:r w:rsidRPr="00AA7423">
        <w:rPr>
          <w:rFonts w:eastAsia="HelenPro-Regular"/>
        </w:rPr>
        <w:t>hemolyzed</w:t>
      </w:r>
      <w:proofErr w:type="spellEnd"/>
      <w:r w:rsidR="00924391">
        <w:rPr>
          <w:rFonts w:eastAsia="HelenPro-Regular"/>
        </w:rPr>
        <w:t xml:space="preserve"> </w:t>
      </w:r>
      <w:r w:rsidR="00924391">
        <w:rPr>
          <w:rFonts w:ascii="HelenPro-Regular" w:eastAsia="HelenPro-Regular" w:cs="HelenPro-Regular"/>
          <w:sz w:val="17"/>
          <w:szCs w:val="17"/>
        </w:rPr>
        <w:t>(&gt; 750 mg/</w:t>
      </w:r>
      <w:proofErr w:type="spellStart"/>
      <w:r w:rsidR="00924391">
        <w:rPr>
          <w:rFonts w:ascii="HelenPro-Regular" w:eastAsia="HelenPro-Regular" w:cs="HelenPro-Regular"/>
          <w:sz w:val="17"/>
          <w:szCs w:val="17"/>
        </w:rPr>
        <w:t>dL</w:t>
      </w:r>
      <w:proofErr w:type="spellEnd"/>
      <w:r w:rsidR="00924391">
        <w:rPr>
          <w:rFonts w:ascii="HelenPro-Regular" w:eastAsia="HelenPro-Regular" w:cs="HelenPro-Regular"/>
          <w:sz w:val="17"/>
          <w:szCs w:val="17"/>
        </w:rPr>
        <w:t>)</w:t>
      </w:r>
    </w:p>
    <w:p w:rsidR="00AA7423" w:rsidRPr="00AA7423"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obvious microbial contamination</w:t>
      </w:r>
    </w:p>
    <w:p w:rsidR="00AA7423" w:rsidRPr="00470CE6" w:rsidRDefault="00AA7423" w:rsidP="00470CE6">
      <w:pPr>
        <w:pStyle w:val="ListParagraph"/>
        <w:autoSpaceDE w:val="0"/>
        <w:autoSpaceDN w:val="0"/>
        <w:adjustRightInd w:val="0"/>
        <w:ind w:left="1440"/>
        <w:rPr>
          <w:rFonts w:eastAsia="HelenPro-Regular"/>
        </w:rPr>
      </w:pPr>
      <w:r w:rsidRPr="00AA7423">
        <w:rPr>
          <w:rFonts w:eastAsia="HelenPro-Bold"/>
          <w:b/>
          <w:bCs/>
        </w:rPr>
        <w:t xml:space="preserve">• </w:t>
      </w:r>
      <w:r w:rsidRPr="00AA7423">
        <w:rPr>
          <w:rFonts w:eastAsia="HelenPro-Regular"/>
        </w:rPr>
        <w:t>cadaver specimens or body fluids other than human serum or</w:t>
      </w:r>
      <w:r w:rsidR="00470CE6">
        <w:rPr>
          <w:rFonts w:eastAsia="HelenPro-Regular"/>
        </w:rPr>
        <w:t xml:space="preserve"> </w:t>
      </w:r>
      <w:r w:rsidRPr="00470CE6">
        <w:rPr>
          <w:rFonts w:eastAsia="HelenPro-Regular"/>
        </w:rPr>
        <w:t>plasma</w:t>
      </w:r>
    </w:p>
    <w:p w:rsidR="00D84ADA" w:rsidRPr="005E48EE" w:rsidRDefault="00D84ADA" w:rsidP="00D70A7B">
      <w:pPr>
        <w:autoSpaceDE w:val="0"/>
        <w:autoSpaceDN w:val="0"/>
        <w:adjustRightInd w:val="0"/>
        <w:rPr>
          <w:rFonts w:eastAsia="HelenPro-Regular"/>
        </w:rPr>
      </w:pPr>
    </w:p>
    <w:p w:rsidR="002C2F49" w:rsidRPr="005E48EE" w:rsidRDefault="002C2F49" w:rsidP="00DC16C5">
      <w:pPr>
        <w:autoSpaceDE w:val="0"/>
        <w:autoSpaceDN w:val="0"/>
        <w:adjustRightInd w:val="0"/>
        <w:rPr>
          <w:rFonts w:eastAsia="HelenPro-Regular"/>
          <w:b/>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B24260" w:rsidRDefault="00924391" w:rsidP="000958D6">
      <w:pPr>
        <w:autoSpaceDE w:val="0"/>
        <w:autoSpaceDN w:val="0"/>
        <w:adjustRightInd w:val="0"/>
        <w:ind w:firstLine="720"/>
        <w:rPr>
          <w:rFonts w:eastAsia="HelenPro-Regular"/>
        </w:rPr>
      </w:pPr>
      <w:r>
        <w:rPr>
          <w:noProof/>
        </w:rPr>
        <w:drawing>
          <wp:inline distT="0" distB="0" distL="0" distR="0" wp14:anchorId="0CB6996E" wp14:editId="3D49743C">
            <wp:extent cx="4219575" cy="1095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9575" cy="1095375"/>
                    </a:xfrm>
                    <a:prstGeom prst="rect">
                      <a:avLst/>
                    </a:prstGeom>
                  </pic:spPr>
                </pic:pic>
              </a:graphicData>
            </a:graphic>
          </wp:inline>
        </w:drawing>
      </w:r>
    </w:p>
    <w:p w:rsidR="00924391" w:rsidRPr="00924391" w:rsidRDefault="00924391" w:rsidP="00924391">
      <w:pPr>
        <w:autoSpaceDE w:val="0"/>
        <w:autoSpaceDN w:val="0"/>
        <w:adjustRightInd w:val="0"/>
        <w:rPr>
          <w:rFonts w:eastAsia="HelenPro-Regular"/>
        </w:rPr>
      </w:pPr>
      <w:r w:rsidRPr="00924391">
        <w:rPr>
          <w:rFonts w:eastAsia="HelenPro-Regular"/>
        </w:rPr>
        <w:t>Serum or plasma should be separ</w:t>
      </w:r>
      <w:r>
        <w:rPr>
          <w:rFonts w:eastAsia="HelenPro-Regular"/>
        </w:rPr>
        <w:t xml:space="preserve">ated from the clot or red blood </w:t>
      </w:r>
      <w:r w:rsidRPr="00924391">
        <w:rPr>
          <w:rFonts w:eastAsia="HelenPro-Regular"/>
        </w:rPr>
        <w:t>cells as soon after collection as possible.</w:t>
      </w:r>
    </w:p>
    <w:p w:rsidR="00924391" w:rsidRPr="00924391" w:rsidRDefault="00924391" w:rsidP="00924391">
      <w:pPr>
        <w:autoSpaceDE w:val="0"/>
        <w:autoSpaceDN w:val="0"/>
        <w:adjustRightInd w:val="0"/>
        <w:ind w:firstLine="720"/>
        <w:rPr>
          <w:rFonts w:eastAsia="HelenPro-Regular"/>
        </w:rPr>
      </w:pPr>
      <w:r w:rsidRPr="00924391">
        <w:rPr>
          <w:rFonts w:eastAsia="HelenPro-Regular"/>
        </w:rPr>
        <w:t>Avoid more than 3 freeze/thaw cycles.</w:t>
      </w:r>
    </w:p>
    <w:p w:rsidR="00AA7423" w:rsidRDefault="00AA742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924391" w:rsidRDefault="00F7103F" w:rsidP="00973EAF">
      <w:pPr>
        <w:ind w:firstLine="720"/>
      </w:pPr>
      <w:r w:rsidRPr="00924391">
        <w:rPr>
          <w:rFonts w:eastAsia="HelenPro-Regular"/>
        </w:rPr>
        <w:t xml:space="preserve"> </w:t>
      </w:r>
      <w:r w:rsidR="00924391" w:rsidRPr="00924391">
        <w:rPr>
          <w:rFonts w:eastAsia="HelenPro-Regular"/>
        </w:rPr>
        <w:t xml:space="preserve">1P32 ARCHITECT </w:t>
      </w:r>
      <w:proofErr w:type="spellStart"/>
      <w:r w:rsidR="00924391" w:rsidRPr="00924391">
        <w:rPr>
          <w:rFonts w:eastAsia="HelenPro-Regular"/>
        </w:rPr>
        <w:t>iDigoxin</w:t>
      </w:r>
      <w:proofErr w:type="spellEnd"/>
      <w:r w:rsidR="00924391" w:rsidRPr="00924391">
        <w:rPr>
          <w:rFonts w:eastAsia="HelenPro-Regular"/>
        </w:rPr>
        <w:t xml:space="preserve"> Reagent Kit</w:t>
      </w:r>
    </w:p>
    <w:p w:rsidR="00A062F7" w:rsidRDefault="00A062F7" w:rsidP="00973EAF">
      <w:pPr>
        <w:ind w:firstLine="720"/>
        <w:rPr>
          <w:b/>
        </w:rPr>
      </w:pPr>
    </w:p>
    <w:p w:rsidR="003D1558" w:rsidRDefault="003D1558" w:rsidP="00973EAF">
      <w:pPr>
        <w:ind w:firstLine="720"/>
        <w:rPr>
          <w:b/>
        </w:rPr>
      </w:pPr>
    </w:p>
    <w:p w:rsidR="003D1558" w:rsidRDefault="003D1558"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BC5E5F" w:rsidRPr="00BC5E5F">
        <w:rPr>
          <w:rFonts w:eastAsia="HelenPro-Regular"/>
          <w:i/>
        </w:rPr>
        <w:t>i</w:t>
      </w:r>
      <w:proofErr w:type="spellEnd"/>
      <w:r w:rsidR="00BC5E5F">
        <w:rPr>
          <w:rFonts w:eastAsia="HelenPro-Regular"/>
        </w:rPr>
        <w:t xml:space="preserve"> </w:t>
      </w:r>
      <w:r w:rsidR="00BC5E5F" w:rsidRPr="00924391">
        <w:rPr>
          <w:rFonts w:eastAsia="HelenPro-Regular"/>
        </w:rPr>
        <w:t>Digoxin</w:t>
      </w:r>
      <w:r w:rsidR="00BC5E5F" w:rsidRPr="00B54C79">
        <w:rPr>
          <w:rFonts w:eastAsia="HelenPro-Regular"/>
        </w:rPr>
        <w:t xml:space="preserve">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835A84" w:rsidRPr="00924391" w:rsidRDefault="00835A84" w:rsidP="00835A84">
      <w:pPr>
        <w:autoSpaceDE w:val="0"/>
        <w:autoSpaceDN w:val="0"/>
        <w:adjustRightInd w:val="0"/>
        <w:rPr>
          <w:rFonts w:eastAsia="HelenPro-Regular"/>
        </w:rPr>
      </w:pPr>
      <w:r w:rsidRPr="00924391">
        <w:rPr>
          <w:rFonts w:eastAsia="HelenPro-Bold"/>
          <w:b/>
          <w:bCs/>
        </w:rPr>
        <w:lastRenderedPageBreak/>
        <w:t>•</w:t>
      </w:r>
      <w:r w:rsidRPr="00924391">
        <w:rPr>
          <w:rFonts w:eastAsia="HelenPro-Regular"/>
        </w:rPr>
        <w:t xml:space="preserve"> </w:t>
      </w:r>
      <w:r w:rsidR="00924391" w:rsidRPr="00924391">
        <w:rPr>
          <w:rFonts w:eastAsia="HelenPro-Regular"/>
        </w:rPr>
        <w:t xml:space="preserve">1P32-01 ARCHITECT </w:t>
      </w:r>
      <w:proofErr w:type="spellStart"/>
      <w:r w:rsidR="00BC5E5F" w:rsidRPr="00BC5E5F">
        <w:rPr>
          <w:rFonts w:eastAsia="HelenPro-Regular"/>
          <w:i/>
        </w:rPr>
        <w:t>i</w:t>
      </w:r>
      <w:proofErr w:type="spellEnd"/>
      <w:r w:rsidR="00BC5E5F">
        <w:rPr>
          <w:rFonts w:eastAsia="HelenPro-Regular"/>
        </w:rPr>
        <w:t xml:space="preserve"> </w:t>
      </w:r>
      <w:r w:rsidR="00BC5E5F" w:rsidRPr="00924391">
        <w:rPr>
          <w:rFonts w:eastAsia="HelenPro-Regular"/>
        </w:rPr>
        <w:t>Digoxin</w:t>
      </w:r>
      <w:r w:rsidR="00BC5E5F" w:rsidRPr="00B54C79">
        <w:rPr>
          <w:rFonts w:eastAsia="HelenPro-Regular"/>
        </w:rPr>
        <w:t xml:space="preserve"> </w:t>
      </w:r>
      <w:r w:rsidR="00924391" w:rsidRPr="00924391">
        <w:rPr>
          <w:rFonts w:eastAsia="HelenPro-Regular"/>
        </w:rPr>
        <w:t>Calibrators</w:t>
      </w:r>
    </w:p>
    <w:p w:rsidR="00835A84" w:rsidRPr="00835A84" w:rsidRDefault="00835A84" w:rsidP="00835A84">
      <w:pPr>
        <w:autoSpaceDE w:val="0"/>
        <w:autoSpaceDN w:val="0"/>
        <w:adjustRightInd w:val="0"/>
        <w:rPr>
          <w:rFonts w:eastAsia="HelenPro-Bold"/>
          <w:b/>
          <w:bCs/>
        </w:rPr>
      </w:pPr>
      <w:r w:rsidRPr="00835A84">
        <w:rPr>
          <w:rFonts w:eastAsia="HelenPro-Bold"/>
          <w:b/>
          <w:bCs/>
        </w:rPr>
        <w:t>•</w:t>
      </w:r>
      <w:r w:rsidRPr="00835A84">
        <w:rPr>
          <w:rFonts w:eastAsia="HelenPro-Regular"/>
        </w:rPr>
        <w:t xml:space="preserve"> </w:t>
      </w:r>
      <w:r w:rsidRPr="00835A84">
        <w:rPr>
          <w:rFonts w:eastAsia="HelenPro-Bold"/>
          <w:b/>
          <w:bCs/>
        </w:rPr>
        <w:t>•</w:t>
      </w:r>
      <w:r w:rsidRPr="00835A84">
        <w:rPr>
          <w:rFonts w:eastAsia="HelenPro-Regular"/>
        </w:rPr>
        <w:t xml:space="preserve"> Commercially available control material </w:t>
      </w:r>
    </w:p>
    <w:p w:rsidR="008036AC" w:rsidRPr="00B54C79" w:rsidRDefault="00B54C79" w:rsidP="00835A84">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38442D" w:rsidRDefault="00924391" w:rsidP="00DC16C5">
      <w:pPr>
        <w:autoSpaceDE w:val="0"/>
        <w:autoSpaceDN w:val="0"/>
        <w:adjustRightInd w:val="0"/>
        <w:rPr>
          <w:rFonts w:eastAsia="HelenPro-Regular"/>
        </w:rPr>
      </w:pPr>
      <w:r>
        <w:rPr>
          <w:noProof/>
        </w:rPr>
        <w:drawing>
          <wp:inline distT="0" distB="0" distL="0" distR="0" wp14:anchorId="0991EF40" wp14:editId="3E941EA0">
            <wp:extent cx="3220985" cy="20095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20322" cy="2009140"/>
                    </a:xfrm>
                    <a:prstGeom prst="rect">
                      <a:avLst/>
                    </a:prstGeom>
                  </pic:spPr>
                </pic:pic>
              </a:graphicData>
            </a:graphic>
          </wp:inline>
        </w:drawing>
      </w:r>
    </w:p>
    <w:p w:rsidR="00924391" w:rsidRDefault="00924391" w:rsidP="00DC16C5">
      <w:pPr>
        <w:autoSpaceDE w:val="0"/>
        <w:autoSpaceDN w:val="0"/>
        <w:adjustRightInd w:val="0"/>
        <w:rPr>
          <w:rFonts w:eastAsia="HelenPro-Regular"/>
        </w:rPr>
      </w:pPr>
      <w:r>
        <w:rPr>
          <w:noProof/>
        </w:rPr>
        <w:drawing>
          <wp:inline distT="0" distB="0" distL="0" distR="0" wp14:anchorId="0F0C1144" wp14:editId="424B2BFA">
            <wp:extent cx="3416844" cy="14141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20581" cy="1415676"/>
                    </a:xfrm>
                    <a:prstGeom prst="rect">
                      <a:avLst/>
                    </a:prstGeom>
                  </pic:spPr>
                </pic:pic>
              </a:graphicData>
            </a:graphic>
          </wp:inline>
        </w:drawing>
      </w:r>
    </w:p>
    <w:p w:rsidR="00924391" w:rsidRPr="00DC16C5" w:rsidRDefault="00924391" w:rsidP="00DC16C5">
      <w:pPr>
        <w:autoSpaceDE w:val="0"/>
        <w:autoSpaceDN w:val="0"/>
        <w:adjustRightInd w:val="0"/>
        <w:rPr>
          <w:rFonts w:eastAsia="HelenPro-Regular"/>
        </w:rPr>
      </w:pPr>
      <w:r>
        <w:rPr>
          <w:noProof/>
        </w:rPr>
        <w:lastRenderedPageBreak/>
        <w:drawing>
          <wp:inline distT="0" distB="0" distL="0" distR="0" wp14:anchorId="51ADF2A8" wp14:editId="383F0B43">
            <wp:extent cx="3389600" cy="2456121"/>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96244" cy="2460935"/>
                    </a:xfrm>
                    <a:prstGeom prst="rect">
                      <a:avLst/>
                    </a:prstGeom>
                  </pic:spPr>
                </pic:pic>
              </a:graphicData>
            </a:graphic>
          </wp:inline>
        </w:drawing>
      </w:r>
      <w:r w:rsidRPr="00924391">
        <w:rPr>
          <w:noProof/>
        </w:rPr>
        <w:t xml:space="preserve"> </w:t>
      </w:r>
      <w:r>
        <w:rPr>
          <w:noProof/>
        </w:rPr>
        <w:drawing>
          <wp:inline distT="0" distB="0" distL="0" distR="0" wp14:anchorId="5C2F976C" wp14:editId="74F20EB9">
            <wp:extent cx="3380026" cy="216904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86984" cy="2173507"/>
                    </a:xfrm>
                    <a:prstGeom prst="rect">
                      <a:avLst/>
                    </a:prstGeom>
                  </pic:spPr>
                </pic:pic>
              </a:graphicData>
            </a:graphic>
          </wp:inline>
        </w:drawing>
      </w:r>
    </w:p>
    <w:p w:rsidR="00B54C79" w:rsidRDefault="00B54C79" w:rsidP="0038442D">
      <w:pPr>
        <w:autoSpaceDE w:val="0"/>
        <w:autoSpaceDN w:val="0"/>
        <w:adjustRightInd w:val="0"/>
        <w:rPr>
          <w:rFonts w:eastAsia="HelenPro-Bold"/>
          <w:b/>
          <w:bCs/>
        </w:rPr>
      </w:pPr>
    </w:p>
    <w:p w:rsidR="00835A84" w:rsidRDefault="00835A8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Before loading the ARCHITECT Reagent Kit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B54C79" w:rsidRPr="00B54C79" w:rsidRDefault="00FB7839" w:rsidP="00FB7839">
      <w:pPr>
        <w:pStyle w:val="ListParagraph"/>
        <w:autoSpaceDE w:val="0"/>
        <w:autoSpaceDN w:val="0"/>
        <w:adjustRightInd w:val="0"/>
        <w:rPr>
          <w:rFonts w:eastAsia="HelenPro-Regular"/>
        </w:rPr>
      </w:pPr>
      <w:r>
        <w:rPr>
          <w:noProof/>
        </w:rPr>
        <w:drawing>
          <wp:inline distT="0" distB="0" distL="0" distR="0" wp14:anchorId="4F1C084D" wp14:editId="592E3607">
            <wp:extent cx="4248150" cy="2676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48150" cy="2676525"/>
                    </a:xfrm>
                    <a:prstGeom prst="rect">
                      <a:avLst/>
                    </a:prstGeom>
                  </pic:spPr>
                </pic:pic>
              </a:graphicData>
            </a:graphic>
          </wp:inline>
        </w:drawing>
      </w:r>
    </w:p>
    <w:p w:rsidR="0038442D" w:rsidRPr="00B54C79" w:rsidRDefault="00B54C79" w:rsidP="00B54C79">
      <w:pPr>
        <w:pStyle w:val="ListParagraph"/>
        <w:numPr>
          <w:ilvl w:val="0"/>
          <w:numId w:val="17"/>
        </w:numPr>
        <w:autoSpaceDE w:val="0"/>
        <w:autoSpaceDN w:val="0"/>
        <w:adjustRightInd w:val="0"/>
        <w:rPr>
          <w:rFonts w:eastAsia="HelenPro-Regular"/>
        </w:rPr>
      </w:pPr>
      <w:r w:rsidRPr="00B54C79">
        <w:rPr>
          <w:rFonts w:eastAsia="HelenPro-Regular"/>
        </w:rPr>
        <w:t xml:space="preserve">Reagents may be stored on or off the 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 xml:space="preserve">System. If reagents are removed from the system, store them at 2-8°C (with </w:t>
      </w:r>
      <w:proofErr w:type="spellStart"/>
      <w:r w:rsidRPr="00B54C79">
        <w:rPr>
          <w:rFonts w:eastAsia="HelenPro-Regular"/>
        </w:rPr>
        <w:t>septums</w:t>
      </w:r>
      <w:proofErr w:type="spellEnd"/>
      <w:r w:rsidRPr="00B54C79">
        <w:rPr>
          <w:rFonts w:eastAsia="HelenPro-Regular"/>
        </w:rPr>
        <w:t xml:space="preserve"> and replacement caps) in an upright position. For reagents stored off the system, it is recommended that they be stored in their original trays and boxes to ensure they remain upright. </w:t>
      </w:r>
      <w:r w:rsidRPr="00B54C79">
        <w:rPr>
          <w:rFonts w:eastAsia="HelenPro-Bold"/>
          <w:b/>
          <w:bCs/>
        </w:rPr>
        <w:t xml:space="preserve">If the </w:t>
      </w:r>
      <w:proofErr w:type="spellStart"/>
      <w:r w:rsidRPr="00B54C79">
        <w:rPr>
          <w:rFonts w:eastAsia="HelenPro-Bold"/>
          <w:b/>
          <w:bCs/>
        </w:rPr>
        <w:t>microparticle</w:t>
      </w:r>
      <w:proofErr w:type="spellEnd"/>
      <w:r w:rsidRPr="00B54C79">
        <w:rPr>
          <w:rFonts w:eastAsia="HelenPro-Bold"/>
          <w:b/>
          <w:bCs/>
        </w:rPr>
        <w:t xml:space="preserve"> bottle does</w:t>
      </w:r>
      <w:r w:rsidRPr="00B54C79">
        <w:rPr>
          <w:rFonts w:eastAsia="HelenPro-Regular"/>
        </w:rPr>
        <w:t xml:space="preserve"> </w:t>
      </w:r>
      <w:r w:rsidRPr="00B54C79">
        <w:rPr>
          <w:rFonts w:eastAsia="HelenPro-Bold"/>
          <w:b/>
          <w:bCs/>
        </w:rPr>
        <w:t>not remain upright (with a septum installed) while in refrigerated</w:t>
      </w:r>
      <w:r w:rsidRPr="00B54C79">
        <w:rPr>
          <w:rFonts w:eastAsia="HelenPro-Regular"/>
        </w:rPr>
        <w:t xml:space="preserve"> </w:t>
      </w:r>
      <w:r w:rsidRPr="00B54C79">
        <w:rPr>
          <w:rFonts w:eastAsia="HelenPro-Bold"/>
          <w:b/>
          <w:bCs/>
        </w:rPr>
        <w:t xml:space="preserve">storage off the system, the reagent kit must be discarded. </w:t>
      </w:r>
      <w:r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3D1558" w:rsidRDefault="003D1558"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FB7839" w:rsidP="009F648F">
      <w:pPr>
        <w:pStyle w:val="txt"/>
        <w:ind w:left="0"/>
        <w:rPr>
          <w:sz w:val="24"/>
          <w:szCs w:val="24"/>
        </w:rPr>
      </w:pPr>
      <w:r>
        <w:rPr>
          <w:noProof/>
        </w:rPr>
        <w:lastRenderedPageBreak/>
        <w:drawing>
          <wp:inline distT="0" distB="0" distL="0" distR="0" wp14:anchorId="1B4A272F" wp14:editId="283D0D17">
            <wp:extent cx="4238625" cy="3124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38625" cy="3124200"/>
                    </a:xfrm>
                    <a:prstGeom prst="rect">
                      <a:avLst/>
                    </a:prstGeom>
                  </pic:spPr>
                </pic:pic>
              </a:graphicData>
            </a:graphic>
          </wp:inline>
        </w:drawing>
      </w: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81500" cy="1590675"/>
                    </a:xfrm>
                    <a:prstGeom prst="rect">
                      <a:avLst/>
                    </a:prstGeom>
                  </pic:spPr>
                </pic:pic>
              </a:graphicData>
            </a:graphic>
          </wp:inline>
        </w:drawing>
      </w:r>
    </w:p>
    <w:p w:rsidR="00C3571A" w:rsidRDefault="00B36577" w:rsidP="00C3571A">
      <w:pPr>
        <w:autoSpaceDE w:val="0"/>
        <w:autoSpaceDN w:val="0"/>
        <w:adjustRightInd w:val="0"/>
      </w:pPr>
      <w:r w:rsidRPr="00100BF8">
        <w:rPr>
          <w:b/>
        </w:rPr>
        <w:t>Calibrator:</w:t>
      </w:r>
      <w:r w:rsidRPr="00100BF8">
        <w:t xml:space="preserve">  </w:t>
      </w:r>
    </w:p>
    <w:p w:rsidR="00835A84" w:rsidRPr="00835A84" w:rsidRDefault="00835A84" w:rsidP="00835A84">
      <w:pPr>
        <w:autoSpaceDE w:val="0"/>
        <w:autoSpaceDN w:val="0"/>
        <w:adjustRightInd w:val="0"/>
        <w:rPr>
          <w:rFonts w:eastAsia="HelenPro-Regular"/>
        </w:rPr>
      </w:pPr>
      <w:r w:rsidRPr="00835A84">
        <w:rPr>
          <w:rFonts w:eastAsia="HelenPro-Bold"/>
          <w:b/>
          <w:bCs/>
        </w:rPr>
        <w:t>•</w:t>
      </w:r>
      <w:r w:rsidRPr="00835A84">
        <w:rPr>
          <w:rFonts w:eastAsia="HelenPro-Regular"/>
        </w:rPr>
        <w:t xml:space="preserve"> </w:t>
      </w:r>
      <w:r w:rsidR="00FB7839" w:rsidRPr="00924391">
        <w:rPr>
          <w:rFonts w:eastAsia="HelenPro-Regular"/>
        </w:rPr>
        <w:t xml:space="preserve">1P32-01 ARCHITECT </w:t>
      </w:r>
      <w:proofErr w:type="spellStart"/>
      <w:r w:rsidR="00BC5E5F" w:rsidRPr="00BC5E5F">
        <w:rPr>
          <w:rFonts w:eastAsia="HelenPro-Regular"/>
          <w:i/>
        </w:rPr>
        <w:t>i</w:t>
      </w:r>
      <w:proofErr w:type="spellEnd"/>
      <w:r w:rsidR="00BC5E5F">
        <w:rPr>
          <w:rFonts w:eastAsia="HelenPro-Regular"/>
        </w:rPr>
        <w:t xml:space="preserve"> </w:t>
      </w:r>
      <w:r w:rsidR="00BC5E5F" w:rsidRPr="00924391">
        <w:rPr>
          <w:rFonts w:eastAsia="HelenPro-Regular"/>
        </w:rPr>
        <w:t>Digoxin</w:t>
      </w:r>
      <w:r w:rsidR="00BC5E5F" w:rsidRPr="00B54C79">
        <w:rPr>
          <w:rFonts w:eastAsia="HelenPro-Regular"/>
        </w:rPr>
        <w:t xml:space="preserve"> </w:t>
      </w:r>
      <w:r w:rsidR="00FB7839" w:rsidRPr="00924391">
        <w:rPr>
          <w:rFonts w:eastAsia="HelenPro-Regular"/>
        </w:rPr>
        <w:t>Calibrators</w:t>
      </w:r>
    </w:p>
    <w:p w:rsidR="00507B0C" w:rsidRPr="00AA7423" w:rsidRDefault="00507B0C" w:rsidP="00507B0C">
      <w:pPr>
        <w:spacing w:after="43"/>
        <w:rPr>
          <w:i/>
          <w:color w:val="FF0000"/>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835A84">
        <w:rPr>
          <w:rFonts w:eastAsia="HelenPro-Regular"/>
        </w:rPr>
        <w:t>Commercially available controls</w:t>
      </w:r>
    </w:p>
    <w:p w:rsidR="0025031C" w:rsidRPr="00162EEA" w:rsidRDefault="0025031C" w:rsidP="00470CE6">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56BB9" w:rsidRDefault="005E3AB5" w:rsidP="00656BB9">
      <w:pPr>
        <w:spacing w:after="43"/>
        <w:ind w:firstLine="720"/>
      </w:pPr>
      <w:r w:rsidRPr="007E4CE6">
        <w:rPr>
          <w:b/>
        </w:rPr>
        <w:t>Calibrator Required:</w:t>
      </w:r>
      <w:r w:rsidRPr="007E4CE6">
        <w:t xml:space="preserve">  </w:t>
      </w:r>
    </w:p>
    <w:p w:rsidR="00714F24" w:rsidRDefault="00FB7839" w:rsidP="0025031C">
      <w:pPr>
        <w:spacing w:after="43"/>
        <w:ind w:firstLine="720"/>
        <w:rPr>
          <w:color w:val="000000"/>
          <w:szCs w:val="14"/>
        </w:rPr>
      </w:pPr>
      <w:r w:rsidRPr="00924391">
        <w:rPr>
          <w:rFonts w:eastAsia="HelenPro-Regular"/>
        </w:rPr>
        <w:t xml:space="preserve">1P32-01 ARCHITECT </w:t>
      </w:r>
      <w:proofErr w:type="spellStart"/>
      <w:r w:rsidR="00BC5E5F" w:rsidRPr="00BC5E5F">
        <w:rPr>
          <w:rFonts w:eastAsia="HelenPro-Regular"/>
          <w:i/>
        </w:rPr>
        <w:t>i</w:t>
      </w:r>
      <w:proofErr w:type="spellEnd"/>
      <w:r w:rsidR="00BC5E5F">
        <w:rPr>
          <w:rFonts w:eastAsia="HelenPro-Regular"/>
        </w:rPr>
        <w:t xml:space="preserve"> </w:t>
      </w:r>
      <w:r w:rsidR="00BC5E5F" w:rsidRPr="00924391">
        <w:rPr>
          <w:rFonts w:eastAsia="HelenPro-Regular"/>
        </w:rPr>
        <w:t>Digoxin</w:t>
      </w:r>
      <w:r w:rsidR="00BC5E5F" w:rsidRPr="00B54C79">
        <w:rPr>
          <w:rFonts w:eastAsia="HelenPro-Regular"/>
        </w:rPr>
        <w:t xml:space="preserve"> </w:t>
      </w:r>
      <w:r w:rsidRPr="00924391">
        <w:rPr>
          <w:rFonts w:eastAsia="HelenPro-Regular"/>
        </w:rPr>
        <w:t>Calibrators</w:t>
      </w:r>
    </w:p>
    <w:p w:rsidR="00FB7839" w:rsidRDefault="00FB7839" w:rsidP="004F5F8A">
      <w:pPr>
        <w:ind w:firstLine="720"/>
        <w:rPr>
          <w:b/>
        </w:rPr>
      </w:pPr>
    </w:p>
    <w:p w:rsidR="0025031C" w:rsidRPr="0025031C" w:rsidRDefault="0025031C" w:rsidP="004F5F8A">
      <w:pPr>
        <w:ind w:firstLine="720"/>
        <w:rPr>
          <w:b/>
        </w:rPr>
      </w:pPr>
      <w:r w:rsidRPr="0025031C">
        <w:rPr>
          <w:b/>
        </w:rPr>
        <w:t>Reagents:</w:t>
      </w:r>
    </w:p>
    <w:p w:rsidR="00816ACE" w:rsidRPr="00A06293" w:rsidRDefault="00A06293" w:rsidP="00A06293">
      <w:pPr>
        <w:autoSpaceDE w:val="0"/>
        <w:autoSpaceDN w:val="0"/>
        <w:adjustRightInd w:val="0"/>
        <w:ind w:left="720"/>
        <w:rPr>
          <w:rFonts w:eastAsia="HelenPro-Regular"/>
        </w:rPr>
      </w:pPr>
      <w:r w:rsidRPr="00A06293">
        <w:rPr>
          <w:rFonts w:eastAsia="HelenPro-Regular"/>
        </w:rPr>
        <w:t xml:space="preserve">6 Bottles (4.0 mL each) of </w:t>
      </w:r>
      <w:proofErr w:type="spellStart"/>
      <w:r w:rsidRPr="00A06293">
        <w:rPr>
          <w:rFonts w:eastAsia="HelenPro-Regular"/>
          <w:i/>
          <w:iCs/>
        </w:rPr>
        <w:t>i</w:t>
      </w:r>
      <w:proofErr w:type="spellEnd"/>
      <w:r w:rsidRPr="00A06293">
        <w:rPr>
          <w:rFonts w:eastAsia="HelenPro-Regular"/>
          <w:i/>
          <w:iCs/>
        </w:rPr>
        <w:t xml:space="preserve"> </w:t>
      </w:r>
      <w:r w:rsidRPr="00A06293">
        <w:rPr>
          <w:rFonts w:eastAsia="HelenPro-Regular"/>
        </w:rPr>
        <w:t>Digoxin Calibrators. Calibra</w:t>
      </w:r>
      <w:r>
        <w:rPr>
          <w:rFonts w:eastAsia="HelenPro-Regular"/>
        </w:rPr>
        <w:t xml:space="preserve">tor A </w:t>
      </w:r>
      <w:r w:rsidRPr="00A06293">
        <w:rPr>
          <w:rFonts w:eastAsia="HelenPro-Regular"/>
        </w:rPr>
        <w:t>contains normal hum</w:t>
      </w:r>
      <w:r>
        <w:rPr>
          <w:rFonts w:eastAsia="HelenPro-Regular"/>
        </w:rPr>
        <w:t xml:space="preserve">an serum. Calibrators B-F </w:t>
      </w:r>
      <w:r w:rsidRPr="00A06293">
        <w:rPr>
          <w:rFonts w:eastAsia="HelenPro-Regular"/>
        </w:rPr>
        <w:t>contain</w:t>
      </w:r>
      <w:r>
        <w:rPr>
          <w:rFonts w:eastAsia="HelenPro-Regular"/>
        </w:rPr>
        <w:t xml:space="preserve"> </w:t>
      </w:r>
      <w:r w:rsidRPr="00A06293">
        <w:rPr>
          <w:rFonts w:eastAsia="HelenPro-Regular"/>
        </w:rPr>
        <w:t>normal human serum with digoxin.</w:t>
      </w:r>
    </w:p>
    <w:p w:rsidR="00941AE5" w:rsidRPr="00A06293" w:rsidRDefault="00941AE5" w:rsidP="00941AE5">
      <w:pPr>
        <w:autoSpaceDE w:val="0"/>
        <w:autoSpaceDN w:val="0"/>
        <w:adjustRightInd w:val="0"/>
        <w:rPr>
          <w:rFonts w:eastAsia="HelenPro-Regular"/>
        </w:rPr>
      </w:pPr>
    </w:p>
    <w:p w:rsidR="00F3700B" w:rsidRPr="00A06293" w:rsidRDefault="0037463A" w:rsidP="00F3700B">
      <w:pPr>
        <w:ind w:left="720"/>
        <w:rPr>
          <w:b/>
        </w:rPr>
      </w:pPr>
      <w:r w:rsidRPr="00A06293">
        <w:rPr>
          <w:b/>
        </w:rPr>
        <w:t xml:space="preserve">Calibrator Preparation: </w:t>
      </w:r>
    </w:p>
    <w:p w:rsidR="00DA0D83" w:rsidRPr="00941AE5" w:rsidRDefault="00A06293" w:rsidP="00A06293">
      <w:pPr>
        <w:autoSpaceDE w:val="0"/>
        <w:autoSpaceDN w:val="0"/>
        <w:adjustRightInd w:val="0"/>
        <w:ind w:left="720"/>
        <w:rPr>
          <w:rFonts w:eastAsia="HelenPro-Regular"/>
        </w:rPr>
      </w:pPr>
      <w:r w:rsidRPr="00A06293">
        <w:rPr>
          <w:rFonts w:eastAsia="HelenPro-Regular"/>
        </w:rPr>
        <w:t xml:space="preserve">ARCHITECT </w:t>
      </w:r>
      <w:proofErr w:type="spellStart"/>
      <w:r w:rsidRPr="00A06293">
        <w:rPr>
          <w:rFonts w:eastAsia="HelenPro-Regular"/>
          <w:i/>
          <w:iCs/>
        </w:rPr>
        <w:t>i</w:t>
      </w:r>
      <w:proofErr w:type="spellEnd"/>
      <w:r w:rsidRPr="00A06293">
        <w:rPr>
          <w:rFonts w:eastAsia="HelenPro-Regular"/>
          <w:i/>
          <w:iCs/>
        </w:rPr>
        <w:t xml:space="preserve"> </w:t>
      </w:r>
      <w:r w:rsidRPr="00A06293">
        <w:rPr>
          <w:rFonts w:eastAsia="HelenPro-Regular"/>
        </w:rPr>
        <w:t>Digoxin Calibrators may be</w:t>
      </w:r>
      <w:r>
        <w:rPr>
          <w:rFonts w:eastAsia="HelenPro-Regular"/>
        </w:rPr>
        <w:t xml:space="preserve"> used immediately after removal </w:t>
      </w:r>
      <w:r w:rsidRPr="00A06293">
        <w:rPr>
          <w:rFonts w:eastAsia="HelenPro-Regular"/>
        </w:rPr>
        <w:t>from 2-8°C storage. Prior to use, mix by gentle inversion (5</w:t>
      </w:r>
      <w:r w:rsidRPr="00A06293">
        <w:rPr>
          <w:rFonts w:ascii="MS Mincho" w:eastAsia="MS Mincho" w:hAnsi="MS Mincho" w:cs="MS Mincho" w:hint="eastAsia"/>
        </w:rPr>
        <w:t>‑</w:t>
      </w:r>
      <w:r w:rsidRPr="00A06293">
        <w:rPr>
          <w:rFonts w:eastAsia="HelenPro-Regular"/>
        </w:rPr>
        <w:t>10 times).</w:t>
      </w:r>
      <w:r>
        <w:rPr>
          <w:rFonts w:eastAsia="HelenPro-Regular"/>
        </w:rPr>
        <w:t xml:space="preserve"> </w:t>
      </w:r>
      <w:r w:rsidRPr="00A06293">
        <w:rPr>
          <w:rFonts w:eastAsia="HelenPro-Regular"/>
        </w:rPr>
        <w:t>After each use, tightly close the caps and return the calibrators to 2-8°C</w:t>
      </w:r>
      <w:r>
        <w:rPr>
          <w:rFonts w:eastAsia="HelenPro-Regular"/>
        </w:rPr>
        <w:t xml:space="preserve"> </w:t>
      </w:r>
      <w:r w:rsidRPr="00A06293">
        <w:rPr>
          <w:rFonts w:eastAsia="HelenPro-Regular"/>
        </w:rPr>
        <w:t>storage.</w:t>
      </w:r>
    </w:p>
    <w:p w:rsidR="00041A33" w:rsidRDefault="00041A33" w:rsidP="00AD402C">
      <w:pPr>
        <w:ind w:firstLine="720"/>
        <w:rPr>
          <w:b/>
        </w:rPr>
      </w:pPr>
    </w:p>
    <w:p w:rsidR="004F5F8A" w:rsidRPr="005E48EE" w:rsidRDefault="0025031C" w:rsidP="00AD402C">
      <w:pPr>
        <w:ind w:firstLine="720"/>
        <w:rPr>
          <w:b/>
        </w:rPr>
      </w:pPr>
      <w:r w:rsidRPr="005E48EE">
        <w:rPr>
          <w:b/>
        </w:rPr>
        <w:t>Calibration Procedure:</w:t>
      </w:r>
      <w:r w:rsidR="0006502B" w:rsidRPr="005E48EE">
        <w:rPr>
          <w:b/>
        </w:rPr>
        <w:t xml:space="preserve"> </w:t>
      </w:r>
    </w:p>
    <w:p w:rsidR="00FB7839" w:rsidRPr="00A06293" w:rsidRDefault="00FB7839" w:rsidP="00A06293">
      <w:pPr>
        <w:autoSpaceDE w:val="0"/>
        <w:autoSpaceDN w:val="0"/>
        <w:adjustRightInd w:val="0"/>
        <w:ind w:left="720"/>
        <w:rPr>
          <w:rFonts w:eastAsia="HelenPro-Regular"/>
        </w:rPr>
      </w:pPr>
      <w:r w:rsidRPr="00A06293">
        <w:rPr>
          <w:rFonts w:eastAsia="HelenPro-Bold"/>
          <w:b/>
          <w:bCs/>
        </w:rPr>
        <w:t xml:space="preserve">• </w:t>
      </w:r>
      <w:r w:rsidRPr="00A06293">
        <w:rPr>
          <w:rFonts w:eastAsia="HelenPro-Regular"/>
        </w:rPr>
        <w:t>Test Calibrators A-F in duplicate. The calibrators should be</w:t>
      </w:r>
      <w:r w:rsidR="00A06293">
        <w:rPr>
          <w:rFonts w:eastAsia="HelenPro-Regular"/>
        </w:rPr>
        <w:t xml:space="preserve"> </w:t>
      </w:r>
      <w:r w:rsidRPr="00A06293">
        <w:rPr>
          <w:rFonts w:eastAsia="HelenPro-Regular"/>
        </w:rPr>
        <w:t>priority loaded.</w:t>
      </w:r>
    </w:p>
    <w:p w:rsidR="00FB7839" w:rsidRPr="00A06293" w:rsidRDefault="00FB7839" w:rsidP="00A06293">
      <w:pPr>
        <w:autoSpaceDE w:val="0"/>
        <w:autoSpaceDN w:val="0"/>
        <w:adjustRightInd w:val="0"/>
        <w:ind w:left="720"/>
        <w:rPr>
          <w:rFonts w:eastAsia="HelenPro-Regular"/>
        </w:rPr>
      </w:pPr>
      <w:r w:rsidRPr="00A06293">
        <w:rPr>
          <w:rFonts w:eastAsia="HelenPro-Regular"/>
        </w:rPr>
        <w:t>A single sample of each control level must be tested to evaluate</w:t>
      </w:r>
      <w:r w:rsidR="00A06293">
        <w:rPr>
          <w:rFonts w:eastAsia="HelenPro-Regular"/>
        </w:rPr>
        <w:t xml:space="preserve"> </w:t>
      </w:r>
      <w:r w:rsidRPr="00A06293">
        <w:rPr>
          <w:rFonts w:eastAsia="HelenPro-Regular"/>
        </w:rPr>
        <w:t>the assay calibration. Ensure that assay control values are within</w:t>
      </w:r>
      <w:r w:rsidR="00A06293">
        <w:rPr>
          <w:rFonts w:eastAsia="HelenPro-Regular"/>
        </w:rPr>
        <w:t xml:space="preserve"> </w:t>
      </w:r>
      <w:r w:rsidRPr="00A06293">
        <w:rPr>
          <w:rFonts w:eastAsia="HelenPro-Regular"/>
        </w:rPr>
        <w:t>the ranges specified in the respective control package insert.</w:t>
      </w:r>
    </w:p>
    <w:p w:rsidR="00941AE5" w:rsidRPr="00941AE5" w:rsidRDefault="00FB7839" w:rsidP="00A06293">
      <w:pPr>
        <w:autoSpaceDE w:val="0"/>
        <w:autoSpaceDN w:val="0"/>
        <w:adjustRightInd w:val="0"/>
        <w:ind w:left="1440"/>
        <w:rPr>
          <w:rFonts w:eastAsia="HelenPro-Regular"/>
        </w:rPr>
      </w:pPr>
      <w:r w:rsidRPr="00A06293">
        <w:rPr>
          <w:rFonts w:eastAsia="HelenPro-Bold"/>
          <w:b/>
          <w:bCs/>
        </w:rPr>
        <w:t xml:space="preserve">• </w:t>
      </w:r>
      <w:r w:rsidRPr="00A06293">
        <w:rPr>
          <w:rFonts w:eastAsia="HelenPro-Regular"/>
        </w:rPr>
        <w:t xml:space="preserve">Calibration Range: 0.0 to 4.0 </w:t>
      </w:r>
      <w:proofErr w:type="spellStart"/>
      <w:r w:rsidRPr="00A06293">
        <w:rPr>
          <w:rFonts w:eastAsia="HelenPro-Regular"/>
        </w:rPr>
        <w:t>ng</w:t>
      </w:r>
      <w:proofErr w:type="spellEnd"/>
      <w:r w:rsidRPr="00A06293">
        <w:rPr>
          <w:rFonts w:eastAsia="HelenPro-Regular"/>
        </w:rPr>
        <w:t>/</w:t>
      </w:r>
      <w:proofErr w:type="spellStart"/>
      <w:r w:rsidRPr="00A06293">
        <w:rPr>
          <w:rFonts w:eastAsia="HelenPro-Regular"/>
        </w:rPr>
        <w:t>mL</w:t>
      </w:r>
      <w:r>
        <w:rPr>
          <w:rFonts w:ascii="HelenPro-Regular" w:eastAsia="HelenPro-Regular" w:cs="HelenPro-Regular"/>
          <w:sz w:val="17"/>
          <w:szCs w:val="17"/>
        </w:rPr>
        <w:t>.</w:t>
      </w:r>
      <w:proofErr w:type="spellEnd"/>
    </w:p>
    <w:p w:rsidR="00470CE6" w:rsidRDefault="00470CE6"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5E48EE" w:rsidRDefault="005E48EE"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proofErr w:type="spellStart"/>
      <w:r w:rsidR="00BC5E5F" w:rsidRPr="00BC5E5F">
        <w:rPr>
          <w:rFonts w:eastAsia="HelenPro-Regular"/>
          <w:i/>
        </w:rPr>
        <w:t>i</w:t>
      </w:r>
      <w:proofErr w:type="spellEnd"/>
      <w:r w:rsidR="00BC5E5F">
        <w:rPr>
          <w:rFonts w:eastAsia="HelenPro-Regular"/>
        </w:rPr>
        <w:t xml:space="preserve"> </w:t>
      </w:r>
      <w:r w:rsidR="00BC5E5F" w:rsidRPr="00924391">
        <w:rPr>
          <w:rFonts w:eastAsia="HelenPro-Regular"/>
        </w:rPr>
        <w:t>Digoxin</w:t>
      </w:r>
      <w:r w:rsidR="00BC5E5F" w:rsidRPr="00B54C79">
        <w:rPr>
          <w:rFonts w:eastAsia="HelenPro-Regular"/>
        </w:rPr>
        <w:t xml:space="preserve">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Pr="00470CE6"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proofErr w:type="spellStart"/>
      <w:r w:rsidR="00BC5E5F" w:rsidRPr="00BC5E5F">
        <w:rPr>
          <w:rFonts w:eastAsia="HelenPro-Regular"/>
          <w:i/>
        </w:rPr>
        <w:t>i</w:t>
      </w:r>
      <w:proofErr w:type="spellEnd"/>
      <w:r w:rsidR="00BC5E5F">
        <w:rPr>
          <w:rFonts w:eastAsia="HelenPro-Regular"/>
        </w:rPr>
        <w:t xml:space="preserve"> </w:t>
      </w:r>
      <w:r w:rsidR="00BC5E5F" w:rsidRPr="00924391">
        <w:rPr>
          <w:rFonts w:eastAsia="HelenPro-Regular"/>
        </w:rPr>
        <w:t>Digoxin</w:t>
      </w:r>
      <w:r w:rsidR="00BC5E5F" w:rsidRPr="00B54C79">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lastRenderedPageBreak/>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173EA4" w:rsidP="002C7FD5">
      <w:pPr>
        <w:rPr>
          <w:b/>
        </w:rPr>
      </w:pPr>
    </w:p>
    <w:p w:rsidR="00470CE6" w:rsidRDefault="00FB7839" w:rsidP="002C7FD5">
      <w:pPr>
        <w:rPr>
          <w:b/>
        </w:rPr>
      </w:pPr>
      <w:r>
        <w:rPr>
          <w:noProof/>
        </w:rPr>
        <w:drawing>
          <wp:inline distT="0" distB="0" distL="0" distR="0" wp14:anchorId="610B41B1" wp14:editId="53A37B05">
            <wp:extent cx="4238625" cy="3571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38625" cy="3571875"/>
                    </a:xfrm>
                    <a:prstGeom prst="rect">
                      <a:avLst/>
                    </a:prstGeom>
                  </pic:spPr>
                </pic:pic>
              </a:graphicData>
            </a:graphic>
          </wp:inline>
        </w:drawing>
      </w:r>
    </w:p>
    <w:p w:rsidR="003356DF" w:rsidRDefault="003356DF" w:rsidP="002C7FD5">
      <w:pPr>
        <w:rPr>
          <w:b/>
        </w:rPr>
      </w:pPr>
      <w:r>
        <w:rPr>
          <w:noProof/>
        </w:rPr>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57675" cy="2000250"/>
                    </a:xfrm>
                    <a:prstGeom prst="rect">
                      <a:avLst/>
                    </a:prstGeom>
                  </pic:spPr>
                </pic:pic>
              </a:graphicData>
            </a:graphic>
          </wp:inline>
        </w:drawing>
      </w:r>
    </w:p>
    <w:p w:rsidR="005B1BF7" w:rsidRDefault="00FB7839" w:rsidP="002C7FD5">
      <w:pPr>
        <w:rPr>
          <w:b/>
        </w:rPr>
      </w:pPr>
      <w:r>
        <w:rPr>
          <w:noProof/>
        </w:rPr>
        <w:lastRenderedPageBreak/>
        <w:drawing>
          <wp:inline distT="0" distB="0" distL="0" distR="0" wp14:anchorId="269646A6" wp14:editId="08C8E839">
            <wp:extent cx="4114800" cy="2505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14800" cy="2505075"/>
                    </a:xfrm>
                    <a:prstGeom prst="rect">
                      <a:avLst/>
                    </a:prstGeom>
                  </pic:spPr>
                </pic:pic>
              </a:graphicData>
            </a:graphic>
          </wp:inline>
        </w:drawing>
      </w:r>
    </w:p>
    <w:p w:rsidR="00FB7839" w:rsidRDefault="00FB7839" w:rsidP="002C7FD5">
      <w:pPr>
        <w:rPr>
          <w:b/>
        </w:rPr>
      </w:pPr>
      <w:r>
        <w:rPr>
          <w:noProof/>
        </w:rPr>
        <w:drawing>
          <wp:inline distT="0" distB="0" distL="0" distR="0" wp14:anchorId="3836AEE4" wp14:editId="24E0331A">
            <wp:extent cx="4248150" cy="1981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48150" cy="1981200"/>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Pr="007E4CE6"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F3700B" w:rsidRDefault="003356DF" w:rsidP="003356DF">
      <w:pPr>
        <w:autoSpaceDE w:val="0"/>
        <w:autoSpaceDN w:val="0"/>
        <w:adjustRightInd w:val="0"/>
        <w:rPr>
          <w:rFonts w:eastAsia="HelenPro-Regular"/>
        </w:rPr>
      </w:pPr>
      <w:r w:rsidRPr="003356DF">
        <w:rPr>
          <w:rFonts w:eastAsia="HelenPro-Regular"/>
        </w:rPr>
        <w:t>The default result unit for the A</w:t>
      </w:r>
      <w:r>
        <w:rPr>
          <w:rFonts w:eastAsia="HelenPro-Regular"/>
        </w:rPr>
        <w:t xml:space="preserve">RCHITECT </w:t>
      </w:r>
      <w:proofErr w:type="spellStart"/>
      <w:r w:rsidR="00BC5E5F" w:rsidRPr="00BC5E5F">
        <w:rPr>
          <w:rFonts w:eastAsia="HelenPro-Regular"/>
          <w:i/>
        </w:rPr>
        <w:t>i</w:t>
      </w:r>
      <w:proofErr w:type="spellEnd"/>
      <w:r w:rsidR="00BC5E5F">
        <w:rPr>
          <w:rFonts w:eastAsia="HelenPro-Regular"/>
        </w:rPr>
        <w:t xml:space="preserve"> </w:t>
      </w:r>
      <w:r w:rsidR="00BC5E5F" w:rsidRPr="00924391">
        <w:rPr>
          <w:rFonts w:eastAsia="HelenPro-Regular"/>
        </w:rPr>
        <w:t>Digoxin</w:t>
      </w:r>
      <w:r w:rsidR="00BC5E5F" w:rsidRPr="00B54C79">
        <w:rPr>
          <w:rFonts w:eastAsia="HelenPro-Regular"/>
        </w:rPr>
        <w:t xml:space="preserve"> </w:t>
      </w:r>
      <w:r>
        <w:rPr>
          <w:rFonts w:eastAsia="HelenPro-Regular"/>
        </w:rPr>
        <w:t xml:space="preserve">assay is </w:t>
      </w:r>
      <w:proofErr w:type="spellStart"/>
      <w:r w:rsidR="00FB7839">
        <w:rPr>
          <w:rFonts w:eastAsia="HelenPro-Regular"/>
        </w:rPr>
        <w:t>n</w:t>
      </w:r>
      <w:r w:rsidR="00835A84">
        <w:rPr>
          <w:rFonts w:eastAsia="HelenPro-Regular"/>
        </w:rPr>
        <w:t>g</w:t>
      </w:r>
      <w:proofErr w:type="spellEnd"/>
      <w:r w:rsidR="00470CE6">
        <w:rPr>
          <w:rFonts w:eastAsia="HelenPro-Regular"/>
        </w:rPr>
        <w:t>/mL</w:t>
      </w:r>
      <w:r>
        <w:rPr>
          <w:rFonts w:eastAsia="HelenPro-Regular"/>
        </w:rPr>
        <w:t xml:space="preserve"> </w:t>
      </w:r>
    </w:p>
    <w:p w:rsidR="002648A6" w:rsidRDefault="002648A6" w:rsidP="00C3571A">
      <w:pPr>
        <w:autoSpaceDE w:val="0"/>
        <w:autoSpaceDN w:val="0"/>
        <w:adjustRightInd w:val="0"/>
        <w:rPr>
          <w:rFonts w:eastAsia="HelenPro-Regular"/>
        </w:rPr>
      </w:pPr>
    </w:p>
    <w:p w:rsidR="002648A6" w:rsidRPr="00522A32" w:rsidRDefault="002648A6" w:rsidP="00C3571A">
      <w:pPr>
        <w:autoSpaceDE w:val="0"/>
        <w:autoSpaceDN w:val="0"/>
        <w:adjustRightInd w:val="0"/>
        <w:rPr>
          <w:rFonts w:eastAsia="HelenPro-Regular"/>
          <w:b/>
          <w:sz w:val="28"/>
          <w:szCs w:val="28"/>
        </w:rPr>
      </w:pPr>
      <w:r w:rsidRPr="00522A32">
        <w:rPr>
          <w:rFonts w:eastAsia="HelenPro-Regular"/>
          <w:b/>
          <w:sz w:val="28"/>
          <w:szCs w:val="28"/>
        </w:rPr>
        <w:t>Flags</w:t>
      </w:r>
    </w:p>
    <w:p w:rsidR="002648A6" w:rsidRPr="00522A32" w:rsidRDefault="002648A6" w:rsidP="002648A6">
      <w:pPr>
        <w:autoSpaceDE w:val="0"/>
        <w:autoSpaceDN w:val="0"/>
        <w:adjustRightInd w:val="0"/>
        <w:rPr>
          <w:rFonts w:eastAsia="HelenPro-Regular"/>
        </w:rPr>
      </w:pPr>
      <w:r w:rsidRPr="00522A32">
        <w:rPr>
          <w:rFonts w:eastAsia="HelenPro-Regular"/>
        </w:rPr>
        <w:t>Some results may contain information in the Flags field. For a description of the flags that may appear in this field, refer to the ARCHITECT System Operations Manual, Section 5.</w:t>
      </w:r>
    </w:p>
    <w:p w:rsidR="00D64E39" w:rsidRPr="00522A32" w:rsidRDefault="00D64E39" w:rsidP="00AB793D">
      <w:pPr>
        <w:rPr>
          <w:b/>
          <w:bCs/>
        </w:rPr>
      </w:pPr>
    </w:p>
    <w:p w:rsidR="00912FE4" w:rsidRPr="00522A32" w:rsidRDefault="00912FE4" w:rsidP="00AB793D">
      <w:pPr>
        <w:rPr>
          <w:b/>
          <w:bCs/>
          <w:sz w:val="28"/>
          <w:szCs w:val="28"/>
        </w:rPr>
      </w:pPr>
      <w:r w:rsidRPr="00522A32">
        <w:rPr>
          <w:b/>
          <w:bCs/>
          <w:sz w:val="28"/>
          <w:szCs w:val="28"/>
        </w:rPr>
        <w:t>Specific Performance Characteristics</w:t>
      </w:r>
      <w:r w:rsidR="00D60AFA" w:rsidRPr="00522A32">
        <w:rPr>
          <w:b/>
          <w:bCs/>
          <w:sz w:val="28"/>
          <w:szCs w:val="28"/>
        </w:rPr>
        <w:t xml:space="preserve"> </w:t>
      </w:r>
    </w:p>
    <w:p w:rsidR="00CE2DC7" w:rsidRPr="00522A32" w:rsidRDefault="002648A6" w:rsidP="00AB793D">
      <w:pPr>
        <w:rPr>
          <w:b/>
          <w:bCs/>
        </w:rPr>
      </w:pPr>
      <w:r w:rsidRPr="00522A32">
        <w:rPr>
          <w:b/>
          <w:bCs/>
        </w:rPr>
        <w:t>Expected Values</w:t>
      </w:r>
      <w:r w:rsidR="00D60AFA" w:rsidRPr="00522A32">
        <w:rPr>
          <w:b/>
          <w:bCs/>
        </w:rPr>
        <w:t xml:space="preserve"> </w:t>
      </w:r>
    </w:p>
    <w:p w:rsidR="0055619E" w:rsidRPr="00522A32" w:rsidRDefault="006D40ED" w:rsidP="006D40ED">
      <w:pPr>
        <w:autoSpaceDE w:val="0"/>
        <w:autoSpaceDN w:val="0"/>
        <w:adjustRightInd w:val="0"/>
        <w:rPr>
          <w:rFonts w:eastAsia="HelenPro-Regular"/>
        </w:rPr>
      </w:pPr>
      <w:r w:rsidRPr="00522A32">
        <w:rPr>
          <w:rFonts w:eastAsia="HelenPro-Regular"/>
        </w:rPr>
        <w:lastRenderedPageBreak/>
        <w:t>It is recommended that each laboratory determine its own reference range based upon its particular locale and population characteristics.</w:t>
      </w:r>
    </w:p>
    <w:p w:rsidR="00317056" w:rsidRPr="00522A32" w:rsidRDefault="00317056" w:rsidP="00AB793D">
      <w:pPr>
        <w:rPr>
          <w:b/>
          <w:bCs/>
        </w:rPr>
      </w:pPr>
    </w:p>
    <w:p w:rsidR="00A554D4" w:rsidRDefault="00A554D4" w:rsidP="00AB793D">
      <w:pPr>
        <w:rPr>
          <w:rFonts w:eastAsia="HelenPro-Regular"/>
        </w:rPr>
      </w:pPr>
      <w:r w:rsidRPr="00522A32">
        <w:rPr>
          <w:b/>
          <w:bCs/>
        </w:rPr>
        <w:t>Serum/Plasma</w:t>
      </w:r>
      <w:r w:rsidR="00522A32">
        <w:rPr>
          <w:b/>
          <w:bCs/>
        </w:rPr>
        <w:t xml:space="preserve">: </w:t>
      </w:r>
      <w:r w:rsidR="00522A32">
        <w:rPr>
          <w:bCs/>
        </w:rPr>
        <w:t xml:space="preserve">0.8 – 2.0 </w:t>
      </w:r>
      <w:proofErr w:type="spellStart"/>
      <w:r w:rsidR="00522A32">
        <w:rPr>
          <w:rFonts w:eastAsia="HelenPro-Regular"/>
        </w:rPr>
        <w:t>n</w:t>
      </w:r>
      <w:r w:rsidR="00522A32" w:rsidRPr="009D4982">
        <w:rPr>
          <w:rFonts w:eastAsia="HelenPro-Regular"/>
        </w:rPr>
        <w:t>g</w:t>
      </w:r>
      <w:proofErr w:type="spellEnd"/>
      <w:r w:rsidR="00522A32" w:rsidRPr="009D4982">
        <w:rPr>
          <w:rFonts w:eastAsia="HelenPro-Regular"/>
        </w:rPr>
        <w:t>/mL</w:t>
      </w:r>
    </w:p>
    <w:p w:rsidR="00522A32" w:rsidRPr="00522A32" w:rsidRDefault="00522A32" w:rsidP="00AB793D">
      <w:pPr>
        <w:rPr>
          <w:bCs/>
        </w:rPr>
      </w:pPr>
    </w:p>
    <w:p w:rsidR="00DA6C6A" w:rsidRPr="00522A32" w:rsidRDefault="00A06293" w:rsidP="00A06293">
      <w:pPr>
        <w:autoSpaceDE w:val="0"/>
        <w:autoSpaceDN w:val="0"/>
        <w:adjustRightInd w:val="0"/>
        <w:rPr>
          <w:rFonts w:eastAsia="HelenPro-Regular"/>
        </w:rPr>
      </w:pPr>
      <w:r w:rsidRPr="00522A32">
        <w:rPr>
          <w:rFonts w:eastAsia="HelenPro-Regular"/>
        </w:rPr>
        <w:t xml:space="preserve">The ARCHITECT </w:t>
      </w:r>
      <w:proofErr w:type="spellStart"/>
      <w:r w:rsidR="00BC5E5F" w:rsidRPr="00522A32">
        <w:rPr>
          <w:rFonts w:eastAsia="HelenPro-Regular"/>
          <w:i/>
        </w:rPr>
        <w:t>i</w:t>
      </w:r>
      <w:proofErr w:type="spellEnd"/>
      <w:r w:rsidR="00BC5E5F" w:rsidRPr="00522A32">
        <w:rPr>
          <w:rFonts w:eastAsia="HelenPro-Regular"/>
        </w:rPr>
        <w:t xml:space="preserve"> Digoxin </w:t>
      </w:r>
      <w:r w:rsidRPr="00522A32">
        <w:rPr>
          <w:rFonts w:eastAsia="HelenPro-Regular"/>
        </w:rPr>
        <w:t xml:space="preserve">assay accurately quantitates digoxin concentrations in human serum or plasma at concentrations up to 4.0 </w:t>
      </w:r>
      <w:proofErr w:type="spellStart"/>
      <w:r w:rsidRPr="00522A32">
        <w:rPr>
          <w:rFonts w:eastAsia="HelenPro-Regular"/>
        </w:rPr>
        <w:t>ng</w:t>
      </w:r>
      <w:proofErr w:type="spellEnd"/>
      <w:r w:rsidRPr="00522A32">
        <w:rPr>
          <w:rFonts w:eastAsia="HelenPro-Regular"/>
        </w:rPr>
        <w:t>/</w:t>
      </w:r>
      <w:proofErr w:type="spellStart"/>
      <w:r w:rsidRPr="00522A32">
        <w:rPr>
          <w:rFonts w:eastAsia="HelenPro-Regular"/>
        </w:rPr>
        <w:t>mL.</w:t>
      </w:r>
      <w:proofErr w:type="spellEnd"/>
      <w:r w:rsidRPr="00522A32">
        <w:rPr>
          <w:rFonts w:eastAsia="HelenPro-Regular"/>
        </w:rPr>
        <w:t xml:space="preserve"> Numerous studies have shown a relationship between serum levels of digoxin and its concentration in myocardial and other tissues. In a study in which serum digoxin levels were determined by radioimmunoassay, optimum therapeutic effects usually are observed when serum levels are in the range from 0.8 to 2.0 </w:t>
      </w:r>
      <w:proofErr w:type="spellStart"/>
      <w:r w:rsidRPr="00522A32">
        <w:rPr>
          <w:rFonts w:eastAsia="HelenPro-Regular"/>
        </w:rPr>
        <w:t>ng</w:t>
      </w:r>
      <w:proofErr w:type="spellEnd"/>
      <w:r w:rsidRPr="00522A32">
        <w:rPr>
          <w:rFonts w:eastAsia="HelenPro-Regular"/>
        </w:rPr>
        <w:t xml:space="preserve">/mL, although some clinical benefit may be realized at serum or plasma concentrations below 0.8 </w:t>
      </w:r>
      <w:proofErr w:type="spellStart"/>
      <w:r w:rsidRPr="00522A32">
        <w:rPr>
          <w:rFonts w:eastAsia="HelenPro-Regular"/>
        </w:rPr>
        <w:t>ng</w:t>
      </w:r>
      <w:proofErr w:type="spellEnd"/>
      <w:r w:rsidRPr="00522A32">
        <w:rPr>
          <w:rFonts w:eastAsia="HelenPro-Regular"/>
        </w:rPr>
        <w:t>/</w:t>
      </w:r>
      <w:proofErr w:type="spellStart"/>
      <w:r w:rsidRPr="00522A32">
        <w:rPr>
          <w:rFonts w:eastAsia="HelenPro-Regular"/>
        </w:rPr>
        <w:t>mL.</w:t>
      </w:r>
      <w:proofErr w:type="spellEnd"/>
      <w:r w:rsidRPr="00522A32">
        <w:rPr>
          <w:rFonts w:eastAsia="HelenPro-Regular"/>
        </w:rPr>
        <w:t xml:space="preserve"> The risk of toxicity increases at serum or plasma levels above 2.0 </w:t>
      </w:r>
      <w:proofErr w:type="spellStart"/>
      <w:r w:rsidRPr="00522A32">
        <w:rPr>
          <w:rFonts w:eastAsia="HelenPro-Regular"/>
        </w:rPr>
        <w:t>ng</w:t>
      </w:r>
      <w:proofErr w:type="spellEnd"/>
      <w:r w:rsidRPr="00522A32">
        <w:rPr>
          <w:rFonts w:eastAsia="HelenPro-Regular"/>
        </w:rPr>
        <w:t>/</w:t>
      </w:r>
      <w:proofErr w:type="spellStart"/>
      <w:r w:rsidRPr="00522A32">
        <w:rPr>
          <w:rFonts w:eastAsia="HelenPro-Regular"/>
        </w:rPr>
        <w:t>mL.</w:t>
      </w:r>
      <w:proofErr w:type="spellEnd"/>
      <w:r w:rsidRPr="00522A32">
        <w:rPr>
          <w:rFonts w:eastAsia="HelenPro-Regular"/>
        </w:rPr>
        <w:t xml:space="preserve"> Symptoms of digoxin toxicity may include gastrointestinal disturbances such as anorexia, nausea, vomiting and diarrhea, central nervous system disturbances manifested by blurred or yellow vision, headache, weakness, dizziness, apathy, and confusion, and cardiac rhythm disturbances and tachycardia. There is some evidence that children may tolerate slightly higher serum or plasma concentrations than adults. It is important to note that the distinction between adequate digitalization and toxicity in patients cannot be made on the basis of digoxin concentrations alone. Most studies show a significant overlap between the toxic and nontoxic groups. Additional factors to consider when evaluating the correct therapeutic dosage for each patient are lean body weight, age, renal function, concomitant disease states, concurrent medications, and other clinical factors. Refer to the drug manufacturer’s package insert. Each laboratory should establish its own therapeutic (reference) range for digoxin</w:t>
      </w:r>
      <w:r w:rsidRPr="00522A32">
        <w:rPr>
          <w:rFonts w:eastAsia="HelenPro-Regular"/>
          <w:sz w:val="17"/>
          <w:szCs w:val="17"/>
        </w:rPr>
        <w:t>.</w:t>
      </w:r>
      <w:r w:rsidR="00816ACE" w:rsidRPr="00522A32">
        <w:rPr>
          <w:rFonts w:eastAsia="HelenPro-Regular"/>
        </w:rPr>
        <w:t xml:space="preserve"> </w:t>
      </w:r>
    </w:p>
    <w:p w:rsidR="00DA6C6A" w:rsidRPr="00522A32" w:rsidRDefault="00DA6C6A" w:rsidP="00AB793D">
      <w:pPr>
        <w:rPr>
          <w:b/>
          <w:bCs/>
        </w:rPr>
      </w:pPr>
    </w:p>
    <w:p w:rsidR="00A06293" w:rsidRPr="00522A32" w:rsidRDefault="00A06293" w:rsidP="00AB793D">
      <w:pPr>
        <w:rPr>
          <w:b/>
          <w:bCs/>
        </w:rPr>
      </w:pPr>
    </w:p>
    <w:p w:rsidR="00B63E8F" w:rsidRPr="00522A32" w:rsidRDefault="00B63E8F" w:rsidP="00623EFB">
      <w:pPr>
        <w:ind w:right="720"/>
        <w:jc w:val="both"/>
        <w:rPr>
          <w:b/>
        </w:rPr>
      </w:pPr>
      <w:r w:rsidRPr="00522A32">
        <w:rPr>
          <w:b/>
        </w:rPr>
        <w:t>Critical Values</w:t>
      </w:r>
      <w:r w:rsidR="00522A32">
        <w:rPr>
          <w:b/>
        </w:rPr>
        <w:t xml:space="preserve">: </w:t>
      </w:r>
      <w:r w:rsidR="00522A32">
        <w:t xml:space="preserve">&gt; 2.0 </w:t>
      </w:r>
      <w:proofErr w:type="spellStart"/>
      <w:r w:rsidR="00522A32">
        <w:t>ng</w:t>
      </w:r>
      <w:proofErr w:type="spellEnd"/>
      <w:r w:rsidR="00522A32">
        <w:t>/mL</w:t>
      </w:r>
      <w:r w:rsidR="00970502">
        <w:t xml:space="preserve"> for all ages</w:t>
      </w:r>
      <w:bookmarkStart w:id="0" w:name="_GoBack"/>
      <w:bookmarkEnd w:id="0"/>
    </w:p>
    <w:p w:rsidR="0038442D" w:rsidRPr="00522A32" w:rsidRDefault="0038442D" w:rsidP="00AB793D">
      <w:pPr>
        <w:rPr>
          <w:b/>
        </w:rPr>
      </w:pPr>
    </w:p>
    <w:p w:rsidR="00D5211B" w:rsidRPr="00522A32" w:rsidRDefault="005E3D52" w:rsidP="00AB793D">
      <w:pPr>
        <w:rPr>
          <w:i/>
          <w:color w:val="FF0000"/>
          <w:sz w:val="28"/>
          <w:szCs w:val="28"/>
        </w:rPr>
      </w:pPr>
      <w:r w:rsidRPr="00522A32">
        <w:rPr>
          <w:b/>
          <w:sz w:val="28"/>
          <w:szCs w:val="28"/>
        </w:rPr>
        <w:t>Performance Characteristics</w:t>
      </w:r>
      <w:r w:rsidR="00973EAF" w:rsidRPr="00522A32">
        <w:rPr>
          <w:b/>
          <w:sz w:val="28"/>
          <w:szCs w:val="28"/>
        </w:rPr>
        <w:t xml:space="preserve"> </w:t>
      </w:r>
    </w:p>
    <w:p w:rsidR="00B45FE2" w:rsidRPr="00522A32" w:rsidRDefault="00B45FE2" w:rsidP="00B45FE2">
      <w:pPr>
        <w:autoSpaceDE w:val="0"/>
        <w:autoSpaceDN w:val="0"/>
        <w:adjustRightInd w:val="0"/>
        <w:rPr>
          <w:rFonts w:eastAsia="HelenPro-Bold"/>
          <w:b/>
          <w:bCs/>
        </w:rPr>
      </w:pPr>
    </w:p>
    <w:p w:rsidR="00835A84" w:rsidRPr="00522A32" w:rsidRDefault="002648A6" w:rsidP="00835A84">
      <w:pPr>
        <w:autoSpaceDE w:val="0"/>
        <w:autoSpaceDN w:val="0"/>
        <w:adjustRightInd w:val="0"/>
        <w:rPr>
          <w:rFonts w:eastAsia="HelenPro-Bold"/>
          <w:b/>
          <w:bCs/>
        </w:rPr>
      </w:pPr>
      <w:r w:rsidRPr="00522A32">
        <w:rPr>
          <w:rFonts w:eastAsia="HelenPro-Bold"/>
          <w:b/>
          <w:bCs/>
        </w:rPr>
        <w:t>Linearity</w:t>
      </w:r>
    </w:p>
    <w:p w:rsidR="00835A84" w:rsidRPr="00522A32" w:rsidRDefault="00A06293" w:rsidP="002648A6">
      <w:pPr>
        <w:autoSpaceDE w:val="0"/>
        <w:autoSpaceDN w:val="0"/>
        <w:adjustRightInd w:val="0"/>
        <w:rPr>
          <w:rFonts w:eastAsia="HelenPro-Regular"/>
          <w:b/>
        </w:rPr>
      </w:pPr>
      <w:r w:rsidRPr="00522A32">
        <w:rPr>
          <w:rFonts w:eastAsia="HelenPro-Regular"/>
        </w:rPr>
        <w:t xml:space="preserve">The linear range of the assay is 0.3 to 4.0 </w:t>
      </w:r>
      <w:proofErr w:type="spellStart"/>
      <w:r w:rsidRPr="00522A32">
        <w:rPr>
          <w:rFonts w:eastAsia="HelenPro-Regular"/>
        </w:rPr>
        <w:t>ng</w:t>
      </w:r>
      <w:proofErr w:type="spellEnd"/>
      <w:r w:rsidRPr="00522A32">
        <w:rPr>
          <w:rFonts w:eastAsia="HelenPro-Regular"/>
        </w:rPr>
        <w:t>/</w:t>
      </w:r>
      <w:proofErr w:type="spellStart"/>
      <w:r w:rsidRPr="00522A32">
        <w:rPr>
          <w:rFonts w:eastAsia="HelenPro-Regular"/>
        </w:rPr>
        <w:t>mL.</w:t>
      </w:r>
      <w:proofErr w:type="spellEnd"/>
    </w:p>
    <w:p w:rsidR="00A06293" w:rsidRPr="00522A32" w:rsidRDefault="00A06293" w:rsidP="002648A6">
      <w:pPr>
        <w:autoSpaceDE w:val="0"/>
        <w:autoSpaceDN w:val="0"/>
        <w:adjustRightInd w:val="0"/>
        <w:rPr>
          <w:rFonts w:eastAsia="HelenPro-Regular"/>
          <w:b/>
        </w:rPr>
      </w:pPr>
    </w:p>
    <w:p w:rsidR="002648A6" w:rsidRPr="00522A32" w:rsidRDefault="00835A84" w:rsidP="002648A6">
      <w:pPr>
        <w:autoSpaceDE w:val="0"/>
        <w:autoSpaceDN w:val="0"/>
        <w:adjustRightInd w:val="0"/>
        <w:rPr>
          <w:rFonts w:eastAsia="HelenPro-Regular"/>
          <w:b/>
        </w:rPr>
      </w:pPr>
      <w:r w:rsidRPr="00522A32">
        <w:rPr>
          <w:rFonts w:eastAsia="HelenPro-Regular"/>
          <w:b/>
        </w:rPr>
        <w:t>Sensitivity</w:t>
      </w:r>
    </w:p>
    <w:p w:rsidR="00835A84" w:rsidRPr="00522A32" w:rsidRDefault="00A06293" w:rsidP="00A06293">
      <w:pPr>
        <w:autoSpaceDE w:val="0"/>
        <w:autoSpaceDN w:val="0"/>
        <w:adjustRightInd w:val="0"/>
        <w:rPr>
          <w:rFonts w:eastAsia="HelenPro-Regular"/>
        </w:rPr>
      </w:pPr>
      <w:r w:rsidRPr="00522A32">
        <w:rPr>
          <w:rFonts w:eastAsia="HelenPro-Regular"/>
        </w:rPr>
        <w:t xml:space="preserve">The ARCHITECT </w:t>
      </w:r>
      <w:proofErr w:type="spellStart"/>
      <w:r w:rsidR="00BC5E5F" w:rsidRPr="00522A32">
        <w:rPr>
          <w:rFonts w:eastAsia="HelenPro-Regular"/>
          <w:i/>
        </w:rPr>
        <w:t>i</w:t>
      </w:r>
      <w:proofErr w:type="spellEnd"/>
      <w:r w:rsidR="00BC5E5F" w:rsidRPr="00522A32">
        <w:rPr>
          <w:rFonts w:eastAsia="HelenPro-Regular"/>
        </w:rPr>
        <w:t xml:space="preserve"> Digoxin </w:t>
      </w:r>
      <w:r w:rsidRPr="00522A32">
        <w:rPr>
          <w:rFonts w:eastAsia="HelenPro-Regular"/>
        </w:rPr>
        <w:t xml:space="preserve">assay is designed to have a Limit of Detection of ≤ 0.3 </w:t>
      </w:r>
      <w:proofErr w:type="spellStart"/>
      <w:r w:rsidRPr="00522A32">
        <w:rPr>
          <w:rFonts w:eastAsia="HelenPro-Regular"/>
        </w:rPr>
        <w:t>ng</w:t>
      </w:r>
      <w:proofErr w:type="spellEnd"/>
      <w:r w:rsidRPr="00522A32">
        <w:rPr>
          <w:rFonts w:eastAsia="HelenPro-Regular"/>
        </w:rPr>
        <w:t>/</w:t>
      </w:r>
      <w:proofErr w:type="spellStart"/>
      <w:r w:rsidRPr="00522A32">
        <w:rPr>
          <w:rFonts w:eastAsia="HelenPro-Regular"/>
        </w:rPr>
        <w:t>mL.</w:t>
      </w:r>
      <w:proofErr w:type="spellEnd"/>
    </w:p>
    <w:p w:rsidR="00835A84" w:rsidRPr="00522A32" w:rsidRDefault="00835A84" w:rsidP="00835A84">
      <w:pPr>
        <w:rPr>
          <w:rFonts w:eastAsia="HelenPro-Bold"/>
          <w:b/>
          <w:bCs/>
        </w:rPr>
      </w:pPr>
    </w:p>
    <w:p w:rsidR="00912FE4" w:rsidRPr="00522A32" w:rsidRDefault="00912FE4" w:rsidP="002C2F49">
      <w:pPr>
        <w:rPr>
          <w:rFonts w:eastAsia="HelenPro-Bold"/>
          <w:b/>
          <w:bCs/>
        </w:rPr>
      </w:pPr>
      <w:r w:rsidRPr="00522A32">
        <w:rPr>
          <w:rFonts w:eastAsia="HelenPro-Bold"/>
          <w:b/>
          <w:bCs/>
        </w:rPr>
        <w:t>Dilution:</w:t>
      </w:r>
      <w:r w:rsidR="00973EAF" w:rsidRPr="00522A32">
        <w:rPr>
          <w:rFonts w:eastAsia="HelenPro-Bold"/>
          <w:b/>
          <w:bCs/>
        </w:rPr>
        <w:t xml:space="preserve"> </w:t>
      </w:r>
    </w:p>
    <w:p w:rsidR="00FB7839" w:rsidRPr="00522A32" w:rsidRDefault="00FB7839" w:rsidP="00FB7839">
      <w:pPr>
        <w:autoSpaceDE w:val="0"/>
        <w:autoSpaceDN w:val="0"/>
        <w:adjustRightInd w:val="0"/>
        <w:rPr>
          <w:rFonts w:eastAsia="HelenPro-Regular"/>
        </w:rPr>
      </w:pPr>
      <w:r w:rsidRPr="00522A32">
        <w:rPr>
          <w:rFonts w:eastAsia="HelenPro-Regular"/>
        </w:rPr>
        <w:t>Specimens with a digoxin value ex</w:t>
      </w:r>
      <w:r w:rsidR="00A06293" w:rsidRPr="00522A32">
        <w:rPr>
          <w:rFonts w:eastAsia="HelenPro-Regular"/>
        </w:rPr>
        <w:t xml:space="preserve">ceeding 4.00 </w:t>
      </w:r>
      <w:proofErr w:type="spellStart"/>
      <w:r w:rsidR="00A06293" w:rsidRPr="00522A32">
        <w:rPr>
          <w:rFonts w:eastAsia="HelenPro-Regular"/>
        </w:rPr>
        <w:t>ng</w:t>
      </w:r>
      <w:proofErr w:type="spellEnd"/>
      <w:r w:rsidR="00A06293" w:rsidRPr="00522A32">
        <w:rPr>
          <w:rFonts w:eastAsia="HelenPro-Regular"/>
        </w:rPr>
        <w:t xml:space="preserve">/ mL are flagged </w:t>
      </w:r>
      <w:r w:rsidRPr="00522A32">
        <w:rPr>
          <w:rFonts w:eastAsia="HelenPro-Regular"/>
        </w:rPr>
        <w:t xml:space="preserve">with the code “&gt;4.00 </w:t>
      </w:r>
      <w:proofErr w:type="spellStart"/>
      <w:r w:rsidRPr="00522A32">
        <w:rPr>
          <w:rFonts w:eastAsia="HelenPro-Regular"/>
        </w:rPr>
        <w:t>ng</w:t>
      </w:r>
      <w:proofErr w:type="spellEnd"/>
      <w:r w:rsidRPr="00522A32">
        <w:rPr>
          <w:rFonts w:eastAsia="HelenPro-Regular"/>
        </w:rPr>
        <w:t>/</w:t>
      </w:r>
      <w:proofErr w:type="spellStart"/>
      <w:r w:rsidRPr="00522A32">
        <w:rPr>
          <w:rFonts w:eastAsia="HelenPro-Regular"/>
        </w:rPr>
        <w:t>mL”and</w:t>
      </w:r>
      <w:proofErr w:type="spellEnd"/>
      <w:r w:rsidRPr="00522A32">
        <w:rPr>
          <w:rFonts w:eastAsia="HelenPro-Regular"/>
        </w:rPr>
        <w:t xml:space="preserve"> may be diluted using the Manual</w:t>
      </w:r>
      <w:r w:rsidR="00A06293" w:rsidRPr="00522A32">
        <w:rPr>
          <w:rFonts w:eastAsia="HelenPro-Regular"/>
        </w:rPr>
        <w:t xml:space="preserve"> </w:t>
      </w:r>
      <w:r w:rsidRPr="00522A32">
        <w:rPr>
          <w:rFonts w:eastAsia="HelenPro-Regular"/>
        </w:rPr>
        <w:t>Dilution Procedure.</w:t>
      </w:r>
    </w:p>
    <w:p w:rsidR="00FB7839" w:rsidRPr="00522A32" w:rsidRDefault="00FB7839" w:rsidP="00FB7839">
      <w:pPr>
        <w:autoSpaceDE w:val="0"/>
        <w:autoSpaceDN w:val="0"/>
        <w:adjustRightInd w:val="0"/>
        <w:rPr>
          <w:rFonts w:eastAsia="HelenPro-Bold"/>
          <w:b/>
          <w:bCs/>
        </w:rPr>
      </w:pPr>
      <w:r w:rsidRPr="00522A32">
        <w:rPr>
          <w:rFonts w:eastAsia="HelenPro-Bold"/>
          <w:b/>
          <w:bCs/>
        </w:rPr>
        <w:t>Manual Dilution Procedure</w:t>
      </w:r>
    </w:p>
    <w:p w:rsidR="00FB7839" w:rsidRPr="00522A32" w:rsidRDefault="00FB7839" w:rsidP="00FB7839">
      <w:pPr>
        <w:autoSpaceDE w:val="0"/>
        <w:autoSpaceDN w:val="0"/>
        <w:adjustRightInd w:val="0"/>
        <w:rPr>
          <w:rFonts w:eastAsia="HelenPro-Regular"/>
        </w:rPr>
      </w:pPr>
      <w:r w:rsidRPr="00522A32">
        <w:rPr>
          <w:rFonts w:eastAsia="HelenPro-Regular"/>
        </w:rPr>
        <w:t>Suggested dilution: 1:10</w:t>
      </w:r>
    </w:p>
    <w:p w:rsidR="00FB7839" w:rsidRPr="00522A32" w:rsidRDefault="00FB7839" w:rsidP="00FB7839">
      <w:pPr>
        <w:autoSpaceDE w:val="0"/>
        <w:autoSpaceDN w:val="0"/>
        <w:adjustRightInd w:val="0"/>
        <w:rPr>
          <w:rFonts w:eastAsia="HelenPro-Regular"/>
        </w:rPr>
      </w:pPr>
      <w:r w:rsidRPr="00522A32">
        <w:rPr>
          <w:rFonts w:eastAsia="HelenPro-Regular"/>
        </w:rPr>
        <w:t xml:space="preserve">1. Add 20 </w:t>
      </w:r>
      <w:proofErr w:type="spellStart"/>
      <w:r w:rsidRPr="00522A32">
        <w:rPr>
          <w:rFonts w:eastAsia="HelenPro-Regular"/>
        </w:rPr>
        <w:t>μL</w:t>
      </w:r>
      <w:proofErr w:type="spellEnd"/>
      <w:r w:rsidRPr="00522A32">
        <w:rPr>
          <w:rFonts w:eastAsia="HelenPro-Regular"/>
        </w:rPr>
        <w:t xml:space="preserve"> of the patient specimen to 180 </w:t>
      </w:r>
      <w:proofErr w:type="spellStart"/>
      <w:r w:rsidRPr="00522A32">
        <w:rPr>
          <w:rFonts w:eastAsia="HelenPro-Regular"/>
        </w:rPr>
        <w:t>μL</w:t>
      </w:r>
      <w:proofErr w:type="spellEnd"/>
      <w:r w:rsidRPr="00522A32">
        <w:rPr>
          <w:rFonts w:eastAsia="HelenPro-Regular"/>
        </w:rPr>
        <w:t xml:space="preserve"> of Calibrator A.</w:t>
      </w:r>
    </w:p>
    <w:p w:rsidR="00FB7839" w:rsidRPr="00522A32" w:rsidRDefault="00FB7839" w:rsidP="00FB7839">
      <w:pPr>
        <w:autoSpaceDE w:val="0"/>
        <w:autoSpaceDN w:val="0"/>
        <w:adjustRightInd w:val="0"/>
        <w:rPr>
          <w:rFonts w:eastAsia="HelenPro-Regular"/>
        </w:rPr>
      </w:pPr>
      <w:r w:rsidRPr="00522A32">
        <w:rPr>
          <w:rFonts w:eastAsia="HelenPro-Regular"/>
        </w:rPr>
        <w:t>2. The operator must enter the di</w:t>
      </w:r>
      <w:r w:rsidR="00A06293" w:rsidRPr="00522A32">
        <w:rPr>
          <w:rFonts w:eastAsia="HelenPro-Regular"/>
        </w:rPr>
        <w:t xml:space="preserve">lution factor in the Patient or </w:t>
      </w:r>
      <w:r w:rsidRPr="00522A32">
        <w:rPr>
          <w:rFonts w:eastAsia="HelenPro-Regular"/>
        </w:rPr>
        <w:t>Control order screen. The system will use this dilution factor to</w:t>
      </w:r>
      <w:r w:rsidR="00A06293" w:rsidRPr="00522A32">
        <w:rPr>
          <w:rFonts w:eastAsia="HelenPro-Regular"/>
        </w:rPr>
        <w:t xml:space="preserve"> </w:t>
      </w:r>
      <w:r w:rsidRPr="00522A32">
        <w:rPr>
          <w:rFonts w:eastAsia="HelenPro-Regular"/>
        </w:rPr>
        <w:t>automatically calculate the concentration of the sample before</w:t>
      </w:r>
      <w:r w:rsidR="00A06293" w:rsidRPr="00522A32">
        <w:rPr>
          <w:rFonts w:eastAsia="HelenPro-Regular"/>
        </w:rPr>
        <w:t xml:space="preserve"> </w:t>
      </w:r>
      <w:r w:rsidRPr="00522A32">
        <w:rPr>
          <w:rFonts w:eastAsia="HelenPro-Regular"/>
        </w:rPr>
        <w:t xml:space="preserve">dilution and report the result. The result should be &gt; 0.30 </w:t>
      </w:r>
      <w:proofErr w:type="spellStart"/>
      <w:r w:rsidRPr="00522A32">
        <w:rPr>
          <w:rFonts w:eastAsia="HelenPro-Regular"/>
        </w:rPr>
        <w:t>ng</w:t>
      </w:r>
      <w:proofErr w:type="spellEnd"/>
      <w:r w:rsidRPr="00522A32">
        <w:rPr>
          <w:rFonts w:eastAsia="HelenPro-Regular"/>
        </w:rPr>
        <w:t>/mL</w:t>
      </w:r>
      <w:r w:rsidR="00A06293" w:rsidRPr="00522A32">
        <w:rPr>
          <w:rFonts w:eastAsia="HelenPro-Regular"/>
        </w:rPr>
        <w:t xml:space="preserve"> </w:t>
      </w:r>
      <w:r w:rsidRPr="00522A32">
        <w:rPr>
          <w:rFonts w:eastAsia="HelenPro-Regular"/>
        </w:rPr>
        <w:t>before the dilution factor is applied.</w:t>
      </w:r>
    </w:p>
    <w:p w:rsidR="00DA0D83" w:rsidRPr="00522A32" w:rsidRDefault="00FB7839" w:rsidP="00FB7839">
      <w:pPr>
        <w:autoSpaceDE w:val="0"/>
        <w:autoSpaceDN w:val="0"/>
        <w:adjustRightInd w:val="0"/>
        <w:rPr>
          <w:rFonts w:eastAsia="HelenPro-Regular"/>
        </w:rPr>
      </w:pPr>
      <w:r w:rsidRPr="00522A32">
        <w:rPr>
          <w:rFonts w:eastAsia="HelenPro-Regular"/>
        </w:rPr>
        <w:t>For detailed information on ordering di</w:t>
      </w:r>
      <w:r w:rsidR="00A06293" w:rsidRPr="00522A32">
        <w:rPr>
          <w:rFonts w:eastAsia="HelenPro-Regular"/>
        </w:rPr>
        <w:t xml:space="preserve">lutions, refer to the ARCHITECT </w:t>
      </w:r>
      <w:r w:rsidRPr="00522A32">
        <w:rPr>
          <w:rFonts w:eastAsia="HelenPro-Regular"/>
        </w:rPr>
        <w:t>System Operations Manual, Section 5.</w:t>
      </w:r>
    </w:p>
    <w:p w:rsidR="00DA0D83" w:rsidRPr="00522A32" w:rsidRDefault="00DA0D83" w:rsidP="00F95946">
      <w:pPr>
        <w:rPr>
          <w:b/>
          <w:color w:val="000000"/>
        </w:rPr>
      </w:pPr>
    </w:p>
    <w:p w:rsidR="00912FE4" w:rsidRPr="00522A32" w:rsidRDefault="00912FE4" w:rsidP="00F95946">
      <w:pPr>
        <w:rPr>
          <w:rFonts w:eastAsia="HelenPro-Regular"/>
        </w:rPr>
      </w:pPr>
      <w:r w:rsidRPr="00522A32">
        <w:rPr>
          <w:b/>
          <w:color w:val="000000"/>
        </w:rPr>
        <w:t>Precision:</w:t>
      </w:r>
      <w:r w:rsidR="0038442D" w:rsidRPr="00522A32">
        <w:rPr>
          <w:b/>
          <w:color w:val="000000"/>
        </w:rPr>
        <w:t xml:space="preserve"> </w:t>
      </w:r>
    </w:p>
    <w:p w:rsidR="00893E5B" w:rsidRPr="00522A32" w:rsidRDefault="00A06293" w:rsidP="00A06293">
      <w:pPr>
        <w:autoSpaceDE w:val="0"/>
        <w:autoSpaceDN w:val="0"/>
        <w:adjustRightInd w:val="0"/>
        <w:rPr>
          <w:rFonts w:eastAsia="HelenPro-Regular"/>
        </w:rPr>
      </w:pPr>
      <w:r w:rsidRPr="00522A32">
        <w:rPr>
          <w:rFonts w:eastAsia="HelenPro-Regular"/>
        </w:rPr>
        <w:t xml:space="preserve">The ARCHITECT </w:t>
      </w:r>
      <w:proofErr w:type="spellStart"/>
      <w:r w:rsidR="00BC5E5F" w:rsidRPr="00522A32">
        <w:rPr>
          <w:rFonts w:eastAsia="HelenPro-Regular"/>
          <w:i/>
        </w:rPr>
        <w:t>i</w:t>
      </w:r>
      <w:proofErr w:type="spellEnd"/>
      <w:r w:rsidR="00BC5E5F" w:rsidRPr="00522A32">
        <w:rPr>
          <w:rFonts w:eastAsia="HelenPro-Regular"/>
        </w:rPr>
        <w:t xml:space="preserve"> Digoxin </w:t>
      </w:r>
      <w:r w:rsidRPr="00522A32">
        <w:rPr>
          <w:rFonts w:eastAsia="HelenPro-Regular"/>
        </w:rPr>
        <w:t>assay is designed to have an assay precision of ≤ 10% total CV.</w:t>
      </w:r>
    </w:p>
    <w:p w:rsidR="00A06293" w:rsidRPr="00522A32" w:rsidRDefault="00A06293" w:rsidP="00A06293">
      <w:pPr>
        <w:autoSpaceDE w:val="0"/>
        <w:autoSpaceDN w:val="0"/>
        <w:adjustRightInd w:val="0"/>
        <w:rPr>
          <w:rFonts w:eastAsia="HelenPro-Regular"/>
        </w:rPr>
      </w:pPr>
      <w:r w:rsidRPr="00522A32">
        <w:rPr>
          <w:noProof/>
        </w:rPr>
        <w:drawing>
          <wp:inline distT="0" distB="0" distL="0" distR="0" wp14:anchorId="5B77822B" wp14:editId="12C99340">
            <wp:extent cx="4241441" cy="2243470"/>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38625" cy="2241980"/>
                    </a:xfrm>
                    <a:prstGeom prst="rect">
                      <a:avLst/>
                    </a:prstGeom>
                  </pic:spPr>
                </pic:pic>
              </a:graphicData>
            </a:graphic>
          </wp:inline>
        </w:drawing>
      </w:r>
    </w:p>
    <w:p w:rsidR="00C53E37" w:rsidRPr="00522A32" w:rsidRDefault="00C53E37" w:rsidP="00C53E37">
      <w:pPr>
        <w:pStyle w:val="Heading4"/>
        <w:rPr>
          <w:sz w:val="24"/>
          <w:szCs w:val="24"/>
        </w:rPr>
      </w:pPr>
      <w:r w:rsidRPr="00522A32">
        <w:rPr>
          <w:sz w:val="24"/>
          <w:szCs w:val="24"/>
        </w:rPr>
        <w:t>Limitations of Procedure</w:t>
      </w:r>
      <w:r w:rsidR="00973EAF" w:rsidRPr="00522A32">
        <w:rPr>
          <w:sz w:val="24"/>
          <w:szCs w:val="24"/>
        </w:rPr>
        <w:t xml:space="preserve"> </w:t>
      </w:r>
    </w:p>
    <w:p w:rsidR="005B1BF7" w:rsidRPr="00522A32" w:rsidRDefault="005B1BF7" w:rsidP="005B1BF7">
      <w:pPr>
        <w:pStyle w:val="ListParagraph"/>
        <w:numPr>
          <w:ilvl w:val="0"/>
          <w:numId w:val="20"/>
        </w:numPr>
        <w:autoSpaceDE w:val="0"/>
        <w:autoSpaceDN w:val="0"/>
        <w:adjustRightInd w:val="0"/>
        <w:rPr>
          <w:rFonts w:eastAsia="HelenPro-Regular"/>
        </w:rPr>
      </w:pPr>
      <w:r w:rsidRPr="00522A32">
        <w:rPr>
          <w:rFonts w:eastAsia="HelenPro-Regular"/>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A06293" w:rsidRPr="00522A32" w:rsidRDefault="005B1BF7" w:rsidP="00FB7839">
      <w:pPr>
        <w:pStyle w:val="ListParagraph"/>
        <w:numPr>
          <w:ilvl w:val="0"/>
          <w:numId w:val="20"/>
        </w:numPr>
        <w:autoSpaceDE w:val="0"/>
        <w:autoSpaceDN w:val="0"/>
        <w:adjustRightInd w:val="0"/>
        <w:rPr>
          <w:rFonts w:eastAsia="HelenPro-Regular"/>
        </w:rPr>
      </w:pPr>
      <w:proofErr w:type="spellStart"/>
      <w:r w:rsidRPr="00522A32">
        <w:rPr>
          <w:rFonts w:eastAsia="HelenPro-Regular"/>
        </w:rPr>
        <w:t>Heterophilic</w:t>
      </w:r>
      <w:proofErr w:type="spellEnd"/>
      <w:r w:rsidRPr="00522A32">
        <w:rPr>
          <w:rFonts w:eastAsia="HelenPro-Regular"/>
        </w:rPr>
        <w:t xml:space="preserve"> antibodies in human serum can react with reagent </w:t>
      </w:r>
      <w:proofErr w:type="spellStart"/>
      <w:r w:rsidRPr="00522A32">
        <w:rPr>
          <w:rFonts w:eastAsia="HelenPro-Regular"/>
        </w:rPr>
        <w:t>immunoglobulins</w:t>
      </w:r>
      <w:proofErr w:type="spellEnd"/>
      <w:r w:rsidRPr="00522A32">
        <w:rPr>
          <w:rFonts w:eastAsia="HelenPro-Regular"/>
        </w:rPr>
        <w:t xml:space="preserve">, interfering with </w:t>
      </w:r>
      <w:r w:rsidRPr="00522A32">
        <w:rPr>
          <w:rFonts w:eastAsia="HelenPro-Bold"/>
          <w:i/>
          <w:iCs/>
        </w:rPr>
        <w:t xml:space="preserve">in vitro </w:t>
      </w:r>
      <w:r w:rsidRPr="00522A32">
        <w:rPr>
          <w:rFonts w:eastAsia="HelenPro-Regular"/>
        </w:rPr>
        <w:t>immunoassays. Patients routinely exposed to animals or to animal serum products can be prone to this interference and anomalous results may be observed. Additional information may be required for diagnosis.</w:t>
      </w:r>
      <w:r w:rsidR="00A06293" w:rsidRPr="00522A32">
        <w:rPr>
          <w:rFonts w:eastAsia="HelenPro-Regular"/>
        </w:rPr>
        <w:t xml:space="preserve"> </w:t>
      </w:r>
    </w:p>
    <w:p w:rsidR="00FB7839" w:rsidRPr="00522A32" w:rsidRDefault="00FB7839" w:rsidP="00A06293">
      <w:pPr>
        <w:pStyle w:val="ListParagraph"/>
        <w:numPr>
          <w:ilvl w:val="0"/>
          <w:numId w:val="20"/>
        </w:numPr>
        <w:autoSpaceDE w:val="0"/>
        <w:autoSpaceDN w:val="0"/>
        <w:adjustRightInd w:val="0"/>
        <w:rPr>
          <w:rFonts w:eastAsia="HelenPro-Regular"/>
        </w:rPr>
      </w:pPr>
      <w:r w:rsidRPr="00522A32">
        <w:rPr>
          <w:rFonts w:eastAsia="HelenPro-Regular"/>
        </w:rPr>
        <w:t>Plasma samples from different anticoagulant tube types should</w:t>
      </w:r>
      <w:r w:rsidR="00A06293" w:rsidRPr="00522A32">
        <w:rPr>
          <w:rFonts w:eastAsia="HelenPro-Regular"/>
        </w:rPr>
        <w:t xml:space="preserve"> </w:t>
      </w:r>
      <w:r w:rsidRPr="00522A32">
        <w:rPr>
          <w:rFonts w:eastAsia="HelenPro-Regular"/>
        </w:rPr>
        <w:t>not be used interchangeably for monitoring digoxin.</w:t>
      </w:r>
    </w:p>
    <w:p w:rsidR="00A06293" w:rsidRPr="00522A32" w:rsidRDefault="00A06293" w:rsidP="00A06293">
      <w:pPr>
        <w:pStyle w:val="ListParagraph"/>
        <w:numPr>
          <w:ilvl w:val="0"/>
          <w:numId w:val="20"/>
        </w:numPr>
        <w:autoSpaceDE w:val="0"/>
        <w:autoSpaceDN w:val="0"/>
        <w:adjustRightInd w:val="0"/>
        <w:rPr>
          <w:rFonts w:eastAsia="HelenPro-Regular"/>
        </w:rPr>
      </w:pPr>
      <w:r w:rsidRPr="00522A32">
        <w:rPr>
          <w:rFonts w:eastAsia="HelenPro-Regular"/>
        </w:rPr>
        <w:t xml:space="preserve">Some immunoassays for digoxin may cross-react with metabolites, which can lead to a positive bias in patient results. Refer to the </w:t>
      </w:r>
      <w:r w:rsidRPr="00522A32">
        <w:rPr>
          <w:rFonts w:eastAsia="HelenPro-Bold"/>
          <w:b/>
          <w:bCs/>
        </w:rPr>
        <w:t>SPECIFIC PERFORMANCE CHARACTERISTICS</w:t>
      </w:r>
      <w:r w:rsidRPr="00522A32">
        <w:rPr>
          <w:rFonts w:eastAsia="HelenPro-Regular"/>
        </w:rPr>
        <w:t xml:space="preserve">, </w:t>
      </w:r>
      <w:r w:rsidRPr="00522A32">
        <w:rPr>
          <w:rFonts w:eastAsia="HelenPro-Bold"/>
          <w:b/>
          <w:bCs/>
        </w:rPr>
        <w:t xml:space="preserve">Specificity </w:t>
      </w:r>
      <w:r w:rsidRPr="00522A32">
        <w:rPr>
          <w:rFonts w:eastAsia="HelenPro-Regular"/>
        </w:rPr>
        <w:t xml:space="preserve">section of the package insert for estimates of </w:t>
      </w:r>
      <w:proofErr w:type="spellStart"/>
      <w:r w:rsidRPr="00522A32">
        <w:rPr>
          <w:rFonts w:eastAsia="HelenPro-Regular"/>
        </w:rPr>
        <w:t>crossreactivity</w:t>
      </w:r>
      <w:proofErr w:type="spellEnd"/>
      <w:r w:rsidRPr="00522A32">
        <w:rPr>
          <w:rFonts w:eastAsia="HelenPro-Regular"/>
        </w:rPr>
        <w:t xml:space="preserve"> of ARCHITECT </w:t>
      </w:r>
      <w:proofErr w:type="spellStart"/>
      <w:r w:rsidR="00BC5E5F" w:rsidRPr="00522A32">
        <w:rPr>
          <w:rFonts w:eastAsia="HelenPro-Regular"/>
          <w:i/>
        </w:rPr>
        <w:t>i</w:t>
      </w:r>
      <w:proofErr w:type="spellEnd"/>
      <w:r w:rsidR="00BC5E5F" w:rsidRPr="00522A32">
        <w:rPr>
          <w:rFonts w:eastAsia="HelenPro-Regular"/>
        </w:rPr>
        <w:t xml:space="preserve"> Digoxin </w:t>
      </w:r>
      <w:r w:rsidRPr="00522A32">
        <w:rPr>
          <w:rFonts w:eastAsia="HelenPro-Regular"/>
        </w:rPr>
        <w:t>to some metabolites of digoxin.</w:t>
      </w:r>
    </w:p>
    <w:p w:rsidR="00A06293" w:rsidRPr="00522A32" w:rsidRDefault="00A06293" w:rsidP="00A06293">
      <w:pPr>
        <w:pStyle w:val="ListParagraph"/>
        <w:numPr>
          <w:ilvl w:val="0"/>
          <w:numId w:val="20"/>
        </w:numPr>
        <w:autoSpaceDE w:val="0"/>
        <w:autoSpaceDN w:val="0"/>
        <w:adjustRightInd w:val="0"/>
        <w:rPr>
          <w:rFonts w:eastAsia="HelenPro-Regular"/>
        </w:rPr>
      </w:pPr>
      <w:r w:rsidRPr="00522A32">
        <w:rPr>
          <w:rFonts w:eastAsia="HelenPro-Regular"/>
        </w:rPr>
        <w:t xml:space="preserve">Digoxin values for specimens from patients who have received DIGIBIND or DIGIFAB therapy may be impacted. See the </w:t>
      </w:r>
      <w:r w:rsidRPr="00522A32">
        <w:rPr>
          <w:rFonts w:eastAsia="HelenPro-Bold"/>
          <w:b/>
          <w:bCs/>
        </w:rPr>
        <w:t>SPECIFIC PERFORMANCE CHARACTERISTICS</w:t>
      </w:r>
      <w:r w:rsidRPr="00522A32">
        <w:rPr>
          <w:rFonts w:eastAsia="HelenPro-Regular"/>
        </w:rPr>
        <w:t xml:space="preserve">, </w:t>
      </w:r>
      <w:r w:rsidRPr="00522A32">
        <w:rPr>
          <w:rFonts w:eastAsia="HelenPro-Bold"/>
          <w:b/>
          <w:bCs/>
        </w:rPr>
        <w:t>Interfering</w:t>
      </w:r>
      <w:r w:rsidRPr="00522A32">
        <w:rPr>
          <w:rFonts w:eastAsia="HelenPro-Regular"/>
        </w:rPr>
        <w:t xml:space="preserve"> </w:t>
      </w:r>
      <w:r w:rsidRPr="00522A32">
        <w:rPr>
          <w:rFonts w:eastAsia="HelenPro-Bold"/>
          <w:b/>
          <w:bCs/>
        </w:rPr>
        <w:t xml:space="preserve">Substances </w:t>
      </w:r>
      <w:r w:rsidRPr="00522A32">
        <w:rPr>
          <w:rFonts w:eastAsia="HelenPro-Regular"/>
        </w:rPr>
        <w:t>section.</w:t>
      </w:r>
    </w:p>
    <w:p w:rsidR="005B1BF7" w:rsidRPr="00522A32" w:rsidRDefault="005B1BF7" w:rsidP="00F95946">
      <w:pPr>
        <w:autoSpaceDE w:val="0"/>
        <w:autoSpaceDN w:val="0"/>
        <w:adjustRightInd w:val="0"/>
        <w:rPr>
          <w:rFonts w:eastAsia="HelenPro-Bold"/>
          <w:b/>
          <w:bCs/>
        </w:rPr>
      </w:pPr>
    </w:p>
    <w:p w:rsidR="00F95946" w:rsidRPr="00522A32" w:rsidRDefault="00F95946" w:rsidP="00F95946">
      <w:pPr>
        <w:autoSpaceDE w:val="0"/>
        <w:autoSpaceDN w:val="0"/>
        <w:adjustRightInd w:val="0"/>
        <w:rPr>
          <w:rFonts w:eastAsia="HelenPro-Bold"/>
          <w:b/>
          <w:bCs/>
        </w:rPr>
      </w:pPr>
      <w:r w:rsidRPr="00522A32">
        <w:rPr>
          <w:rFonts w:eastAsia="HelenPro-Bold"/>
          <w:b/>
          <w:bCs/>
        </w:rPr>
        <w:t>Interfering Substances</w:t>
      </w:r>
    </w:p>
    <w:p w:rsidR="00A06293" w:rsidRPr="00522A32" w:rsidRDefault="00A06293" w:rsidP="00041A33">
      <w:pPr>
        <w:autoSpaceDE w:val="0"/>
        <w:autoSpaceDN w:val="0"/>
        <w:adjustRightInd w:val="0"/>
        <w:ind w:left="720"/>
        <w:rPr>
          <w:rFonts w:eastAsia="HelenPro-Regular"/>
        </w:rPr>
      </w:pPr>
      <w:r w:rsidRPr="00522A32">
        <w:rPr>
          <w:noProof/>
        </w:rPr>
        <w:lastRenderedPageBreak/>
        <w:drawing>
          <wp:inline distT="0" distB="0" distL="0" distR="0" wp14:anchorId="5A22B9BE" wp14:editId="013C9069">
            <wp:extent cx="3186432" cy="3009014"/>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88248" cy="3010729"/>
                    </a:xfrm>
                    <a:prstGeom prst="rect">
                      <a:avLst/>
                    </a:prstGeom>
                  </pic:spPr>
                </pic:pic>
              </a:graphicData>
            </a:graphic>
          </wp:inline>
        </w:drawing>
      </w:r>
    </w:p>
    <w:p w:rsidR="00A06293" w:rsidRPr="00522A32" w:rsidRDefault="00A06293" w:rsidP="00041A33">
      <w:pPr>
        <w:autoSpaceDE w:val="0"/>
        <w:autoSpaceDN w:val="0"/>
        <w:adjustRightInd w:val="0"/>
        <w:ind w:left="720"/>
        <w:rPr>
          <w:rFonts w:eastAsia="HelenPro-Regular"/>
        </w:rPr>
      </w:pPr>
      <w:r w:rsidRPr="00522A32">
        <w:rPr>
          <w:noProof/>
        </w:rPr>
        <w:drawing>
          <wp:inline distT="0" distB="0" distL="0" distR="0" wp14:anchorId="0B7CAC38" wp14:editId="48E789EE">
            <wp:extent cx="3220317" cy="2551814"/>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222994" cy="2553935"/>
                    </a:xfrm>
                    <a:prstGeom prst="rect">
                      <a:avLst/>
                    </a:prstGeom>
                  </pic:spPr>
                </pic:pic>
              </a:graphicData>
            </a:graphic>
          </wp:inline>
        </w:drawing>
      </w:r>
    </w:p>
    <w:p w:rsidR="00A06293" w:rsidRPr="00522A32" w:rsidRDefault="00A06293" w:rsidP="00A06293">
      <w:pPr>
        <w:autoSpaceDE w:val="0"/>
        <w:autoSpaceDN w:val="0"/>
        <w:adjustRightInd w:val="0"/>
        <w:rPr>
          <w:rFonts w:eastAsia="HelenPro-Regular"/>
        </w:rPr>
      </w:pPr>
      <w:r w:rsidRPr="00522A32">
        <w:rPr>
          <w:rFonts w:eastAsia="HelenPro-Regular"/>
        </w:rPr>
        <w:t>It has been reported in the literature that one in ten patients converts 40% or more of oral digoxin to an inactive reduction product (</w:t>
      </w:r>
      <w:proofErr w:type="spellStart"/>
      <w:r w:rsidRPr="00522A32">
        <w:rPr>
          <w:rFonts w:eastAsia="HelenPro-Regular"/>
        </w:rPr>
        <w:t>dihydrodigoxin</w:t>
      </w:r>
      <w:proofErr w:type="spellEnd"/>
      <w:r w:rsidRPr="00522A32">
        <w:rPr>
          <w:rFonts w:eastAsia="HelenPro-Regular"/>
        </w:rPr>
        <w:t xml:space="preserve">) via bacteria in the gut. There is little or no </w:t>
      </w:r>
      <w:proofErr w:type="spellStart"/>
      <w:r w:rsidRPr="00522A32">
        <w:rPr>
          <w:rFonts w:eastAsia="HelenPro-Regular"/>
        </w:rPr>
        <w:t>crossreactivity</w:t>
      </w:r>
      <w:proofErr w:type="spellEnd"/>
      <w:r w:rsidRPr="00522A32">
        <w:rPr>
          <w:rFonts w:eastAsia="HelenPro-Regular"/>
        </w:rPr>
        <w:t xml:space="preserve"> reported for </w:t>
      </w:r>
      <w:proofErr w:type="spellStart"/>
      <w:r w:rsidRPr="00522A32">
        <w:rPr>
          <w:rFonts w:eastAsia="HelenPro-Regular"/>
        </w:rPr>
        <w:t>dihydrodigoxin</w:t>
      </w:r>
      <w:proofErr w:type="spellEnd"/>
    </w:p>
    <w:p w:rsidR="00A06293" w:rsidRPr="00522A32" w:rsidRDefault="00A06293" w:rsidP="00A06293">
      <w:pPr>
        <w:autoSpaceDE w:val="0"/>
        <w:autoSpaceDN w:val="0"/>
        <w:adjustRightInd w:val="0"/>
        <w:rPr>
          <w:rFonts w:eastAsia="HelenPro-Bold"/>
          <w:b/>
          <w:bCs/>
        </w:rPr>
      </w:pPr>
    </w:p>
    <w:p w:rsidR="00A06293" w:rsidRPr="00522A32" w:rsidRDefault="00A06293" w:rsidP="00A06293">
      <w:pPr>
        <w:autoSpaceDE w:val="0"/>
        <w:autoSpaceDN w:val="0"/>
        <w:adjustRightInd w:val="0"/>
        <w:rPr>
          <w:rFonts w:eastAsia="HelenPro-Bold"/>
          <w:b/>
          <w:bCs/>
        </w:rPr>
      </w:pPr>
      <w:r w:rsidRPr="00522A32">
        <w:rPr>
          <w:rFonts w:eastAsia="HelenPro-Bold"/>
          <w:b/>
          <w:bCs/>
        </w:rPr>
        <w:t>Interfering Substances</w:t>
      </w:r>
    </w:p>
    <w:p w:rsidR="005E48EE" w:rsidRPr="00522A32" w:rsidRDefault="00A06293" w:rsidP="00A06293">
      <w:pPr>
        <w:autoSpaceDE w:val="0"/>
        <w:autoSpaceDN w:val="0"/>
        <w:adjustRightInd w:val="0"/>
        <w:rPr>
          <w:rFonts w:eastAsia="HelenPro-Regular"/>
        </w:rPr>
      </w:pPr>
      <w:r w:rsidRPr="00522A32">
        <w:rPr>
          <w:rFonts w:eastAsia="HelenPro-Regular"/>
        </w:rPr>
        <w:t xml:space="preserve">Potential interference in the ARCHITECT </w:t>
      </w:r>
      <w:proofErr w:type="spellStart"/>
      <w:r w:rsidR="00BC5E5F" w:rsidRPr="00522A32">
        <w:rPr>
          <w:rFonts w:eastAsia="HelenPro-Regular"/>
          <w:i/>
        </w:rPr>
        <w:t>i</w:t>
      </w:r>
      <w:proofErr w:type="spellEnd"/>
      <w:r w:rsidR="00BC5E5F" w:rsidRPr="00522A32">
        <w:rPr>
          <w:rFonts w:eastAsia="HelenPro-Regular"/>
        </w:rPr>
        <w:t xml:space="preserve"> Digoxin </w:t>
      </w:r>
      <w:r w:rsidRPr="00522A32">
        <w:rPr>
          <w:rFonts w:eastAsia="HelenPro-Regular"/>
        </w:rPr>
        <w:t>assay from the following compounds is designed to have a mean recovery of 100 +/- 10% of the control results at the levels indicated.</w:t>
      </w:r>
    </w:p>
    <w:p w:rsidR="00A06293" w:rsidRPr="00522A32" w:rsidRDefault="00A06293" w:rsidP="00A06293">
      <w:pPr>
        <w:autoSpaceDE w:val="0"/>
        <w:autoSpaceDN w:val="0"/>
        <w:adjustRightInd w:val="0"/>
        <w:rPr>
          <w:rFonts w:eastAsia="HelenPro-Regular"/>
        </w:rPr>
      </w:pPr>
      <w:r w:rsidRPr="00522A32">
        <w:rPr>
          <w:noProof/>
        </w:rPr>
        <w:lastRenderedPageBreak/>
        <w:drawing>
          <wp:inline distT="0" distB="0" distL="0" distR="0" wp14:anchorId="75A34D88" wp14:editId="14E2494E">
            <wp:extent cx="3338624" cy="134917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350510" cy="1353973"/>
                    </a:xfrm>
                    <a:prstGeom prst="rect">
                      <a:avLst/>
                    </a:prstGeom>
                  </pic:spPr>
                </pic:pic>
              </a:graphicData>
            </a:graphic>
          </wp:inline>
        </w:drawing>
      </w:r>
    </w:p>
    <w:p w:rsidR="00A06293" w:rsidRPr="00522A32" w:rsidRDefault="00A06293" w:rsidP="00A06293">
      <w:pPr>
        <w:autoSpaceDE w:val="0"/>
        <w:autoSpaceDN w:val="0"/>
        <w:adjustRightInd w:val="0"/>
        <w:rPr>
          <w:rFonts w:eastAsia="HelenPro-Regular"/>
        </w:rPr>
      </w:pPr>
      <w:r w:rsidRPr="00522A32">
        <w:rPr>
          <w:rFonts w:eastAsia="HelenPro-Regular"/>
        </w:rPr>
        <w:t>The manufacturer of Digoxin Immune Fab has stated that no immunoassay technique is suitable for quantitating digoxin in serum from patients on antibody fragment therapy. According to the manufacturer’s insert, DIGIBIND will interfere with digitalis immunoassay measurements</w:t>
      </w:r>
    </w:p>
    <w:p w:rsidR="00041A33" w:rsidRPr="00522A32" w:rsidRDefault="00041A33"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3D1558" w:rsidRPr="00522A32" w:rsidRDefault="003D1558" w:rsidP="00D16B69">
      <w:pPr>
        <w:jc w:val="both"/>
        <w:rPr>
          <w:b/>
        </w:rPr>
      </w:pPr>
    </w:p>
    <w:p w:rsidR="00D16B69" w:rsidRPr="00522A32" w:rsidRDefault="00D16B69" w:rsidP="00D16B69">
      <w:pPr>
        <w:jc w:val="both"/>
        <w:rPr>
          <w:b/>
        </w:rPr>
      </w:pPr>
      <w:r w:rsidRPr="00522A32">
        <w:rPr>
          <w:b/>
        </w:rPr>
        <w:t>References:</w:t>
      </w:r>
      <w:r w:rsidR="00973EAF" w:rsidRPr="00522A32">
        <w:rPr>
          <w:b/>
        </w:rPr>
        <w:t xml:space="preserve"> </w:t>
      </w:r>
    </w:p>
    <w:p w:rsidR="000A13F2" w:rsidRPr="00522A32" w:rsidRDefault="000A13F2" w:rsidP="00030CDD">
      <w:pPr>
        <w:pStyle w:val="ListParagraph"/>
        <w:numPr>
          <w:ilvl w:val="0"/>
          <w:numId w:val="4"/>
        </w:numPr>
        <w:rPr>
          <w:sz w:val="22"/>
          <w:szCs w:val="22"/>
        </w:rPr>
      </w:pPr>
      <w:r w:rsidRPr="00522A32">
        <w:rPr>
          <w:sz w:val="22"/>
          <w:szCs w:val="22"/>
        </w:rPr>
        <w:t xml:space="preserve">ABBOTT ARCHITECT </w:t>
      </w:r>
      <w:proofErr w:type="spellStart"/>
      <w:r w:rsidR="00BC5E5F" w:rsidRPr="00522A32">
        <w:rPr>
          <w:rFonts w:eastAsia="HelenPro-Regular"/>
          <w:i/>
        </w:rPr>
        <w:t>i</w:t>
      </w:r>
      <w:proofErr w:type="spellEnd"/>
      <w:r w:rsidR="00BC5E5F" w:rsidRPr="00522A32">
        <w:rPr>
          <w:rFonts w:eastAsia="HelenPro-Regular"/>
        </w:rPr>
        <w:t xml:space="preserve"> Digoxin </w:t>
      </w:r>
      <w:r w:rsidRPr="00522A32">
        <w:rPr>
          <w:sz w:val="22"/>
          <w:szCs w:val="22"/>
        </w:rPr>
        <w:t>package insert</w:t>
      </w:r>
    </w:p>
    <w:p w:rsidR="000A13F2" w:rsidRPr="00522A32" w:rsidRDefault="000A13F2" w:rsidP="000A13F2">
      <w:pPr>
        <w:pStyle w:val="ListParagraph"/>
        <w:rPr>
          <w:sz w:val="22"/>
          <w:szCs w:val="22"/>
        </w:rPr>
      </w:pPr>
      <w:r w:rsidRPr="00522A32">
        <w:rPr>
          <w:sz w:val="22"/>
          <w:szCs w:val="22"/>
        </w:rPr>
        <w:t>Abbott Laboratories</w:t>
      </w:r>
    </w:p>
    <w:p w:rsidR="000A13F2" w:rsidRPr="00522A32" w:rsidRDefault="000A13F2" w:rsidP="000A13F2">
      <w:pPr>
        <w:pStyle w:val="ListParagraph"/>
        <w:rPr>
          <w:sz w:val="22"/>
          <w:szCs w:val="22"/>
        </w:rPr>
      </w:pPr>
      <w:r w:rsidRPr="00522A32">
        <w:rPr>
          <w:sz w:val="22"/>
          <w:szCs w:val="22"/>
        </w:rPr>
        <w:t>Diagnostics Division</w:t>
      </w:r>
    </w:p>
    <w:p w:rsidR="000A13F2" w:rsidRPr="00522A32" w:rsidRDefault="000A13F2" w:rsidP="000A13F2">
      <w:pPr>
        <w:pStyle w:val="ListParagraph"/>
        <w:rPr>
          <w:sz w:val="22"/>
          <w:szCs w:val="22"/>
        </w:rPr>
      </w:pPr>
      <w:r w:rsidRPr="00522A32">
        <w:rPr>
          <w:sz w:val="22"/>
          <w:szCs w:val="22"/>
        </w:rPr>
        <w:t>Abbott Park, IL  60064</w:t>
      </w:r>
    </w:p>
    <w:p w:rsidR="00425BA0" w:rsidRPr="00522A32" w:rsidRDefault="00924391" w:rsidP="00425BA0">
      <w:pPr>
        <w:pStyle w:val="ListParagraph"/>
        <w:rPr>
          <w:rFonts w:eastAsia="HelenPro-Bold"/>
          <w:b/>
          <w:bCs/>
          <w:sz w:val="20"/>
          <w:szCs w:val="20"/>
        </w:rPr>
      </w:pPr>
      <w:r w:rsidRPr="00522A32">
        <w:rPr>
          <w:bCs/>
          <w:sz w:val="22"/>
          <w:szCs w:val="22"/>
        </w:rPr>
        <w:t>Jan</w:t>
      </w:r>
      <w:r w:rsidR="0074336C" w:rsidRPr="00522A32">
        <w:rPr>
          <w:bCs/>
          <w:sz w:val="22"/>
          <w:szCs w:val="22"/>
        </w:rPr>
        <w:t xml:space="preserve"> 201</w:t>
      </w:r>
      <w:r w:rsidRPr="00522A32">
        <w:rPr>
          <w:bCs/>
          <w:sz w:val="22"/>
          <w:szCs w:val="22"/>
        </w:rPr>
        <w:t>5</w:t>
      </w:r>
      <w:r w:rsidR="000A13F2" w:rsidRPr="00522A32">
        <w:rPr>
          <w:bCs/>
          <w:sz w:val="22"/>
          <w:szCs w:val="22"/>
        </w:rPr>
        <w:t xml:space="preserve"> </w:t>
      </w:r>
      <w:r w:rsidRPr="00522A32">
        <w:rPr>
          <w:rFonts w:eastAsia="HelenPro-Bold"/>
          <w:bCs/>
        </w:rPr>
        <w:t>G1-0314</w:t>
      </w:r>
      <w:r w:rsidRPr="00522A32">
        <w:rPr>
          <w:rFonts w:eastAsia="HelenPro-Bold"/>
        </w:rPr>
        <w:t xml:space="preserve">/ </w:t>
      </w:r>
      <w:r w:rsidRPr="00522A32">
        <w:rPr>
          <w:rFonts w:eastAsia="HelenPro-Bold"/>
          <w:bCs/>
        </w:rPr>
        <w:t>R06</w:t>
      </w:r>
    </w:p>
    <w:p w:rsidR="000A13F2" w:rsidRPr="00522A32" w:rsidRDefault="000A13F2" w:rsidP="00425BA0">
      <w:pPr>
        <w:pStyle w:val="ListParagraph"/>
        <w:numPr>
          <w:ilvl w:val="0"/>
          <w:numId w:val="4"/>
        </w:numPr>
        <w:rPr>
          <w:rFonts w:eastAsia="HelenPro-Bold"/>
          <w:b/>
          <w:bCs/>
          <w:sz w:val="20"/>
          <w:szCs w:val="20"/>
        </w:rPr>
      </w:pPr>
      <w:r w:rsidRPr="00522A32">
        <w:rPr>
          <w:sz w:val="22"/>
          <w:szCs w:val="22"/>
        </w:rPr>
        <w:t xml:space="preserve">ABBOTT ARCHITECT </w:t>
      </w:r>
      <w:proofErr w:type="spellStart"/>
      <w:r w:rsidR="00BC5E5F" w:rsidRPr="00522A32">
        <w:rPr>
          <w:rFonts w:eastAsia="HelenPro-Regular"/>
          <w:i/>
        </w:rPr>
        <w:t>i</w:t>
      </w:r>
      <w:proofErr w:type="spellEnd"/>
      <w:r w:rsidR="00BC5E5F" w:rsidRPr="00522A32">
        <w:rPr>
          <w:rFonts w:eastAsia="HelenPro-Regular"/>
        </w:rPr>
        <w:t xml:space="preserve"> Digoxin </w:t>
      </w:r>
      <w:r w:rsidRPr="00522A32">
        <w:rPr>
          <w:sz w:val="22"/>
          <w:szCs w:val="22"/>
        </w:rPr>
        <w:t>Calibrator package insert</w:t>
      </w:r>
    </w:p>
    <w:p w:rsidR="000A13F2" w:rsidRPr="00522A32" w:rsidRDefault="000A13F2" w:rsidP="000A13F2">
      <w:pPr>
        <w:pStyle w:val="ListParagraph"/>
        <w:rPr>
          <w:sz w:val="22"/>
          <w:szCs w:val="22"/>
        </w:rPr>
      </w:pPr>
      <w:r w:rsidRPr="00522A32">
        <w:rPr>
          <w:sz w:val="22"/>
          <w:szCs w:val="22"/>
        </w:rPr>
        <w:t>Abbott Laboratories</w:t>
      </w:r>
    </w:p>
    <w:p w:rsidR="000A13F2" w:rsidRPr="00522A32" w:rsidRDefault="000A13F2" w:rsidP="000A13F2">
      <w:pPr>
        <w:pStyle w:val="ListParagraph"/>
        <w:rPr>
          <w:sz w:val="22"/>
          <w:szCs w:val="22"/>
        </w:rPr>
      </w:pPr>
      <w:r w:rsidRPr="00522A32">
        <w:rPr>
          <w:sz w:val="22"/>
          <w:szCs w:val="22"/>
        </w:rPr>
        <w:t>Diagnostics Division</w:t>
      </w:r>
    </w:p>
    <w:p w:rsidR="000A13F2" w:rsidRPr="00522A32" w:rsidRDefault="000A13F2" w:rsidP="000A13F2">
      <w:pPr>
        <w:pStyle w:val="ListParagraph"/>
        <w:rPr>
          <w:sz w:val="22"/>
          <w:szCs w:val="22"/>
        </w:rPr>
      </w:pPr>
      <w:r w:rsidRPr="00522A32">
        <w:rPr>
          <w:sz w:val="22"/>
          <w:szCs w:val="22"/>
        </w:rPr>
        <w:t>Abbott Park, IL  60064</w:t>
      </w:r>
    </w:p>
    <w:p w:rsidR="00173EA4" w:rsidRPr="00522A32" w:rsidRDefault="000A13F2" w:rsidP="00246FA8">
      <w:pPr>
        <w:pStyle w:val="ListParagraph"/>
        <w:numPr>
          <w:ilvl w:val="0"/>
          <w:numId w:val="4"/>
        </w:numPr>
        <w:spacing w:after="72"/>
        <w:jc w:val="both"/>
      </w:pPr>
      <w:r w:rsidRPr="00522A32">
        <w:t>Abbott ARCHITECT</w:t>
      </w:r>
      <w:r w:rsidR="00941AE5" w:rsidRPr="00522A32">
        <w:rPr>
          <w:lang w:val="ru-RU"/>
        </w:rPr>
        <w:t xml:space="preserve"> Operator’s Guid</w:t>
      </w:r>
      <w:r w:rsidR="00941AE5" w:rsidRPr="00522A32">
        <w:t>e</w:t>
      </w:r>
    </w:p>
    <w:p w:rsidR="00941AE5" w:rsidRPr="00522A32" w:rsidRDefault="00941AE5" w:rsidP="00941AE5">
      <w:pPr>
        <w:spacing w:after="72"/>
        <w:jc w:val="both"/>
      </w:pPr>
    </w:p>
    <w:p w:rsidR="00941AE5" w:rsidRPr="00522A32" w:rsidRDefault="00941AE5" w:rsidP="00941AE5">
      <w:pPr>
        <w:spacing w:after="72"/>
        <w:jc w:val="both"/>
      </w:pPr>
    </w:p>
    <w:p w:rsidR="00173EA4" w:rsidRPr="00522A32" w:rsidRDefault="00173EA4" w:rsidP="00246FA8">
      <w:pPr>
        <w:rPr>
          <w:b/>
        </w:rPr>
      </w:pPr>
    </w:p>
    <w:p w:rsidR="00881923" w:rsidRPr="00522A32" w:rsidRDefault="002D18CA" w:rsidP="00246FA8">
      <w:pPr>
        <w:rPr>
          <w:i/>
          <w:sz w:val="20"/>
          <w:szCs w:val="20"/>
        </w:rPr>
      </w:pPr>
      <w:r w:rsidRPr="00522A32">
        <w:rPr>
          <w:b/>
        </w:rPr>
        <w:t>R</w:t>
      </w:r>
      <w:r w:rsidR="0009322F" w:rsidRPr="00522A32">
        <w:rPr>
          <w:b/>
        </w:rPr>
        <w:t xml:space="preserve">elated Documents: </w:t>
      </w:r>
    </w:p>
    <w:p w:rsidR="00157696" w:rsidRPr="00522A32" w:rsidRDefault="00157696" w:rsidP="00246FA8">
      <w:pPr>
        <w:rPr>
          <w:i/>
          <w:color w:val="FF0000"/>
        </w:rPr>
      </w:pPr>
      <w:r w:rsidRPr="00522A32">
        <w:rPr>
          <w:b/>
        </w:rPr>
        <w:t>Attachments:</w:t>
      </w:r>
      <w:r w:rsidR="00973EAF" w:rsidRPr="00522A32">
        <w:rPr>
          <w:b/>
        </w:rPr>
        <w:t xml:space="preserve"> </w:t>
      </w:r>
    </w:p>
    <w:p w:rsidR="002D18CA" w:rsidRPr="00522A32" w:rsidRDefault="002D18CA" w:rsidP="0009322F">
      <w:pPr>
        <w:rPr>
          <w:b/>
        </w:rPr>
      </w:pPr>
    </w:p>
    <w:sectPr w:rsidR="002D18CA" w:rsidRPr="00522A32" w:rsidSect="00507B0C">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D8" w:rsidRDefault="007A5FD8">
      <w:r>
        <w:separator/>
      </w:r>
    </w:p>
  </w:endnote>
  <w:endnote w:type="continuationSeparator" w:id="0">
    <w:p w:rsidR="007A5FD8" w:rsidRDefault="007A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3"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B6" w:rsidRDefault="00C57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970502">
      <w:rPr>
        <w:noProof/>
        <w:sz w:val="20"/>
        <w:szCs w:val="20"/>
      </w:rPr>
      <w:t>13</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970502">
      <w:rPr>
        <w:noProof/>
        <w:sz w:val="20"/>
        <w:szCs w:val="20"/>
      </w:rPr>
      <w:t>13</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B6" w:rsidRDefault="00C57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D8" w:rsidRDefault="007A5FD8">
      <w:r>
        <w:separator/>
      </w:r>
    </w:p>
  </w:footnote>
  <w:footnote w:type="continuationSeparator" w:id="0">
    <w:p w:rsidR="007A5FD8" w:rsidRDefault="007A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B6" w:rsidRDefault="00C57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C579B6">
      <w:rPr>
        <w:b/>
        <w:sz w:val="20"/>
        <w:szCs w:val="20"/>
      </w:rPr>
      <w:t xml:space="preserve"> 4840-CH-123</w:t>
    </w:r>
  </w:p>
  <w:p w:rsidR="00B54C79" w:rsidRDefault="00B54C79" w:rsidP="00100BF8">
    <w:pPr>
      <w:jc w:val="right"/>
      <w:rPr>
        <w:sz w:val="20"/>
        <w:szCs w:val="20"/>
      </w:rPr>
    </w:pPr>
    <w:r>
      <w:rPr>
        <w:sz w:val="20"/>
        <w:szCs w:val="20"/>
      </w:rPr>
      <w:t xml:space="preserve">ARCHITECT </w:t>
    </w:r>
    <w:proofErr w:type="spellStart"/>
    <w:r w:rsidR="008C4A98">
      <w:rPr>
        <w:sz w:val="20"/>
        <w:szCs w:val="20"/>
      </w:rPr>
      <w:t>i</w:t>
    </w:r>
    <w:r w:rsidR="00380D60">
      <w:rPr>
        <w:sz w:val="20"/>
        <w:szCs w:val="20"/>
      </w:rPr>
      <w:t>Dig</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B6" w:rsidRDefault="00C57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97B8D"/>
    <w:multiLevelType w:val="hybridMultilevel"/>
    <w:tmpl w:val="A17829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nsid w:val="6F4D28C7"/>
    <w:multiLevelType w:val="hybridMultilevel"/>
    <w:tmpl w:val="422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3"/>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0"/>
  </w:num>
  <w:num w:numId="9">
    <w:abstractNumId w:val="17"/>
  </w:num>
  <w:num w:numId="10">
    <w:abstractNumId w:val="13"/>
  </w:num>
  <w:num w:numId="11">
    <w:abstractNumId w:val="16"/>
  </w:num>
  <w:num w:numId="12">
    <w:abstractNumId w:val="1"/>
  </w:num>
  <w:num w:numId="13">
    <w:abstractNumId w:val="7"/>
  </w:num>
  <w:num w:numId="14">
    <w:abstractNumId w:val="11"/>
  </w:num>
  <w:num w:numId="15">
    <w:abstractNumId w:val="24"/>
  </w:num>
  <w:num w:numId="16">
    <w:abstractNumId w:val="14"/>
  </w:num>
  <w:num w:numId="17">
    <w:abstractNumId w:val="3"/>
  </w:num>
  <w:num w:numId="18">
    <w:abstractNumId w:val="18"/>
  </w:num>
  <w:num w:numId="19">
    <w:abstractNumId w:val="5"/>
  </w:num>
  <w:num w:numId="20">
    <w:abstractNumId w:val="8"/>
  </w:num>
  <w:num w:numId="21">
    <w:abstractNumId w:val="4"/>
  </w:num>
  <w:num w:numId="22">
    <w:abstractNumId w:val="15"/>
  </w:num>
  <w:num w:numId="23">
    <w:abstractNumId w:val="2"/>
  </w:num>
  <w:num w:numId="24">
    <w:abstractNumId w:val="19"/>
  </w:num>
  <w:num w:numId="25">
    <w:abstractNumId w:val="22"/>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4FD"/>
    <w:rsid w:val="0006011A"/>
    <w:rsid w:val="000602A5"/>
    <w:rsid w:val="00062EAC"/>
    <w:rsid w:val="0006502B"/>
    <w:rsid w:val="000735AF"/>
    <w:rsid w:val="000743B7"/>
    <w:rsid w:val="00081C7F"/>
    <w:rsid w:val="00082648"/>
    <w:rsid w:val="00085F48"/>
    <w:rsid w:val="0009322F"/>
    <w:rsid w:val="000958D6"/>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648A6"/>
    <w:rsid w:val="002649AA"/>
    <w:rsid w:val="002746A8"/>
    <w:rsid w:val="00285727"/>
    <w:rsid w:val="00294A08"/>
    <w:rsid w:val="002B0D2A"/>
    <w:rsid w:val="002B1993"/>
    <w:rsid w:val="002C0E55"/>
    <w:rsid w:val="002C2F49"/>
    <w:rsid w:val="002C7FD5"/>
    <w:rsid w:val="002D18CA"/>
    <w:rsid w:val="002D2075"/>
    <w:rsid w:val="002D370D"/>
    <w:rsid w:val="002D38DF"/>
    <w:rsid w:val="002D70E2"/>
    <w:rsid w:val="002E679B"/>
    <w:rsid w:val="002F52E0"/>
    <w:rsid w:val="003056A7"/>
    <w:rsid w:val="00317056"/>
    <w:rsid w:val="003356DF"/>
    <w:rsid w:val="00347BEC"/>
    <w:rsid w:val="00353FD5"/>
    <w:rsid w:val="0037463A"/>
    <w:rsid w:val="00380D60"/>
    <w:rsid w:val="0038442D"/>
    <w:rsid w:val="00386807"/>
    <w:rsid w:val="00396C4A"/>
    <w:rsid w:val="003B2E62"/>
    <w:rsid w:val="003B40E1"/>
    <w:rsid w:val="003C2522"/>
    <w:rsid w:val="003C596F"/>
    <w:rsid w:val="003D10DE"/>
    <w:rsid w:val="003D1558"/>
    <w:rsid w:val="003D38B7"/>
    <w:rsid w:val="003D447C"/>
    <w:rsid w:val="003D708C"/>
    <w:rsid w:val="003E62E7"/>
    <w:rsid w:val="00400A1A"/>
    <w:rsid w:val="00400CBA"/>
    <w:rsid w:val="00405EC8"/>
    <w:rsid w:val="00410514"/>
    <w:rsid w:val="00413FEE"/>
    <w:rsid w:val="00425BA0"/>
    <w:rsid w:val="00431747"/>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7B0C"/>
    <w:rsid w:val="00522A32"/>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607638"/>
    <w:rsid w:val="00610572"/>
    <w:rsid w:val="006107A2"/>
    <w:rsid w:val="0061553C"/>
    <w:rsid w:val="00621ABB"/>
    <w:rsid w:val="00623EFB"/>
    <w:rsid w:val="0063150E"/>
    <w:rsid w:val="00644800"/>
    <w:rsid w:val="006559EB"/>
    <w:rsid w:val="00656BB9"/>
    <w:rsid w:val="00674186"/>
    <w:rsid w:val="00682038"/>
    <w:rsid w:val="00687C2F"/>
    <w:rsid w:val="006A15AE"/>
    <w:rsid w:val="006A5AAE"/>
    <w:rsid w:val="006B0A70"/>
    <w:rsid w:val="006B3C65"/>
    <w:rsid w:val="006D28ED"/>
    <w:rsid w:val="006D40ED"/>
    <w:rsid w:val="006E5155"/>
    <w:rsid w:val="006F7F4F"/>
    <w:rsid w:val="00714B7D"/>
    <w:rsid w:val="00714F24"/>
    <w:rsid w:val="00715D55"/>
    <w:rsid w:val="00742830"/>
    <w:rsid w:val="0074336C"/>
    <w:rsid w:val="007703C0"/>
    <w:rsid w:val="007840DD"/>
    <w:rsid w:val="00794A6F"/>
    <w:rsid w:val="007A5FD8"/>
    <w:rsid w:val="007B09E3"/>
    <w:rsid w:val="007B0CCE"/>
    <w:rsid w:val="007B247B"/>
    <w:rsid w:val="007C5AB7"/>
    <w:rsid w:val="007E4CE6"/>
    <w:rsid w:val="007E6C3C"/>
    <w:rsid w:val="0080146D"/>
    <w:rsid w:val="008036AC"/>
    <w:rsid w:val="00804822"/>
    <w:rsid w:val="00812CCF"/>
    <w:rsid w:val="00816ACE"/>
    <w:rsid w:val="00833E15"/>
    <w:rsid w:val="00835A84"/>
    <w:rsid w:val="00841397"/>
    <w:rsid w:val="00846F9F"/>
    <w:rsid w:val="00847607"/>
    <w:rsid w:val="00861504"/>
    <w:rsid w:val="00863AA4"/>
    <w:rsid w:val="00864220"/>
    <w:rsid w:val="00880FDF"/>
    <w:rsid w:val="0088112F"/>
    <w:rsid w:val="00881923"/>
    <w:rsid w:val="0088257A"/>
    <w:rsid w:val="00883611"/>
    <w:rsid w:val="00887139"/>
    <w:rsid w:val="00893E5B"/>
    <w:rsid w:val="008A1AF7"/>
    <w:rsid w:val="008A1CED"/>
    <w:rsid w:val="008A7551"/>
    <w:rsid w:val="008A7F96"/>
    <w:rsid w:val="008B590F"/>
    <w:rsid w:val="008C0AEF"/>
    <w:rsid w:val="008C4A98"/>
    <w:rsid w:val="008D06FF"/>
    <w:rsid w:val="008D30BD"/>
    <w:rsid w:val="008D4DF4"/>
    <w:rsid w:val="008E00E3"/>
    <w:rsid w:val="008F7947"/>
    <w:rsid w:val="008F794A"/>
    <w:rsid w:val="0091292B"/>
    <w:rsid w:val="00912BAD"/>
    <w:rsid w:val="00912FE4"/>
    <w:rsid w:val="0092389D"/>
    <w:rsid w:val="00924391"/>
    <w:rsid w:val="00924B1D"/>
    <w:rsid w:val="00926E1B"/>
    <w:rsid w:val="009318E8"/>
    <w:rsid w:val="00941AE5"/>
    <w:rsid w:val="009467CE"/>
    <w:rsid w:val="00951C8E"/>
    <w:rsid w:val="00952933"/>
    <w:rsid w:val="00953BF2"/>
    <w:rsid w:val="00964971"/>
    <w:rsid w:val="00970502"/>
    <w:rsid w:val="0097314B"/>
    <w:rsid w:val="00973EAF"/>
    <w:rsid w:val="00980C01"/>
    <w:rsid w:val="009841EC"/>
    <w:rsid w:val="009A4991"/>
    <w:rsid w:val="009B4C90"/>
    <w:rsid w:val="009D1D61"/>
    <w:rsid w:val="009D498B"/>
    <w:rsid w:val="009E0FF1"/>
    <w:rsid w:val="009E49EB"/>
    <w:rsid w:val="009F0CBD"/>
    <w:rsid w:val="009F648F"/>
    <w:rsid w:val="00A015C6"/>
    <w:rsid w:val="00A016EE"/>
    <w:rsid w:val="00A06293"/>
    <w:rsid w:val="00A062F7"/>
    <w:rsid w:val="00A06412"/>
    <w:rsid w:val="00A06F60"/>
    <w:rsid w:val="00A1152E"/>
    <w:rsid w:val="00A1486D"/>
    <w:rsid w:val="00A15B97"/>
    <w:rsid w:val="00A226F3"/>
    <w:rsid w:val="00A241F8"/>
    <w:rsid w:val="00A320E4"/>
    <w:rsid w:val="00A35DB6"/>
    <w:rsid w:val="00A408AE"/>
    <w:rsid w:val="00A5042D"/>
    <w:rsid w:val="00A541AC"/>
    <w:rsid w:val="00A554D4"/>
    <w:rsid w:val="00A67673"/>
    <w:rsid w:val="00A71728"/>
    <w:rsid w:val="00A71D1D"/>
    <w:rsid w:val="00A72EC0"/>
    <w:rsid w:val="00A81234"/>
    <w:rsid w:val="00A82E30"/>
    <w:rsid w:val="00A92E30"/>
    <w:rsid w:val="00AA271B"/>
    <w:rsid w:val="00AA7423"/>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2B1"/>
    <w:rsid w:val="00B72271"/>
    <w:rsid w:val="00BA0054"/>
    <w:rsid w:val="00BC1EC4"/>
    <w:rsid w:val="00BC5E5F"/>
    <w:rsid w:val="00BC76E2"/>
    <w:rsid w:val="00BE40A6"/>
    <w:rsid w:val="00BF32B2"/>
    <w:rsid w:val="00C107C8"/>
    <w:rsid w:val="00C32412"/>
    <w:rsid w:val="00C3571A"/>
    <w:rsid w:val="00C44099"/>
    <w:rsid w:val="00C46D5D"/>
    <w:rsid w:val="00C53E37"/>
    <w:rsid w:val="00C579B6"/>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0A7B"/>
    <w:rsid w:val="00D71AF7"/>
    <w:rsid w:val="00D73BF8"/>
    <w:rsid w:val="00D77B64"/>
    <w:rsid w:val="00D80968"/>
    <w:rsid w:val="00D84ADA"/>
    <w:rsid w:val="00D94BB8"/>
    <w:rsid w:val="00D97908"/>
    <w:rsid w:val="00DA040A"/>
    <w:rsid w:val="00DA0D83"/>
    <w:rsid w:val="00DA6C6A"/>
    <w:rsid w:val="00DB3051"/>
    <w:rsid w:val="00DB49D0"/>
    <w:rsid w:val="00DC16C5"/>
    <w:rsid w:val="00DC56D1"/>
    <w:rsid w:val="00DD0481"/>
    <w:rsid w:val="00DE6C4E"/>
    <w:rsid w:val="00DF01DC"/>
    <w:rsid w:val="00DF022C"/>
    <w:rsid w:val="00E03B3D"/>
    <w:rsid w:val="00E07C43"/>
    <w:rsid w:val="00E12522"/>
    <w:rsid w:val="00E12AF4"/>
    <w:rsid w:val="00E30C56"/>
    <w:rsid w:val="00E36B73"/>
    <w:rsid w:val="00E40388"/>
    <w:rsid w:val="00E438CD"/>
    <w:rsid w:val="00E44BED"/>
    <w:rsid w:val="00E4787B"/>
    <w:rsid w:val="00E50643"/>
    <w:rsid w:val="00E97A8C"/>
    <w:rsid w:val="00EA1269"/>
    <w:rsid w:val="00EA713D"/>
    <w:rsid w:val="00EB2F9F"/>
    <w:rsid w:val="00EB33FE"/>
    <w:rsid w:val="00EC002B"/>
    <w:rsid w:val="00EC7B32"/>
    <w:rsid w:val="00ED2343"/>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979"/>
    <w:rsid w:val="00F91000"/>
    <w:rsid w:val="00F92520"/>
    <w:rsid w:val="00F92947"/>
    <w:rsid w:val="00F95946"/>
    <w:rsid w:val="00FB49F4"/>
    <w:rsid w:val="00FB7839"/>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5D04-3F73-4AF3-93DD-D6413A14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2089</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14361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2018-08-22T16:53:00Z</dcterms:created>
  <dcterms:modified xsi:type="dcterms:W3CDTF">2018-10-22T22:30:00Z</dcterms:modified>
</cp:coreProperties>
</file>