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497B20">
      <w:pPr>
        <w:rPr>
          <w:b/>
        </w:rPr>
      </w:pPr>
      <w:r>
        <w:rPr>
          <w:noProof/>
        </w:rPr>
        <w:drawing>
          <wp:inline distT="0" distB="0" distL="0" distR="0" wp14:anchorId="2C5429BD" wp14:editId="33D1F03B">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497B20" w:rsidRPr="007E4CE6" w:rsidRDefault="00497B20">
      <w:pPr>
        <w:rPr>
          <w:b/>
        </w:rPr>
      </w:pPr>
    </w:p>
    <w:p w:rsidR="00D006C7" w:rsidRPr="00D006C7" w:rsidRDefault="008C4A98" w:rsidP="006107A2">
      <w:pPr>
        <w:jc w:val="center"/>
        <w:rPr>
          <w:rFonts w:eastAsia="HelenPro-Regular"/>
          <w:b/>
          <w:sz w:val="28"/>
          <w:szCs w:val="28"/>
        </w:rPr>
      </w:pPr>
      <w:proofErr w:type="spellStart"/>
      <w:r w:rsidRPr="008C4A98">
        <w:rPr>
          <w:rFonts w:eastAsia="HelenPro-Regular"/>
          <w:b/>
          <w:i/>
          <w:sz w:val="28"/>
          <w:szCs w:val="28"/>
        </w:rPr>
        <w:t>i</w:t>
      </w:r>
      <w:r w:rsidR="00E4458F">
        <w:rPr>
          <w:rFonts w:eastAsia="HelenPro-Regular"/>
          <w:b/>
          <w:sz w:val="28"/>
          <w:szCs w:val="28"/>
        </w:rPr>
        <w:t>GENTAMICIN</w:t>
      </w:r>
      <w:proofErr w:type="spellEnd"/>
    </w:p>
    <w:p w:rsidR="0056023B" w:rsidRPr="001A639E" w:rsidRDefault="004A2AA3" w:rsidP="006107A2">
      <w:pPr>
        <w:jc w:val="center"/>
        <w:rPr>
          <w:b/>
          <w:sz w:val="28"/>
          <w:szCs w:val="28"/>
        </w:rPr>
      </w:pPr>
      <w:r>
        <w:rPr>
          <w:b/>
          <w:sz w:val="28"/>
          <w:szCs w:val="28"/>
        </w:rPr>
        <w:t>SERUM</w:t>
      </w:r>
      <w:r w:rsidR="00C32412">
        <w:rPr>
          <w:b/>
          <w:sz w:val="28"/>
          <w:szCs w:val="28"/>
        </w:rPr>
        <w:t xml:space="preserve"> 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4A03BD" w:rsidRPr="00924391" w:rsidRDefault="00DE1362" w:rsidP="00DE1362">
      <w:pPr>
        <w:autoSpaceDE w:val="0"/>
        <w:autoSpaceDN w:val="0"/>
        <w:adjustRightInd w:val="0"/>
        <w:rPr>
          <w:rFonts w:eastAsia="HelenPro-Regular"/>
        </w:rPr>
      </w:pPr>
      <w:r w:rsidRPr="003C5BC8">
        <w:rPr>
          <w:rFonts w:eastAsia="HelenPro-Regular"/>
        </w:rPr>
        <w:t xml:space="preserve">The ARCHITECT </w:t>
      </w:r>
      <w:proofErr w:type="spellStart"/>
      <w:r w:rsidRPr="003C5BC8">
        <w:rPr>
          <w:rFonts w:eastAsia="HelenPro-Regular"/>
          <w:i/>
          <w:iCs/>
        </w:rPr>
        <w:t>i</w:t>
      </w:r>
      <w:proofErr w:type="spellEnd"/>
      <w:r w:rsidRPr="003C5BC8">
        <w:rPr>
          <w:rFonts w:eastAsia="HelenPro-Regular"/>
          <w:i/>
          <w:iCs/>
        </w:rPr>
        <w:t xml:space="preserve"> </w:t>
      </w:r>
      <w:r w:rsidRPr="003C5BC8">
        <w:rPr>
          <w:rFonts w:eastAsia="HelenPro-Regular"/>
        </w:rPr>
        <w:t xml:space="preserve">Gentamicin assay is an </w:t>
      </w:r>
      <w:r w:rsidRPr="003C5BC8">
        <w:rPr>
          <w:rFonts w:eastAsia="HelenPro-Regular"/>
          <w:i/>
          <w:iCs/>
        </w:rPr>
        <w:t xml:space="preserve">in vitro </w:t>
      </w:r>
      <w:proofErr w:type="spellStart"/>
      <w:r w:rsidRPr="003C5BC8">
        <w:rPr>
          <w:rFonts w:eastAsia="HelenPro-Regular"/>
        </w:rPr>
        <w:t>chemiluminescent</w:t>
      </w:r>
      <w:proofErr w:type="spellEnd"/>
      <w:r w:rsidR="003C5BC8">
        <w:rPr>
          <w:rFonts w:eastAsia="HelenPro-Regular"/>
        </w:rPr>
        <w:t xml:space="preserve"> </w:t>
      </w:r>
      <w:proofErr w:type="spellStart"/>
      <w:r w:rsidRPr="003C5BC8">
        <w:rPr>
          <w:rFonts w:eastAsia="HelenPro-Regular"/>
        </w:rPr>
        <w:t>microparticle</w:t>
      </w:r>
      <w:proofErr w:type="spellEnd"/>
      <w:r w:rsidRPr="003C5BC8">
        <w:rPr>
          <w:rFonts w:eastAsia="HelenPro-Regular"/>
        </w:rPr>
        <w:t xml:space="preserve"> immunoassay (CMIA) for the quantitative determination of</w:t>
      </w:r>
      <w:r w:rsidR="003C5BC8">
        <w:rPr>
          <w:rFonts w:eastAsia="HelenPro-Regular"/>
        </w:rPr>
        <w:t xml:space="preserve"> </w:t>
      </w:r>
      <w:r w:rsidRPr="003C5BC8">
        <w:rPr>
          <w:rFonts w:eastAsia="HelenPro-Regular"/>
        </w:rPr>
        <w:t>gentamicin, an antibiotic drug, in human serum or plasma on the ARCHITECT</w:t>
      </w:r>
      <w:r w:rsidR="003C5BC8">
        <w:rPr>
          <w:rFonts w:eastAsia="HelenPro-Regular"/>
        </w:rPr>
        <w:t xml:space="preserve"> </w:t>
      </w:r>
      <w:proofErr w:type="spellStart"/>
      <w:r w:rsidRPr="003C5BC8">
        <w:rPr>
          <w:rFonts w:eastAsia="HelenPro-Regular"/>
          <w:i/>
          <w:iCs/>
        </w:rPr>
        <w:t>i</w:t>
      </w:r>
      <w:proofErr w:type="spellEnd"/>
      <w:r w:rsidRPr="003C5BC8">
        <w:rPr>
          <w:rFonts w:eastAsia="HelenPro-Regular"/>
          <w:i/>
          <w:iCs/>
        </w:rPr>
        <w:t xml:space="preserve"> </w:t>
      </w:r>
      <w:r w:rsidRPr="003C5BC8">
        <w:rPr>
          <w:rFonts w:eastAsia="HelenPro-Regular"/>
        </w:rPr>
        <w:t xml:space="preserve">System with </w:t>
      </w:r>
      <w:r w:rsidRPr="003C5BC8">
        <w:rPr>
          <w:rFonts w:eastAsia="HelenPro-Regular"/>
          <w:i/>
          <w:iCs/>
        </w:rPr>
        <w:t xml:space="preserve">STAT </w:t>
      </w:r>
      <w:r w:rsidRPr="003C5BC8">
        <w:rPr>
          <w:rFonts w:eastAsia="HelenPro-Regular"/>
        </w:rPr>
        <w:t>protocol capability. The measurements obtained are used</w:t>
      </w:r>
      <w:r w:rsidR="003C5BC8">
        <w:rPr>
          <w:rFonts w:eastAsia="HelenPro-Regular"/>
        </w:rPr>
        <w:t xml:space="preserve"> </w:t>
      </w:r>
      <w:r w:rsidRPr="003C5BC8">
        <w:rPr>
          <w:rFonts w:eastAsia="HelenPro-Regular"/>
        </w:rPr>
        <w:t>in the diagnosis and treatment of gentamicin overdose and in monitoring</w:t>
      </w:r>
      <w:r w:rsidR="003C5BC8">
        <w:rPr>
          <w:rFonts w:eastAsia="HelenPro-Regular"/>
        </w:rPr>
        <w:t xml:space="preserve"> </w:t>
      </w:r>
      <w:r w:rsidRPr="003C5BC8">
        <w:rPr>
          <w:rFonts w:eastAsia="HelenPro-Regular"/>
        </w:rPr>
        <w:t>levels of gentamicin to help ensure appropriate therapy</w:t>
      </w:r>
      <w:r>
        <w:rPr>
          <w:rFonts w:ascii="HelenPro-Regular" w:eastAsia="HelenPro-Regular" w:cs="HelenPro-Regular"/>
          <w:sz w:val="16"/>
          <w:szCs w:val="16"/>
        </w:rPr>
        <w:t>.</w:t>
      </w:r>
    </w:p>
    <w:p w:rsidR="00DC16C5" w:rsidRPr="00A062F7" w:rsidRDefault="00DC16C5" w:rsidP="00DC16C5">
      <w:pPr>
        <w:jc w:val="both"/>
        <w:rPr>
          <w:b/>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D84ADA" w:rsidRPr="00924391" w:rsidRDefault="00DE1362" w:rsidP="00DE1362">
      <w:pPr>
        <w:autoSpaceDE w:val="0"/>
        <w:autoSpaceDN w:val="0"/>
        <w:adjustRightInd w:val="0"/>
        <w:rPr>
          <w:rFonts w:eastAsia="HelenPro-Regular"/>
        </w:rPr>
      </w:pPr>
      <w:r w:rsidRPr="003C5BC8">
        <w:rPr>
          <w:rFonts w:eastAsia="HelenPro-Regular"/>
        </w:rPr>
        <w:t>Gentamicin is an aminoglycoside antibiotic which exhibits high potency</w:t>
      </w:r>
      <w:r w:rsidR="003C5BC8">
        <w:rPr>
          <w:rFonts w:eastAsia="HelenPro-Regular"/>
        </w:rPr>
        <w:t xml:space="preserve"> </w:t>
      </w:r>
      <w:r w:rsidRPr="003C5BC8">
        <w:rPr>
          <w:rFonts w:eastAsia="HelenPro-Regular"/>
        </w:rPr>
        <w:t>and a broad spectrum bacterial action against both gram-negative and</w:t>
      </w:r>
      <w:r w:rsidR="003C5BC8">
        <w:rPr>
          <w:rFonts w:eastAsia="HelenPro-Regular"/>
        </w:rPr>
        <w:t xml:space="preserve"> </w:t>
      </w:r>
      <w:r w:rsidRPr="003C5BC8">
        <w:rPr>
          <w:rFonts w:eastAsia="HelenPro-Regular"/>
        </w:rPr>
        <w:t>gram-positive organisms. It exhibits a narrow therapeutic index which</w:t>
      </w:r>
      <w:r w:rsidR="003C5BC8">
        <w:rPr>
          <w:rFonts w:eastAsia="HelenPro-Regular"/>
        </w:rPr>
        <w:t xml:space="preserve"> </w:t>
      </w:r>
      <w:r w:rsidRPr="003C5BC8">
        <w:rPr>
          <w:rFonts w:eastAsia="HelenPro-Regular"/>
        </w:rPr>
        <w:t>makes its use hazardous, especially in patients with impaired renal</w:t>
      </w:r>
      <w:r w:rsidR="003C5BC8">
        <w:rPr>
          <w:rFonts w:eastAsia="HelenPro-Regular"/>
        </w:rPr>
        <w:t xml:space="preserve"> </w:t>
      </w:r>
      <w:r w:rsidRPr="003C5BC8">
        <w:rPr>
          <w:rFonts w:eastAsia="HelenPro-Regular"/>
        </w:rPr>
        <w:t>function. In addition, the dose-serum level profile curve of gentamicin is</w:t>
      </w:r>
      <w:r w:rsidR="003C5BC8">
        <w:rPr>
          <w:rFonts w:eastAsia="HelenPro-Regular"/>
        </w:rPr>
        <w:t xml:space="preserve"> </w:t>
      </w:r>
      <w:r w:rsidRPr="003C5BC8">
        <w:rPr>
          <w:rFonts w:eastAsia="HelenPro-Regular"/>
        </w:rPr>
        <w:t>unpredictable, both in terms of peak-serum levels and elimination half-life</w:t>
      </w:r>
      <w:r w:rsidR="003C5BC8">
        <w:rPr>
          <w:rFonts w:eastAsia="HelenPro-Regular"/>
        </w:rPr>
        <w:t xml:space="preserve"> </w:t>
      </w:r>
      <w:r w:rsidRPr="003C5BC8">
        <w:rPr>
          <w:rFonts w:eastAsia="HelenPro-Regular"/>
        </w:rPr>
        <w:t>from plasma</w:t>
      </w:r>
      <w:r w:rsidR="00924391" w:rsidRPr="00924391">
        <w:rPr>
          <w:rFonts w:eastAsia="HelenPro-Regular"/>
        </w:rPr>
        <w:t>.</w:t>
      </w:r>
    </w:p>
    <w:p w:rsidR="005E48EE" w:rsidRDefault="005E48EE" w:rsidP="008A7F96">
      <w:pPr>
        <w:jc w:val="both"/>
        <w:rPr>
          <w:b/>
          <w:sz w:val="28"/>
          <w:szCs w:val="28"/>
        </w:rPr>
      </w:pPr>
    </w:p>
    <w:p w:rsidR="008A7F96" w:rsidRPr="00460600" w:rsidRDefault="008A7F96" w:rsidP="008A7F96">
      <w:pPr>
        <w:jc w:val="both"/>
        <w:rPr>
          <w:color w:val="FF0000"/>
          <w:sz w:val="28"/>
          <w:szCs w:val="28"/>
        </w:rPr>
      </w:pPr>
      <w:r w:rsidRPr="00460600">
        <w:rPr>
          <w:b/>
          <w:sz w:val="28"/>
          <w:szCs w:val="28"/>
        </w:rPr>
        <w:t>Principle</w:t>
      </w:r>
      <w:r w:rsidRPr="00460600">
        <w:rPr>
          <w:sz w:val="28"/>
          <w:szCs w:val="28"/>
        </w:rPr>
        <w:t xml:space="preserve"> </w:t>
      </w:r>
    </w:p>
    <w:p w:rsidR="008A7F96" w:rsidRPr="00460600" w:rsidRDefault="008A7F96" w:rsidP="008A7F96">
      <w:pPr>
        <w:jc w:val="both"/>
      </w:pPr>
    </w:p>
    <w:p w:rsidR="00DE1362" w:rsidRPr="003C5BC8" w:rsidRDefault="00DE1362" w:rsidP="00DE1362">
      <w:pPr>
        <w:autoSpaceDE w:val="0"/>
        <w:autoSpaceDN w:val="0"/>
        <w:adjustRightInd w:val="0"/>
        <w:rPr>
          <w:rFonts w:eastAsia="HelenPro-Regular"/>
        </w:rPr>
      </w:pPr>
      <w:r w:rsidRPr="003C5BC8">
        <w:rPr>
          <w:rFonts w:eastAsia="HelenPro-Regular"/>
        </w:rPr>
        <w:t xml:space="preserve">The ARCHITECT </w:t>
      </w:r>
      <w:proofErr w:type="spellStart"/>
      <w:r w:rsidRPr="003C5BC8">
        <w:rPr>
          <w:rFonts w:eastAsia="HelenPro-Regular"/>
          <w:i/>
          <w:iCs/>
        </w:rPr>
        <w:t>i</w:t>
      </w:r>
      <w:proofErr w:type="spellEnd"/>
      <w:r w:rsidRPr="003C5BC8">
        <w:rPr>
          <w:rFonts w:eastAsia="HelenPro-Regular"/>
          <w:i/>
          <w:iCs/>
        </w:rPr>
        <w:t xml:space="preserve"> </w:t>
      </w:r>
      <w:r w:rsidRPr="003C5BC8">
        <w:rPr>
          <w:rFonts w:eastAsia="HelenPro-Regular"/>
        </w:rPr>
        <w:t>Gentamicin assay is a one-step immunoassay for the</w:t>
      </w:r>
      <w:r w:rsidR="003C5BC8">
        <w:rPr>
          <w:rFonts w:eastAsia="HelenPro-Regular"/>
        </w:rPr>
        <w:t xml:space="preserve"> </w:t>
      </w:r>
      <w:r w:rsidRPr="003C5BC8">
        <w:rPr>
          <w:rFonts w:eastAsia="HelenPro-Regular"/>
        </w:rPr>
        <w:t>quantitative determination of gentamicin in human serum or plasma using</w:t>
      </w:r>
      <w:r w:rsidR="003C5BC8">
        <w:rPr>
          <w:rFonts w:eastAsia="HelenPro-Regular"/>
        </w:rPr>
        <w:t xml:space="preserve"> </w:t>
      </w:r>
      <w:r w:rsidRPr="003C5BC8">
        <w:rPr>
          <w:rFonts w:eastAsia="HelenPro-Regular"/>
        </w:rPr>
        <w:t xml:space="preserve">CMIA technology with flexible assay protocols, referred to as </w:t>
      </w:r>
      <w:proofErr w:type="spellStart"/>
      <w:r w:rsidRPr="003C5BC8">
        <w:rPr>
          <w:rFonts w:eastAsia="HelenPro-Regular"/>
        </w:rPr>
        <w:t>Chemiflex</w:t>
      </w:r>
      <w:proofErr w:type="spellEnd"/>
      <w:r w:rsidRPr="003C5BC8">
        <w:rPr>
          <w:rFonts w:eastAsia="HelenPro-Regular"/>
        </w:rPr>
        <w:t>.</w:t>
      </w:r>
      <w:r w:rsidR="003C5BC8">
        <w:rPr>
          <w:rFonts w:eastAsia="HelenPro-Regular"/>
        </w:rPr>
        <w:t xml:space="preserve"> </w:t>
      </w:r>
      <w:r w:rsidRPr="003C5BC8">
        <w:rPr>
          <w:rFonts w:eastAsia="HelenPro-Regular"/>
        </w:rPr>
        <w:t xml:space="preserve">In the ARCHITECT </w:t>
      </w:r>
      <w:proofErr w:type="spellStart"/>
      <w:r w:rsidRPr="003C5BC8">
        <w:rPr>
          <w:rFonts w:eastAsia="HelenPro-Regular"/>
          <w:i/>
          <w:iCs/>
        </w:rPr>
        <w:t>i</w:t>
      </w:r>
      <w:proofErr w:type="spellEnd"/>
      <w:r w:rsidRPr="003C5BC8">
        <w:rPr>
          <w:rFonts w:eastAsia="HelenPro-Regular"/>
          <w:i/>
          <w:iCs/>
        </w:rPr>
        <w:t xml:space="preserve"> </w:t>
      </w:r>
      <w:r w:rsidRPr="003C5BC8">
        <w:rPr>
          <w:rFonts w:eastAsia="HelenPro-Regular"/>
        </w:rPr>
        <w:t>Gentamicin assay, sample, anti-gentamicin coated</w:t>
      </w:r>
      <w:r w:rsidR="003C5BC8">
        <w:rPr>
          <w:rFonts w:eastAsia="HelenPro-Regular"/>
        </w:rPr>
        <w:t xml:space="preserve"> </w:t>
      </w:r>
      <w:r w:rsidRPr="003C5BC8">
        <w:rPr>
          <w:rFonts w:eastAsia="HelenPro-Regular"/>
        </w:rPr>
        <w:t xml:space="preserve">paramagnetic </w:t>
      </w:r>
      <w:proofErr w:type="spellStart"/>
      <w:r w:rsidRPr="003C5BC8">
        <w:rPr>
          <w:rFonts w:eastAsia="HelenPro-Regular"/>
        </w:rPr>
        <w:t>microparticles</w:t>
      </w:r>
      <w:proofErr w:type="spellEnd"/>
      <w:r w:rsidRPr="003C5BC8">
        <w:rPr>
          <w:rFonts w:eastAsia="HelenPro-Regular"/>
        </w:rPr>
        <w:t xml:space="preserve">, and gentamicin </w:t>
      </w:r>
      <w:proofErr w:type="spellStart"/>
      <w:r w:rsidRPr="003C5BC8">
        <w:rPr>
          <w:rFonts w:eastAsia="HelenPro-Regular"/>
        </w:rPr>
        <w:t>acridinium</w:t>
      </w:r>
      <w:proofErr w:type="spellEnd"/>
      <w:r w:rsidRPr="003C5BC8">
        <w:rPr>
          <w:rFonts w:ascii="MS Mincho" w:eastAsia="MS Mincho" w:hAnsi="MS Mincho" w:cs="MS Mincho" w:hint="eastAsia"/>
        </w:rPr>
        <w:t>‑</w:t>
      </w:r>
      <w:r w:rsidRPr="003C5BC8">
        <w:rPr>
          <w:rFonts w:eastAsia="HelenPro-Regular"/>
        </w:rPr>
        <w:t>labeled conjugate</w:t>
      </w:r>
      <w:r w:rsidR="003C5BC8">
        <w:rPr>
          <w:rFonts w:eastAsia="HelenPro-Regular"/>
        </w:rPr>
        <w:t xml:space="preserve"> </w:t>
      </w:r>
      <w:r w:rsidRPr="003C5BC8">
        <w:rPr>
          <w:rFonts w:eastAsia="HelenPro-Regular"/>
        </w:rPr>
        <w:t>are combined to create a reaction mixture. The anti-gentamicin coated</w:t>
      </w:r>
      <w:r w:rsidR="003C5BC8">
        <w:rPr>
          <w:rFonts w:eastAsia="HelenPro-Regular"/>
        </w:rPr>
        <w:t xml:space="preserve"> </w:t>
      </w:r>
      <w:proofErr w:type="spellStart"/>
      <w:r w:rsidRPr="003C5BC8">
        <w:rPr>
          <w:rFonts w:eastAsia="HelenPro-Regular"/>
        </w:rPr>
        <w:t>microparticles</w:t>
      </w:r>
      <w:proofErr w:type="spellEnd"/>
      <w:r w:rsidRPr="003C5BC8">
        <w:rPr>
          <w:rFonts w:eastAsia="HelenPro-Regular"/>
        </w:rPr>
        <w:t xml:space="preserve"> bind to the gentamicin present in the sample and to the</w:t>
      </w:r>
      <w:r w:rsidR="003C5BC8">
        <w:rPr>
          <w:rFonts w:eastAsia="HelenPro-Regular"/>
        </w:rPr>
        <w:t xml:space="preserve"> </w:t>
      </w:r>
      <w:proofErr w:type="spellStart"/>
      <w:r w:rsidRPr="003C5BC8">
        <w:rPr>
          <w:rFonts w:eastAsia="HelenPro-Regular"/>
        </w:rPr>
        <w:t>acridinium</w:t>
      </w:r>
      <w:proofErr w:type="spellEnd"/>
      <w:r w:rsidRPr="003C5BC8">
        <w:rPr>
          <w:rFonts w:eastAsia="HelenPro-Regular"/>
        </w:rPr>
        <w:t>-labeled conjugate. After washing, pre-trigger and trigger solutions</w:t>
      </w:r>
      <w:r w:rsidR="003C5BC8">
        <w:rPr>
          <w:rFonts w:eastAsia="HelenPro-Regular"/>
        </w:rPr>
        <w:t xml:space="preserve"> </w:t>
      </w:r>
      <w:r w:rsidRPr="003C5BC8">
        <w:rPr>
          <w:rFonts w:eastAsia="HelenPro-Regular"/>
        </w:rPr>
        <w:t xml:space="preserve">are added to the reaction mixture. The resulting </w:t>
      </w:r>
      <w:proofErr w:type="spellStart"/>
      <w:r w:rsidRPr="003C5BC8">
        <w:rPr>
          <w:rFonts w:eastAsia="HelenPro-Regular"/>
        </w:rPr>
        <w:t>chemiluminescent</w:t>
      </w:r>
      <w:proofErr w:type="spellEnd"/>
      <w:r w:rsidRPr="003C5BC8">
        <w:rPr>
          <w:rFonts w:eastAsia="HelenPro-Regular"/>
        </w:rPr>
        <w:t xml:space="preserve"> reaction</w:t>
      </w:r>
      <w:r w:rsidR="003C5BC8">
        <w:rPr>
          <w:rFonts w:eastAsia="HelenPro-Regular"/>
        </w:rPr>
        <w:t xml:space="preserve"> </w:t>
      </w:r>
      <w:r w:rsidRPr="003C5BC8">
        <w:rPr>
          <w:rFonts w:eastAsia="HelenPro-Regular"/>
        </w:rPr>
        <w:t>is measured as relative light units (RLUs). An indirect relationship exists</w:t>
      </w:r>
      <w:r w:rsidR="003C5BC8">
        <w:rPr>
          <w:rFonts w:eastAsia="HelenPro-Regular"/>
        </w:rPr>
        <w:t xml:space="preserve"> </w:t>
      </w:r>
      <w:r w:rsidRPr="003C5BC8">
        <w:rPr>
          <w:rFonts w:eastAsia="HelenPro-Regular"/>
        </w:rPr>
        <w:t>between the amount of gentamicin in the sample and the RLUs detected</w:t>
      </w:r>
      <w:r w:rsidR="003C5BC8">
        <w:rPr>
          <w:rFonts w:eastAsia="HelenPro-Regular"/>
        </w:rPr>
        <w:t xml:space="preserve"> </w:t>
      </w:r>
      <w:r w:rsidRPr="003C5BC8">
        <w:rPr>
          <w:rFonts w:eastAsia="HelenPro-Regular"/>
        </w:rPr>
        <w:t xml:space="preserve">by the ARCHITECT </w:t>
      </w:r>
      <w:proofErr w:type="spellStart"/>
      <w:r w:rsidRPr="003C5BC8">
        <w:rPr>
          <w:rFonts w:eastAsia="HelenPro-Regular"/>
          <w:i/>
          <w:iCs/>
        </w:rPr>
        <w:t>i</w:t>
      </w:r>
      <w:proofErr w:type="spellEnd"/>
      <w:r w:rsidRPr="003C5BC8">
        <w:rPr>
          <w:rFonts w:eastAsia="HelenPro-Regular"/>
          <w:i/>
          <w:iCs/>
        </w:rPr>
        <w:t xml:space="preserve"> </w:t>
      </w:r>
      <w:r w:rsidRPr="003C5BC8">
        <w:rPr>
          <w:rFonts w:eastAsia="HelenPro-Regular"/>
        </w:rPr>
        <w:t>System optics.</w:t>
      </w:r>
    </w:p>
    <w:p w:rsidR="004E0AFF" w:rsidRPr="003C5BC8" w:rsidRDefault="00DE1362" w:rsidP="003C5BC8">
      <w:pPr>
        <w:autoSpaceDE w:val="0"/>
        <w:autoSpaceDN w:val="0"/>
        <w:adjustRightInd w:val="0"/>
        <w:rPr>
          <w:rFonts w:eastAsia="HelenPro-Regular"/>
        </w:rPr>
      </w:pPr>
      <w:r w:rsidRPr="003C5BC8">
        <w:rPr>
          <w:rFonts w:eastAsia="HelenPro-Regular"/>
        </w:rPr>
        <w:t>For additional information on system and assay technology, refer to the</w:t>
      </w:r>
      <w:r w:rsidR="003C5BC8">
        <w:rPr>
          <w:rFonts w:eastAsia="HelenPro-Regular"/>
        </w:rPr>
        <w:t xml:space="preserve"> </w:t>
      </w:r>
      <w:r w:rsidRPr="003C5BC8">
        <w:rPr>
          <w:rFonts w:eastAsia="HelenPro-Regular"/>
        </w:rPr>
        <w:t>ARCHITECT System Operations Manual, Section 3</w:t>
      </w:r>
      <w:r>
        <w:rPr>
          <w:rFonts w:ascii="HelenPro-Regular" w:eastAsia="HelenPro-Regular" w:cs="HelenPro-Regular"/>
          <w:sz w:val="16"/>
          <w:szCs w:val="16"/>
        </w:rPr>
        <w:t>.</w:t>
      </w:r>
    </w:p>
    <w:p w:rsidR="00DE1362" w:rsidRDefault="00DE1362" w:rsidP="006559EB">
      <w:pPr>
        <w:rPr>
          <w:b/>
          <w:sz w:val="28"/>
          <w:szCs w:val="28"/>
        </w:rPr>
      </w:pPr>
    </w:p>
    <w:p w:rsidR="003C5BC8" w:rsidRDefault="003C5BC8" w:rsidP="006559EB">
      <w:pPr>
        <w:rPr>
          <w:b/>
          <w:sz w:val="28"/>
          <w:szCs w:val="28"/>
        </w:rPr>
      </w:pPr>
    </w:p>
    <w:p w:rsidR="003C5BC8" w:rsidRDefault="003C5BC8" w:rsidP="006559EB">
      <w:pPr>
        <w:rPr>
          <w:b/>
          <w:sz w:val="28"/>
          <w:szCs w:val="28"/>
        </w:rPr>
      </w:pPr>
    </w:p>
    <w:p w:rsidR="003C5BC8" w:rsidRDefault="003C5BC8"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4A03BD" w:rsidRPr="00460600" w:rsidRDefault="004A03BD" w:rsidP="006559EB">
      <w:pPr>
        <w:rPr>
          <w:b/>
        </w:rPr>
      </w:pPr>
    </w:p>
    <w:p w:rsidR="00D77B64" w:rsidRPr="00460600" w:rsidRDefault="00D77B64" w:rsidP="00D77B64">
      <w:pPr>
        <w:autoSpaceDE w:val="0"/>
        <w:autoSpaceDN w:val="0"/>
        <w:adjustRightInd w:val="0"/>
        <w:rPr>
          <w:rFonts w:eastAsia="HelenPro-Bold"/>
          <w:b/>
          <w:bCs/>
        </w:rPr>
      </w:pPr>
      <w:r w:rsidRPr="00460600">
        <w:rPr>
          <w:rFonts w:eastAsia="HelenPro-Bold"/>
          <w:b/>
          <w:bCs/>
        </w:rPr>
        <w:t>Suitable Specimens</w:t>
      </w:r>
    </w:p>
    <w:p w:rsidR="00924391" w:rsidRDefault="00DE1362" w:rsidP="00470CE6">
      <w:pPr>
        <w:autoSpaceDE w:val="0"/>
        <w:autoSpaceDN w:val="0"/>
        <w:adjustRightInd w:val="0"/>
        <w:ind w:firstLine="360"/>
        <w:rPr>
          <w:rFonts w:eastAsia="HelenPro-Regular"/>
        </w:rPr>
      </w:pPr>
      <w:r>
        <w:rPr>
          <w:noProof/>
        </w:rPr>
        <w:lastRenderedPageBreak/>
        <w:drawing>
          <wp:inline distT="0" distB="0" distL="0" distR="0" wp14:anchorId="7B45CF05" wp14:editId="4023E010">
            <wp:extent cx="4210050" cy="1581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10050" cy="1581150"/>
                    </a:xfrm>
                    <a:prstGeom prst="rect">
                      <a:avLst/>
                    </a:prstGeom>
                  </pic:spPr>
                </pic:pic>
              </a:graphicData>
            </a:graphic>
          </wp:inline>
        </w:drawing>
      </w:r>
      <w:r w:rsidR="00924391" w:rsidRPr="00470CE6">
        <w:rPr>
          <w:rFonts w:eastAsia="HelenPro-Regular"/>
        </w:rPr>
        <w:t xml:space="preserve"> </w:t>
      </w:r>
    </w:p>
    <w:p w:rsidR="00924391" w:rsidRPr="00924391" w:rsidRDefault="00924391" w:rsidP="00924391">
      <w:pPr>
        <w:autoSpaceDE w:val="0"/>
        <w:autoSpaceDN w:val="0"/>
        <w:adjustRightInd w:val="0"/>
        <w:rPr>
          <w:rFonts w:eastAsia="HelenPro-Regular"/>
        </w:rPr>
      </w:pPr>
      <w:r w:rsidRPr="00924391">
        <w:rPr>
          <w:rFonts w:eastAsia="HelenPro-Regular"/>
        </w:rPr>
        <w:t>.</w:t>
      </w:r>
    </w:p>
    <w:p w:rsidR="00AA7423" w:rsidRPr="00470CE6" w:rsidRDefault="00AA7423" w:rsidP="00470CE6">
      <w:pPr>
        <w:autoSpaceDE w:val="0"/>
        <w:autoSpaceDN w:val="0"/>
        <w:adjustRightInd w:val="0"/>
        <w:ind w:firstLine="360"/>
        <w:rPr>
          <w:rFonts w:eastAsia="HelenPro-Regular"/>
        </w:rPr>
      </w:pPr>
      <w:r w:rsidRPr="00470CE6">
        <w:rPr>
          <w:rFonts w:eastAsia="HelenPro-Regular"/>
        </w:rPr>
        <w:t>Do not use specimens with the following conditions:</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heat-inactivated</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pooled</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 xml:space="preserve">grossly </w:t>
      </w:r>
      <w:proofErr w:type="spellStart"/>
      <w:r w:rsidRPr="00AA7423">
        <w:rPr>
          <w:rFonts w:eastAsia="HelenPro-Regular"/>
        </w:rPr>
        <w:t>hemolyzed</w:t>
      </w:r>
      <w:proofErr w:type="spellEnd"/>
      <w:r w:rsidR="00924391">
        <w:rPr>
          <w:rFonts w:eastAsia="HelenPro-Regular"/>
        </w:rPr>
        <w:t xml:space="preserve"> </w:t>
      </w:r>
      <w:r w:rsidR="00924391" w:rsidRPr="000048D7">
        <w:rPr>
          <w:rFonts w:ascii="Arial" w:eastAsia="HelenPro-Regular" w:hAnsi="Arial" w:cs="Arial"/>
          <w:sz w:val="20"/>
          <w:szCs w:val="20"/>
        </w:rPr>
        <w:t>(&gt; 750 mg/</w:t>
      </w:r>
      <w:proofErr w:type="spellStart"/>
      <w:r w:rsidR="00924391" w:rsidRPr="000048D7">
        <w:rPr>
          <w:rFonts w:ascii="Arial" w:eastAsia="HelenPro-Regular" w:hAnsi="Arial" w:cs="Arial"/>
          <w:sz w:val="20"/>
          <w:szCs w:val="20"/>
        </w:rPr>
        <w:t>dL</w:t>
      </w:r>
      <w:proofErr w:type="spellEnd"/>
      <w:r w:rsidR="00924391" w:rsidRPr="000048D7">
        <w:rPr>
          <w:rFonts w:ascii="Arial" w:eastAsia="HelenPro-Regular" w:hAnsi="Arial" w:cs="Arial"/>
          <w:sz w:val="20"/>
          <w:szCs w:val="20"/>
        </w:rPr>
        <w:t>)</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obvious microbial contamination</w:t>
      </w:r>
    </w:p>
    <w:p w:rsidR="00AA7423" w:rsidRPr="00470CE6"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cadaver specimens or body fluids other than human serum or</w:t>
      </w:r>
      <w:r w:rsidR="00470CE6">
        <w:rPr>
          <w:rFonts w:eastAsia="HelenPro-Regular"/>
        </w:rPr>
        <w:t xml:space="preserve"> </w:t>
      </w:r>
      <w:r w:rsidRPr="00470CE6">
        <w:rPr>
          <w:rFonts w:eastAsia="HelenPro-Regular"/>
        </w:rPr>
        <w:t>plasma</w:t>
      </w:r>
    </w:p>
    <w:p w:rsidR="00D84ADA" w:rsidRPr="005E48EE" w:rsidRDefault="00D84ADA" w:rsidP="00D70A7B">
      <w:pPr>
        <w:autoSpaceDE w:val="0"/>
        <w:autoSpaceDN w:val="0"/>
        <w:adjustRightInd w:val="0"/>
        <w:rPr>
          <w:rFonts w:eastAsia="HelenPro-Regular"/>
        </w:rPr>
      </w:pPr>
    </w:p>
    <w:p w:rsidR="002C2F49" w:rsidRPr="005E48EE" w:rsidRDefault="002C2F49" w:rsidP="00DC16C5">
      <w:pPr>
        <w:autoSpaceDE w:val="0"/>
        <w:autoSpaceDN w:val="0"/>
        <w:adjustRightInd w:val="0"/>
        <w:rPr>
          <w:rFonts w:eastAsia="HelenPro-Regular"/>
          <w:b/>
        </w:rPr>
      </w:pPr>
    </w:p>
    <w:p w:rsidR="00DC16C5" w:rsidRPr="005E48EE" w:rsidRDefault="00DC16C5" w:rsidP="00DC16C5">
      <w:pPr>
        <w:autoSpaceDE w:val="0"/>
        <w:autoSpaceDN w:val="0"/>
        <w:adjustRightInd w:val="0"/>
        <w:rPr>
          <w:rFonts w:eastAsia="HelenPro-Regular"/>
          <w:b/>
        </w:rPr>
      </w:pPr>
      <w:r w:rsidRPr="005E48EE">
        <w:rPr>
          <w:rFonts w:eastAsia="HelenPro-Regular"/>
          <w:b/>
        </w:rPr>
        <w:t>Specimen Storage</w:t>
      </w:r>
    </w:p>
    <w:p w:rsidR="00DE1362" w:rsidRPr="003C5BC8" w:rsidRDefault="00DE1362" w:rsidP="00DE1362">
      <w:pPr>
        <w:autoSpaceDE w:val="0"/>
        <w:autoSpaceDN w:val="0"/>
        <w:adjustRightInd w:val="0"/>
        <w:rPr>
          <w:rFonts w:eastAsia="HelenPro-Regular"/>
        </w:rPr>
      </w:pPr>
      <w:r w:rsidRPr="003C5BC8">
        <w:rPr>
          <w:rFonts w:eastAsia="HelenPro-Bold"/>
          <w:b/>
          <w:bCs/>
        </w:rPr>
        <w:t xml:space="preserve">• </w:t>
      </w:r>
      <w:r w:rsidRPr="003C5BC8">
        <w:rPr>
          <w:rFonts w:eastAsia="HelenPro-Regular"/>
        </w:rPr>
        <w:t>Specimens may be stored on or off the clot or red blood cells for</w:t>
      </w:r>
    </w:p>
    <w:p w:rsidR="00DE1362" w:rsidRPr="003C5BC8" w:rsidRDefault="00DE1362" w:rsidP="003C5BC8">
      <w:pPr>
        <w:autoSpaceDE w:val="0"/>
        <w:autoSpaceDN w:val="0"/>
        <w:adjustRightInd w:val="0"/>
        <w:ind w:left="720"/>
        <w:rPr>
          <w:rFonts w:eastAsia="HelenPro-Regular"/>
        </w:rPr>
      </w:pPr>
      <w:r w:rsidRPr="003C5BC8">
        <w:rPr>
          <w:rFonts w:eastAsia="HelenPro-Bold"/>
          <w:b/>
          <w:bCs/>
        </w:rPr>
        <w:t xml:space="preserve">• </w:t>
      </w:r>
      <w:r w:rsidRPr="003C5BC8">
        <w:rPr>
          <w:rFonts w:eastAsia="HelenPro-Regular"/>
        </w:rPr>
        <w:t>up to 24 hours at room temperature (15-30°C) or</w:t>
      </w:r>
    </w:p>
    <w:p w:rsidR="00DE1362" w:rsidRPr="003C5BC8" w:rsidRDefault="00DE1362" w:rsidP="003C5BC8">
      <w:pPr>
        <w:autoSpaceDE w:val="0"/>
        <w:autoSpaceDN w:val="0"/>
        <w:adjustRightInd w:val="0"/>
        <w:ind w:left="720"/>
        <w:rPr>
          <w:rFonts w:eastAsia="HelenPro-Regular"/>
        </w:rPr>
      </w:pPr>
      <w:r w:rsidRPr="003C5BC8">
        <w:rPr>
          <w:rFonts w:eastAsia="HelenPro-Bold"/>
          <w:b/>
          <w:bCs/>
        </w:rPr>
        <w:t xml:space="preserve">• </w:t>
      </w:r>
      <w:r w:rsidRPr="003C5BC8">
        <w:rPr>
          <w:rFonts w:eastAsia="HelenPro-Regular"/>
        </w:rPr>
        <w:t>up to 7 days at 2-8°C.</w:t>
      </w:r>
    </w:p>
    <w:p w:rsidR="00DE1362" w:rsidRPr="003C5BC8" w:rsidRDefault="00DE1362" w:rsidP="00DE1362">
      <w:pPr>
        <w:autoSpaceDE w:val="0"/>
        <w:autoSpaceDN w:val="0"/>
        <w:adjustRightInd w:val="0"/>
        <w:rPr>
          <w:rFonts w:eastAsia="HelenPro-Regular"/>
        </w:rPr>
      </w:pPr>
      <w:r w:rsidRPr="003C5BC8">
        <w:rPr>
          <w:rFonts w:eastAsia="HelenPro-Bold"/>
          <w:b/>
          <w:bCs/>
        </w:rPr>
        <w:t xml:space="preserve">• </w:t>
      </w:r>
      <w:r w:rsidRPr="003C5BC8">
        <w:rPr>
          <w:rFonts w:eastAsia="HelenPro-Regular"/>
        </w:rPr>
        <w:t>If testing will be delayed more than 7 days, remove serum or plasma</w:t>
      </w:r>
      <w:r w:rsidR="003C5BC8">
        <w:rPr>
          <w:rFonts w:eastAsia="HelenPro-Regular"/>
        </w:rPr>
        <w:t xml:space="preserve"> </w:t>
      </w:r>
      <w:r w:rsidRPr="003C5BC8">
        <w:rPr>
          <w:rFonts w:eastAsia="HelenPro-Regular"/>
        </w:rPr>
        <w:t>from the clot or red blood cells and store at -20°C or colder.</w:t>
      </w:r>
    </w:p>
    <w:p w:rsidR="00DE1362" w:rsidRPr="003C5BC8" w:rsidRDefault="00DE1362" w:rsidP="00DE1362">
      <w:pPr>
        <w:autoSpaceDE w:val="0"/>
        <w:autoSpaceDN w:val="0"/>
        <w:adjustRightInd w:val="0"/>
        <w:rPr>
          <w:rFonts w:eastAsia="HelenPro-Regular"/>
        </w:rPr>
      </w:pPr>
      <w:r w:rsidRPr="003C5BC8">
        <w:rPr>
          <w:rFonts w:eastAsia="HelenPro-Bold"/>
          <w:b/>
          <w:bCs/>
        </w:rPr>
        <w:t xml:space="preserve">• </w:t>
      </w:r>
      <w:r w:rsidRPr="003C5BC8">
        <w:rPr>
          <w:rFonts w:eastAsia="HelenPro-Regular"/>
        </w:rPr>
        <w:t>Avoid more than three freeze/thaw cycles.</w:t>
      </w:r>
    </w:p>
    <w:p w:rsidR="00AA7423" w:rsidRPr="003C5BC8" w:rsidRDefault="00DE1362" w:rsidP="00DE1362">
      <w:pPr>
        <w:autoSpaceDE w:val="0"/>
        <w:autoSpaceDN w:val="0"/>
        <w:adjustRightInd w:val="0"/>
        <w:rPr>
          <w:rFonts w:eastAsia="HelenPro-Regular"/>
        </w:rPr>
      </w:pPr>
      <w:r w:rsidRPr="003C5BC8">
        <w:rPr>
          <w:rFonts w:eastAsia="HelenPro-Bold"/>
          <w:b/>
          <w:bCs/>
        </w:rPr>
        <w:t xml:space="preserve">• </w:t>
      </w:r>
      <w:r w:rsidRPr="003C5BC8">
        <w:rPr>
          <w:rFonts w:eastAsia="HelenPro-Regular"/>
        </w:rPr>
        <w:t>Samples containing β-lactam antibiotics should be stored frozen if a</w:t>
      </w:r>
      <w:r w:rsidR="003C5BC8">
        <w:rPr>
          <w:rFonts w:eastAsia="HelenPro-Regular"/>
        </w:rPr>
        <w:t xml:space="preserve"> </w:t>
      </w:r>
      <w:r w:rsidRPr="003C5BC8">
        <w:rPr>
          <w:rFonts w:eastAsia="HelenPro-Regular"/>
        </w:rPr>
        <w:t>delay in analysis of more than 8 hours is anticipated. Failure to freeze</w:t>
      </w:r>
      <w:r w:rsidR="003C5BC8">
        <w:rPr>
          <w:rFonts w:eastAsia="HelenPro-Regular"/>
        </w:rPr>
        <w:t xml:space="preserve"> </w:t>
      </w:r>
      <w:r w:rsidRPr="003C5BC8">
        <w:rPr>
          <w:rFonts w:eastAsia="HelenPro-Regular"/>
        </w:rPr>
        <w:t>samples containing these antibiotics may result in falsely low gentamicin</w:t>
      </w:r>
      <w:r w:rsidR="003C5BC8">
        <w:rPr>
          <w:rFonts w:eastAsia="HelenPro-Regular"/>
        </w:rPr>
        <w:t xml:space="preserve"> </w:t>
      </w:r>
      <w:r w:rsidRPr="003C5BC8">
        <w:rPr>
          <w:rFonts w:eastAsia="HelenPro-Regular"/>
        </w:rPr>
        <w:t xml:space="preserve">levels due to </w:t>
      </w:r>
      <w:r w:rsidRPr="003C5BC8">
        <w:rPr>
          <w:rFonts w:eastAsia="HelenPro-Bold"/>
          <w:i/>
          <w:iCs/>
        </w:rPr>
        <w:t xml:space="preserve">in vitro </w:t>
      </w:r>
      <w:r w:rsidRPr="003C5BC8">
        <w:rPr>
          <w:rFonts w:eastAsia="HelenPro-Regular"/>
        </w:rPr>
        <w:t>inactivation</w:t>
      </w:r>
    </w:p>
    <w:p w:rsidR="00DE1362" w:rsidRDefault="00DE1362" w:rsidP="00DE136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F7103F" w:rsidRPr="003C5BC8" w:rsidRDefault="00F7103F" w:rsidP="00973EAF">
      <w:pPr>
        <w:ind w:firstLine="720"/>
      </w:pPr>
      <w:r w:rsidRPr="003C5BC8">
        <w:rPr>
          <w:rFonts w:eastAsia="HelenPro-Regular"/>
        </w:rPr>
        <w:t xml:space="preserve"> </w:t>
      </w:r>
      <w:r w:rsidR="00DE1362" w:rsidRPr="003C5BC8">
        <w:rPr>
          <w:rFonts w:eastAsia="HelenPro-Regular"/>
        </w:rPr>
        <w:t xml:space="preserve">1P31 ARCHITECT </w:t>
      </w:r>
      <w:proofErr w:type="spellStart"/>
      <w:r w:rsidR="00DE1362" w:rsidRPr="003C5BC8">
        <w:rPr>
          <w:rFonts w:eastAsia="HelenPro-Regular"/>
          <w:i/>
          <w:iCs/>
        </w:rPr>
        <w:t>i</w:t>
      </w:r>
      <w:proofErr w:type="spellEnd"/>
      <w:r w:rsidR="00DE1362" w:rsidRPr="003C5BC8">
        <w:rPr>
          <w:rFonts w:eastAsia="HelenPro-Regular"/>
          <w:i/>
          <w:iCs/>
        </w:rPr>
        <w:t xml:space="preserve"> </w:t>
      </w:r>
      <w:r w:rsidR="00DE1362" w:rsidRPr="003C5BC8">
        <w:rPr>
          <w:rFonts w:eastAsia="HelenPro-Regular"/>
        </w:rPr>
        <w:t>Gentamicin Reagent Kit</w:t>
      </w:r>
    </w:p>
    <w:p w:rsidR="00A062F7" w:rsidRDefault="00A062F7" w:rsidP="00973EAF">
      <w:pPr>
        <w:ind w:firstLine="720"/>
        <w:rPr>
          <w:b/>
        </w:rPr>
      </w:pPr>
    </w:p>
    <w:p w:rsidR="003D1558" w:rsidRDefault="003D1558" w:rsidP="00973EAF">
      <w:pPr>
        <w:ind w:firstLine="720"/>
        <w:rPr>
          <w:b/>
        </w:rPr>
      </w:pPr>
    </w:p>
    <w:p w:rsidR="003D1558" w:rsidRDefault="003D1558" w:rsidP="00973EAF">
      <w:pPr>
        <w:ind w:firstLine="720"/>
        <w:rPr>
          <w:b/>
        </w:rPr>
      </w:pPr>
    </w:p>
    <w:p w:rsidR="00F7103F" w:rsidRPr="00F7103F" w:rsidRDefault="00F7103F" w:rsidP="00973EAF">
      <w:pPr>
        <w:ind w:firstLine="720"/>
        <w:rPr>
          <w:b/>
        </w:rPr>
      </w:pPr>
      <w:r w:rsidRPr="00F7103F">
        <w:rPr>
          <w:b/>
        </w:rPr>
        <w:t>MATERIALS REQUIRED BUT NOT PROVIDED</w:t>
      </w:r>
    </w:p>
    <w:p w:rsidR="00F7103F" w:rsidRPr="00F7103F" w:rsidRDefault="00F7103F" w:rsidP="00F7103F"/>
    <w:p w:rsidR="008036AC" w:rsidRPr="00B54C79" w:rsidRDefault="008036AC" w:rsidP="008036AC">
      <w:pPr>
        <w:autoSpaceDE w:val="0"/>
        <w:autoSpaceDN w:val="0"/>
        <w:adjustRightInd w:val="0"/>
        <w:rPr>
          <w:rFonts w:eastAsia="HelenPro-Regular"/>
        </w:rPr>
      </w:pPr>
      <w:r w:rsidRPr="00B54C79">
        <w:rPr>
          <w:rFonts w:eastAsia="HelenPro-Bold"/>
          <w:b/>
          <w:bCs/>
        </w:rPr>
        <w:t>•</w:t>
      </w:r>
      <w:r w:rsidR="00B54C79">
        <w:rPr>
          <w:rFonts w:eastAsia="HelenPro-Regular"/>
        </w:rPr>
        <w:t xml:space="preserve"> </w:t>
      </w:r>
      <w:r w:rsidRPr="00B54C79">
        <w:rPr>
          <w:rFonts w:eastAsia="HelenPro-Regular"/>
        </w:rPr>
        <w:t xml:space="preserve">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0936E4" w:rsidRPr="00DE1362">
        <w:rPr>
          <w:rFonts w:eastAsia="HelenPro-Regular"/>
          <w:i/>
          <w:iCs/>
        </w:rPr>
        <w:t>i</w:t>
      </w:r>
      <w:proofErr w:type="spellEnd"/>
      <w:r w:rsidR="000936E4" w:rsidRPr="00DE1362">
        <w:rPr>
          <w:rFonts w:eastAsia="HelenPro-Regular"/>
          <w:i/>
          <w:iCs/>
        </w:rPr>
        <w:t xml:space="preserve"> </w:t>
      </w:r>
      <w:r w:rsidR="000936E4" w:rsidRPr="00DE1362">
        <w:rPr>
          <w:rFonts w:eastAsia="HelenPro-Regular"/>
        </w:rPr>
        <w:t xml:space="preserve">Gentamicin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Pr>
          <w:rFonts w:eastAsia="HelenPro-Regular"/>
        </w:rPr>
        <w:t xml:space="preserve">System e-Assay CD-ROM found on </w:t>
      </w:r>
      <w:r w:rsidR="008036AC" w:rsidRPr="00B54C79">
        <w:rPr>
          <w:rFonts w:eastAsia="HelenPro-Regular"/>
        </w:rPr>
        <w:t>www.abbottdiagnostics.com</w:t>
      </w:r>
    </w:p>
    <w:p w:rsidR="008036AC" w:rsidRPr="00B54C79" w:rsidRDefault="00B54C79" w:rsidP="008036AC">
      <w:pPr>
        <w:autoSpaceDE w:val="0"/>
        <w:autoSpaceDN w:val="0"/>
        <w:adjustRightInd w:val="0"/>
        <w:rPr>
          <w:rFonts w:eastAsia="HelenPro-Regular"/>
        </w:rPr>
      </w:pPr>
      <w:r w:rsidRPr="00B54C79">
        <w:rPr>
          <w:rFonts w:eastAsia="HelenPro-Bold"/>
          <w:b/>
          <w:bCs/>
        </w:rPr>
        <w:lastRenderedPageBreak/>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sidR="008036AC" w:rsidRPr="00B54C79">
        <w:rPr>
          <w:rFonts w:eastAsia="HelenPro-Regular"/>
        </w:rPr>
        <w:t>System Assay CD-ROM</w:t>
      </w:r>
    </w:p>
    <w:p w:rsidR="00835A84" w:rsidRPr="00924391" w:rsidRDefault="00835A84" w:rsidP="00835A84">
      <w:pPr>
        <w:autoSpaceDE w:val="0"/>
        <w:autoSpaceDN w:val="0"/>
        <w:adjustRightInd w:val="0"/>
        <w:rPr>
          <w:rFonts w:eastAsia="HelenPro-Regular"/>
        </w:rPr>
      </w:pPr>
      <w:r w:rsidRPr="00924391">
        <w:rPr>
          <w:rFonts w:eastAsia="HelenPro-Bold"/>
          <w:b/>
          <w:bCs/>
        </w:rPr>
        <w:t>•</w:t>
      </w:r>
      <w:r w:rsidRPr="00924391">
        <w:rPr>
          <w:rFonts w:eastAsia="HelenPro-Regular"/>
        </w:rPr>
        <w:t xml:space="preserve"> </w:t>
      </w:r>
      <w:r w:rsidR="00DE1362" w:rsidRPr="00DE1362">
        <w:rPr>
          <w:rFonts w:eastAsia="HelenPro-Regular"/>
        </w:rPr>
        <w:t xml:space="preserve">1P31-01 ARCHITECT </w:t>
      </w:r>
      <w:proofErr w:type="spellStart"/>
      <w:r w:rsidR="00DE1362" w:rsidRPr="00DE1362">
        <w:rPr>
          <w:rFonts w:eastAsia="HelenPro-Regular"/>
          <w:i/>
          <w:iCs/>
        </w:rPr>
        <w:t>i</w:t>
      </w:r>
      <w:proofErr w:type="spellEnd"/>
      <w:r w:rsidR="00DE1362" w:rsidRPr="00DE1362">
        <w:rPr>
          <w:rFonts w:eastAsia="HelenPro-Regular"/>
          <w:i/>
          <w:iCs/>
        </w:rPr>
        <w:t xml:space="preserve"> </w:t>
      </w:r>
      <w:r w:rsidR="00DE1362" w:rsidRPr="00DE1362">
        <w:rPr>
          <w:rFonts w:eastAsia="HelenPro-Regular"/>
        </w:rPr>
        <w:t>Gentamicin Calibrators</w:t>
      </w:r>
    </w:p>
    <w:p w:rsidR="00835A84" w:rsidRPr="00835A84" w:rsidRDefault="00835A84" w:rsidP="00835A84">
      <w:pPr>
        <w:autoSpaceDE w:val="0"/>
        <w:autoSpaceDN w:val="0"/>
        <w:adjustRightInd w:val="0"/>
        <w:rPr>
          <w:rFonts w:eastAsia="HelenPro-Bold"/>
          <w:b/>
          <w:bCs/>
        </w:rPr>
      </w:pPr>
      <w:r w:rsidRPr="00835A84">
        <w:rPr>
          <w:rFonts w:eastAsia="HelenPro-Bold"/>
          <w:b/>
          <w:bCs/>
        </w:rPr>
        <w:t>•</w:t>
      </w:r>
      <w:r w:rsidRPr="00835A84">
        <w:rPr>
          <w:rFonts w:eastAsia="HelenPro-Regular"/>
        </w:rPr>
        <w:t xml:space="preserve"> Commercially available control material </w:t>
      </w:r>
    </w:p>
    <w:p w:rsidR="008036AC" w:rsidRPr="00B54C79" w:rsidRDefault="00B54C79" w:rsidP="00835A84">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0048D7">
        <w:rPr>
          <w:rFonts w:eastAsia="HelenPro-Bold"/>
          <w:i/>
          <w:iCs/>
        </w:rPr>
        <w:t>i</w:t>
      </w:r>
      <w:proofErr w:type="spellEnd"/>
      <w:r>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38442D" w:rsidRDefault="00FA706C" w:rsidP="00DC16C5">
      <w:pPr>
        <w:autoSpaceDE w:val="0"/>
        <w:autoSpaceDN w:val="0"/>
        <w:adjustRightInd w:val="0"/>
        <w:rPr>
          <w:rFonts w:eastAsia="HelenPro-Regular"/>
        </w:rPr>
      </w:pPr>
      <w:r>
        <w:rPr>
          <w:noProof/>
        </w:rPr>
        <w:drawing>
          <wp:inline distT="0" distB="0" distL="0" distR="0" wp14:anchorId="1142B1BB" wp14:editId="46A91518">
            <wp:extent cx="3114675" cy="221107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1936"/>
                    <a:stretch/>
                  </pic:blipFill>
                  <pic:spPr bwMode="auto">
                    <a:xfrm>
                      <a:off x="0" y="0"/>
                      <a:ext cx="3118724" cy="2213944"/>
                    </a:xfrm>
                    <a:prstGeom prst="rect">
                      <a:avLst/>
                    </a:prstGeom>
                    <a:ln>
                      <a:noFill/>
                    </a:ln>
                    <a:extLst>
                      <a:ext uri="{53640926-AAD7-44D8-BBD7-CCE9431645EC}">
                        <a14:shadowObscured xmlns:a14="http://schemas.microsoft.com/office/drawing/2010/main"/>
                      </a:ext>
                    </a:extLst>
                  </pic:spPr>
                </pic:pic>
              </a:graphicData>
            </a:graphic>
          </wp:inline>
        </w:drawing>
      </w:r>
    </w:p>
    <w:p w:rsidR="00924391" w:rsidRDefault="00924391" w:rsidP="00DC16C5">
      <w:pPr>
        <w:autoSpaceDE w:val="0"/>
        <w:autoSpaceDN w:val="0"/>
        <w:adjustRightInd w:val="0"/>
        <w:rPr>
          <w:rFonts w:eastAsia="HelenPro-Regular"/>
        </w:rPr>
      </w:pPr>
    </w:p>
    <w:p w:rsidR="00924391" w:rsidRPr="00DC16C5" w:rsidRDefault="00924391" w:rsidP="00DC16C5">
      <w:pPr>
        <w:autoSpaceDE w:val="0"/>
        <w:autoSpaceDN w:val="0"/>
        <w:adjustRightInd w:val="0"/>
        <w:rPr>
          <w:rFonts w:eastAsia="HelenPro-Regular"/>
        </w:rPr>
      </w:pPr>
      <w:r w:rsidRPr="00924391">
        <w:rPr>
          <w:noProof/>
        </w:rPr>
        <w:t xml:space="preserve"> </w:t>
      </w:r>
    </w:p>
    <w:p w:rsidR="00B54C79" w:rsidRDefault="00B54C79" w:rsidP="0038442D">
      <w:pPr>
        <w:autoSpaceDE w:val="0"/>
        <w:autoSpaceDN w:val="0"/>
        <w:adjustRightInd w:val="0"/>
        <w:rPr>
          <w:rFonts w:eastAsia="HelenPro-Bold"/>
          <w:b/>
          <w:bCs/>
        </w:rPr>
      </w:pPr>
    </w:p>
    <w:p w:rsidR="00835A84" w:rsidRDefault="00835A84"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FA706C" w:rsidRPr="00B54C79" w:rsidRDefault="00FA706C" w:rsidP="00B54C79">
      <w:pPr>
        <w:pStyle w:val="ListParagraph"/>
        <w:numPr>
          <w:ilvl w:val="0"/>
          <w:numId w:val="16"/>
        </w:numPr>
        <w:autoSpaceDE w:val="0"/>
        <w:autoSpaceDN w:val="0"/>
        <w:adjustRightInd w:val="0"/>
        <w:rPr>
          <w:rFonts w:eastAsia="HelenPro-Regular"/>
        </w:rPr>
      </w:pPr>
      <w:r w:rsidRPr="00FA706C">
        <w:rPr>
          <w:rFonts w:eastAsia="HelenPro-Regular"/>
        </w:rPr>
        <w:t xml:space="preserve">Do not freeze ARCHITECT </w:t>
      </w:r>
      <w:proofErr w:type="spellStart"/>
      <w:r w:rsidRPr="00FA706C">
        <w:rPr>
          <w:rFonts w:eastAsia="HelenPro-Regular"/>
          <w:i/>
          <w:iCs/>
        </w:rPr>
        <w:t>i</w:t>
      </w:r>
      <w:proofErr w:type="spellEnd"/>
      <w:r w:rsidRPr="00FA706C">
        <w:rPr>
          <w:rFonts w:eastAsia="HelenPro-Regular"/>
          <w:i/>
          <w:iCs/>
        </w:rPr>
        <w:t xml:space="preserve"> </w:t>
      </w:r>
      <w:r w:rsidRPr="00FA706C">
        <w:rPr>
          <w:rFonts w:eastAsia="HelenPro-Regular"/>
        </w:rPr>
        <w:t>Gentamicin reagents</w:t>
      </w:r>
      <w:r>
        <w:rPr>
          <w:rFonts w:ascii="HelenPro-Regular" w:eastAsia="HelenPro-Regular" w:cs="HelenPro-Regular"/>
          <w:sz w:val="16"/>
          <w:szCs w:val="16"/>
        </w:rPr>
        <w:t>.</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470CE6" w:rsidRDefault="00AA7423" w:rsidP="00470CE6">
      <w:pPr>
        <w:pStyle w:val="ListParagraph"/>
        <w:numPr>
          <w:ilvl w:val="0"/>
          <w:numId w:val="16"/>
        </w:numPr>
        <w:autoSpaceDE w:val="0"/>
        <w:autoSpaceDN w:val="0"/>
        <w:adjustRightInd w:val="0"/>
        <w:rPr>
          <w:rFonts w:eastAsia="HelenPro-Regular"/>
        </w:rPr>
      </w:pPr>
      <w:r w:rsidRPr="00470CE6">
        <w:rPr>
          <w:rFonts w:eastAsia="HelenPro-Regular"/>
        </w:rPr>
        <w:t>Before loading the ARCHITECT Reagent Kit on the system</w:t>
      </w:r>
      <w:r w:rsidR="00470CE6" w:rsidRPr="00470CE6">
        <w:rPr>
          <w:rFonts w:eastAsia="HelenPro-Regular"/>
        </w:rPr>
        <w:t xml:space="preserve"> </w:t>
      </w:r>
      <w:r w:rsidRPr="00470CE6">
        <w:rPr>
          <w:rFonts w:eastAsia="HelenPro-Regular"/>
        </w:rPr>
        <w:t xml:space="preserve">for the first time, the </w:t>
      </w:r>
      <w:proofErr w:type="spellStart"/>
      <w:r w:rsidRPr="00470CE6">
        <w:rPr>
          <w:rFonts w:eastAsia="HelenPro-Regular"/>
        </w:rPr>
        <w:t>microparticle</w:t>
      </w:r>
      <w:proofErr w:type="spellEnd"/>
      <w:r w:rsidRPr="00470CE6">
        <w:rPr>
          <w:rFonts w:eastAsia="HelenPro-Regular"/>
        </w:rPr>
        <w:t xml:space="preserve"> bottle requires mixing to </w:t>
      </w:r>
      <w:proofErr w:type="spellStart"/>
      <w:r w:rsidRPr="00470CE6">
        <w:rPr>
          <w:rFonts w:eastAsia="HelenPro-Regular"/>
        </w:rPr>
        <w:t>resuspend</w:t>
      </w:r>
      <w:proofErr w:type="spellEnd"/>
      <w:r w:rsidR="00470CE6" w:rsidRPr="00470CE6">
        <w:rPr>
          <w:rFonts w:eastAsia="HelenPro-Regular"/>
        </w:rPr>
        <w:t xml:space="preserve"> </w:t>
      </w:r>
      <w:proofErr w:type="spellStart"/>
      <w:r w:rsidRPr="00470CE6">
        <w:rPr>
          <w:rFonts w:eastAsia="HelenPro-Regular"/>
        </w:rPr>
        <w:t>microparticles</w:t>
      </w:r>
      <w:proofErr w:type="spellEnd"/>
      <w:r w:rsidRPr="00470CE6">
        <w:rPr>
          <w:rFonts w:eastAsia="HelenPro-Regular"/>
        </w:rPr>
        <w:t xml:space="preserve"> that have settled during shipment</w:t>
      </w:r>
      <w:r w:rsidRPr="00470CE6">
        <w:rPr>
          <w:rFonts w:ascii="HelenPro-Regular" w:eastAsia="HelenPro-Regular" w:cs="HelenPro-Regular"/>
          <w:sz w:val="16"/>
          <w:szCs w:val="16"/>
        </w:rPr>
        <w:t>.</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lastRenderedPageBreak/>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38442D" w:rsidRPr="00C32412" w:rsidRDefault="0038442D" w:rsidP="0038442D">
      <w:pPr>
        <w:autoSpaceDE w:val="0"/>
        <w:autoSpaceDN w:val="0"/>
        <w:adjustRightInd w:val="0"/>
        <w:rPr>
          <w:rFonts w:eastAsia="HelenPro-Bold"/>
          <w:b/>
          <w:bCs/>
        </w:rPr>
      </w:pPr>
      <w:r w:rsidRPr="00C32412">
        <w:rPr>
          <w:rFonts w:eastAsia="HelenPro-Bold"/>
          <w:b/>
          <w:bCs/>
        </w:rPr>
        <w:t>Reagent Storage</w:t>
      </w:r>
    </w:p>
    <w:p w:rsidR="00FA706C" w:rsidRPr="00FA706C" w:rsidRDefault="00FA706C" w:rsidP="00FA706C">
      <w:pPr>
        <w:pStyle w:val="ListParagraph"/>
        <w:numPr>
          <w:ilvl w:val="0"/>
          <w:numId w:val="27"/>
        </w:numPr>
        <w:autoSpaceDE w:val="0"/>
        <w:autoSpaceDN w:val="0"/>
        <w:adjustRightInd w:val="0"/>
        <w:rPr>
          <w:rFonts w:eastAsia="HelenPro-Regular"/>
        </w:rPr>
      </w:pPr>
      <w:r w:rsidRPr="00FA706C">
        <w:rPr>
          <w:rFonts w:eastAsia="HelenPro-Regular"/>
        </w:rPr>
        <w:t xml:space="preserve">The ARCHITECT </w:t>
      </w:r>
      <w:proofErr w:type="spellStart"/>
      <w:r w:rsidRPr="00FA706C">
        <w:rPr>
          <w:rFonts w:eastAsia="HelenPro-Bold"/>
          <w:i/>
          <w:iCs/>
        </w:rPr>
        <w:t>i</w:t>
      </w:r>
      <w:proofErr w:type="spellEnd"/>
      <w:r w:rsidRPr="00FA706C">
        <w:rPr>
          <w:rFonts w:eastAsia="HelenPro-Bold"/>
          <w:i/>
          <w:iCs/>
        </w:rPr>
        <w:t xml:space="preserve"> </w:t>
      </w:r>
      <w:r w:rsidRPr="00FA706C">
        <w:rPr>
          <w:rFonts w:eastAsia="HelenPro-Regular"/>
        </w:rPr>
        <w:t>Gentamicin Reagent Kit must be stored at 2-8°C in an upright position and may be used immediately after removal from 2-8°C storage.</w:t>
      </w:r>
    </w:p>
    <w:p w:rsidR="00FA706C" w:rsidRPr="00FA706C" w:rsidRDefault="00FA706C" w:rsidP="00FA706C">
      <w:pPr>
        <w:pStyle w:val="ListParagraph"/>
        <w:numPr>
          <w:ilvl w:val="0"/>
          <w:numId w:val="27"/>
        </w:numPr>
        <w:autoSpaceDE w:val="0"/>
        <w:autoSpaceDN w:val="0"/>
        <w:adjustRightInd w:val="0"/>
        <w:rPr>
          <w:rFonts w:eastAsia="HelenPro-Regular"/>
        </w:rPr>
      </w:pPr>
      <w:r w:rsidRPr="00FA706C">
        <w:rPr>
          <w:rFonts w:eastAsia="HelenPro-Regular"/>
        </w:rPr>
        <w:t>When stored and handled as directed, the reagents are stable until the expiration date.</w:t>
      </w:r>
    </w:p>
    <w:p w:rsidR="00B54C79" w:rsidRPr="00FA706C" w:rsidRDefault="00FA706C" w:rsidP="00FA706C">
      <w:pPr>
        <w:pStyle w:val="ListParagraph"/>
        <w:numPr>
          <w:ilvl w:val="0"/>
          <w:numId w:val="27"/>
        </w:numPr>
        <w:autoSpaceDE w:val="0"/>
        <w:autoSpaceDN w:val="0"/>
        <w:adjustRightInd w:val="0"/>
        <w:rPr>
          <w:rFonts w:eastAsia="HelenPro-Regular"/>
        </w:rPr>
      </w:pPr>
      <w:r w:rsidRPr="00FA706C">
        <w:rPr>
          <w:rFonts w:eastAsia="HelenPro-Regular"/>
        </w:rPr>
        <w:t xml:space="preserve">The ARCHITECT </w:t>
      </w:r>
      <w:proofErr w:type="spellStart"/>
      <w:r w:rsidRPr="00FA706C">
        <w:rPr>
          <w:rFonts w:eastAsia="HelenPro-Bold"/>
          <w:i/>
          <w:iCs/>
        </w:rPr>
        <w:t>i</w:t>
      </w:r>
      <w:proofErr w:type="spellEnd"/>
      <w:r w:rsidRPr="00FA706C">
        <w:rPr>
          <w:rFonts w:eastAsia="HelenPro-Bold"/>
          <w:i/>
          <w:iCs/>
        </w:rPr>
        <w:t xml:space="preserve"> </w:t>
      </w:r>
      <w:r w:rsidRPr="00FA706C">
        <w:rPr>
          <w:rFonts w:eastAsia="HelenPro-Regular"/>
        </w:rPr>
        <w:t xml:space="preserve">Gentamicin Reagent Kit may be stored on board the ARCHITECT </w:t>
      </w:r>
      <w:proofErr w:type="spellStart"/>
      <w:r w:rsidRPr="00FA706C">
        <w:rPr>
          <w:rFonts w:eastAsia="HelenPro-Bold"/>
          <w:i/>
          <w:iCs/>
        </w:rPr>
        <w:t>i</w:t>
      </w:r>
      <w:proofErr w:type="spellEnd"/>
      <w:r w:rsidRPr="00FA706C">
        <w:rPr>
          <w:rFonts w:eastAsia="HelenPro-Bold"/>
          <w:i/>
          <w:iCs/>
        </w:rPr>
        <w:t xml:space="preserve"> </w:t>
      </w:r>
      <w:r w:rsidRPr="00FA706C">
        <w:rPr>
          <w:rFonts w:eastAsia="HelenPro-Regular"/>
        </w:rPr>
        <w:t xml:space="preserve">System with </w:t>
      </w:r>
      <w:r w:rsidRPr="00FA706C">
        <w:rPr>
          <w:rFonts w:eastAsia="HelenPro-Bold"/>
          <w:i/>
          <w:iCs/>
        </w:rPr>
        <w:t xml:space="preserve">STAT </w:t>
      </w:r>
      <w:r w:rsidRPr="00FA706C">
        <w:rPr>
          <w:rFonts w:eastAsia="HelenPro-Regular"/>
        </w:rPr>
        <w:t>protocol capability for a maximum of 30 days.  After 30 days, the reagent kit must be discarded. Recalibration may be required to obtain maximum onboard reagent stability. For information on tracking onboard time, refer to the ARCHITECT System Operations Manual, Section 5.</w:t>
      </w:r>
    </w:p>
    <w:p w:rsidR="0038442D"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If reagents are removed from the system, store them at 2-8°C (with </w:t>
      </w:r>
      <w:proofErr w:type="spellStart"/>
      <w:r w:rsidRPr="00B54C79">
        <w:rPr>
          <w:rFonts w:eastAsia="HelenPro-Regular"/>
        </w:rPr>
        <w:t>septums</w:t>
      </w:r>
      <w:proofErr w:type="spellEnd"/>
      <w:r w:rsidRPr="00B54C79">
        <w:rPr>
          <w:rFonts w:eastAsia="HelenPro-Regular"/>
        </w:rPr>
        <w:t xml:space="preserve"> and replacement caps) in an upright position. For reagents stored off the system, it is recommended that they be stored in their original trays and boxes to ensure they remain upright. </w:t>
      </w:r>
      <w:r w:rsidRPr="00B54C79">
        <w:rPr>
          <w:rFonts w:eastAsia="HelenPro-Bold"/>
          <w:b/>
          <w:bCs/>
        </w:rPr>
        <w:t xml:space="preserve">If the </w:t>
      </w:r>
      <w:proofErr w:type="spellStart"/>
      <w:r w:rsidRPr="00B54C79">
        <w:rPr>
          <w:rFonts w:eastAsia="HelenPro-Bold"/>
          <w:b/>
          <w:bCs/>
        </w:rPr>
        <w:t>microparticle</w:t>
      </w:r>
      <w:proofErr w:type="spellEnd"/>
      <w:r w:rsidRPr="00B54C79">
        <w:rPr>
          <w:rFonts w:eastAsia="HelenPro-Bold"/>
          <w:b/>
          <w:bCs/>
        </w:rPr>
        <w:t xml:space="preserve"> bottle does</w:t>
      </w:r>
      <w:r w:rsidRPr="00B54C79">
        <w:rPr>
          <w:rFonts w:eastAsia="HelenPro-Regular"/>
        </w:rPr>
        <w:t xml:space="preserve"> </w:t>
      </w:r>
      <w:r w:rsidRPr="00B54C79">
        <w:rPr>
          <w:rFonts w:eastAsia="HelenPro-Bold"/>
          <w:b/>
          <w:bCs/>
        </w:rPr>
        <w:t>not remain upright (with a septum installed) while in refrigerated</w:t>
      </w:r>
      <w:r w:rsidRPr="00B54C79">
        <w:rPr>
          <w:rFonts w:eastAsia="HelenPro-Regular"/>
        </w:rPr>
        <w:t xml:space="preserve"> </w:t>
      </w:r>
      <w:r w:rsidRPr="00B54C79">
        <w:rPr>
          <w:rFonts w:eastAsia="HelenPro-Bold"/>
          <w:b/>
          <w:bCs/>
        </w:rPr>
        <w:t xml:space="preserve">storage off the system, the reagent kit must be discarded. </w:t>
      </w:r>
      <w:r w:rsidRPr="00B54C79">
        <w:rPr>
          <w:rFonts w:eastAsia="HelenPro-Regular"/>
        </w:rPr>
        <w:t>For information on unloading reagents, refer to the ARCHITECT System Operations Manual, Section 5.</w:t>
      </w:r>
    </w:p>
    <w:p w:rsidR="00DB3051" w:rsidRDefault="00DB3051" w:rsidP="00B36577">
      <w:pPr>
        <w:spacing w:after="72"/>
        <w:rPr>
          <w:rStyle w:val="BodyBold"/>
          <w:rFonts w:ascii="Times New Roman" w:hAnsi="Times New Roman"/>
          <w:sz w:val="24"/>
          <w:szCs w:val="24"/>
        </w:rPr>
      </w:pPr>
    </w:p>
    <w:p w:rsidR="003D1558" w:rsidRDefault="003D1558" w:rsidP="00B36577">
      <w:pPr>
        <w:spacing w:after="72"/>
        <w:rPr>
          <w:rStyle w:val="BodyBold"/>
          <w:rFonts w:ascii="Times New Roman" w:hAnsi="Times New Roman"/>
          <w:sz w:val="24"/>
          <w:szCs w:val="24"/>
        </w:rPr>
      </w:pPr>
    </w:p>
    <w:p w:rsidR="003D1558" w:rsidRDefault="003D1558" w:rsidP="00B36577">
      <w:pPr>
        <w:spacing w:after="72"/>
        <w:rPr>
          <w:rStyle w:val="BodyBold"/>
          <w:rFonts w:ascii="Times New Roman" w:hAnsi="Times New Roman"/>
          <w:sz w:val="24"/>
          <w:szCs w:val="24"/>
        </w:rPr>
      </w:pPr>
    </w:p>
    <w:p w:rsidR="003D1558" w:rsidRDefault="003D1558" w:rsidP="00B36577">
      <w:pPr>
        <w:spacing w:after="72"/>
        <w:rPr>
          <w:rStyle w:val="BodyBold"/>
          <w:rFonts w:ascii="Times New Roman" w:hAnsi="Times New Roman"/>
          <w:sz w:val="24"/>
          <w:szCs w:val="24"/>
        </w:rPr>
      </w:pPr>
    </w:p>
    <w:p w:rsidR="004C342E" w:rsidRDefault="004C342E" w:rsidP="00B36577">
      <w:pPr>
        <w:spacing w:after="72"/>
        <w:rPr>
          <w:rStyle w:val="BodyBold"/>
          <w:rFonts w:ascii="Times New Roman" w:hAnsi="Times New Roman"/>
          <w:sz w:val="24"/>
          <w:szCs w:val="24"/>
        </w:rPr>
      </w:pPr>
    </w:p>
    <w:p w:rsidR="004C342E" w:rsidRDefault="004C342E" w:rsidP="00B36577">
      <w:pPr>
        <w:spacing w:after="72"/>
        <w:rPr>
          <w:rStyle w:val="BodyBold"/>
          <w:rFonts w:ascii="Times New Roman" w:hAnsi="Times New Roman"/>
          <w:sz w:val="24"/>
          <w:szCs w:val="24"/>
        </w:rPr>
      </w:pPr>
    </w:p>
    <w:p w:rsidR="004C342E" w:rsidRDefault="004C342E" w:rsidP="00B36577">
      <w:pPr>
        <w:spacing w:after="72"/>
        <w:rPr>
          <w:rStyle w:val="BodyBold"/>
          <w:rFonts w:ascii="Times New Roman" w:hAnsi="Times New Roman"/>
          <w:sz w:val="24"/>
          <w:szCs w:val="24"/>
        </w:rPr>
      </w:pPr>
    </w:p>
    <w:p w:rsidR="004C342E" w:rsidRDefault="004C342E" w:rsidP="00B36577">
      <w:pPr>
        <w:spacing w:after="72"/>
        <w:rPr>
          <w:rStyle w:val="BodyBold"/>
          <w:rFonts w:ascii="Times New Roman" w:hAnsi="Times New Roman"/>
          <w:sz w:val="24"/>
          <w:szCs w:val="24"/>
        </w:rPr>
      </w:pPr>
    </w:p>
    <w:p w:rsidR="004C342E" w:rsidRDefault="004C342E" w:rsidP="00B36577">
      <w:pPr>
        <w:spacing w:after="72"/>
        <w:rPr>
          <w:rStyle w:val="BodyBold"/>
          <w:rFonts w:ascii="Times New Roman" w:hAnsi="Times New Roman"/>
          <w:sz w:val="24"/>
          <w:szCs w:val="24"/>
        </w:rPr>
      </w:pPr>
    </w:p>
    <w:p w:rsidR="004C342E" w:rsidRDefault="004C342E" w:rsidP="00B36577">
      <w:pPr>
        <w:spacing w:after="72"/>
        <w:rPr>
          <w:rStyle w:val="BodyBold"/>
          <w:rFonts w:ascii="Times New Roman" w:hAnsi="Times New Roman"/>
          <w:sz w:val="24"/>
          <w:szCs w:val="24"/>
        </w:rPr>
      </w:pPr>
    </w:p>
    <w:p w:rsidR="004C342E" w:rsidRDefault="004C342E" w:rsidP="00B36577">
      <w:pPr>
        <w:spacing w:after="72"/>
        <w:rPr>
          <w:rStyle w:val="BodyBold"/>
          <w:rFonts w:ascii="Times New Roman" w:hAnsi="Times New Roman"/>
          <w:sz w:val="24"/>
          <w:szCs w:val="24"/>
        </w:rPr>
      </w:pPr>
    </w:p>
    <w:p w:rsidR="004C342E" w:rsidRDefault="004C342E" w:rsidP="00B36577">
      <w:pPr>
        <w:spacing w:after="72"/>
        <w:rPr>
          <w:rStyle w:val="BodyBold"/>
          <w:rFonts w:ascii="Times New Roman" w:hAnsi="Times New Roman"/>
          <w:sz w:val="24"/>
          <w:szCs w:val="24"/>
        </w:rPr>
      </w:pPr>
      <w:bookmarkStart w:id="0" w:name="_GoBack"/>
      <w:bookmarkEnd w:id="0"/>
    </w:p>
    <w:p w:rsidR="003D1558" w:rsidRDefault="003D1558" w:rsidP="00B36577">
      <w:pPr>
        <w:spacing w:after="72"/>
        <w:rPr>
          <w:rStyle w:val="BodyBold"/>
          <w:rFonts w:ascii="Times New Roman" w:hAnsi="Times New Roman"/>
          <w:sz w:val="24"/>
          <w:szCs w:val="24"/>
        </w:rPr>
      </w:pPr>
    </w:p>
    <w:p w:rsidR="003D1558" w:rsidRDefault="003D1558" w:rsidP="00B36577">
      <w:pPr>
        <w:spacing w:after="72"/>
        <w:rPr>
          <w:rStyle w:val="BodyBold"/>
          <w:rFonts w:ascii="Times New Roman" w:hAnsi="Times New Roman"/>
          <w:sz w:val="24"/>
          <w:szCs w:val="24"/>
        </w:rPr>
      </w:pPr>
    </w:p>
    <w:p w:rsidR="00CA11D0" w:rsidRPr="00B54C79" w:rsidRDefault="00B54C79" w:rsidP="00B36577">
      <w:pPr>
        <w:spacing w:after="72"/>
      </w:pPr>
      <w:r>
        <w:rPr>
          <w:rStyle w:val="BodyBold"/>
          <w:rFonts w:ascii="Times New Roman" w:hAnsi="Times New Roman"/>
          <w:sz w:val="24"/>
          <w:szCs w:val="24"/>
        </w:rPr>
        <w:lastRenderedPageBreak/>
        <w:t>Reagents</w:t>
      </w:r>
    </w:p>
    <w:p w:rsidR="009F648F" w:rsidRDefault="00FA706C" w:rsidP="009F648F">
      <w:pPr>
        <w:pStyle w:val="txt"/>
        <w:ind w:left="0"/>
        <w:rPr>
          <w:sz w:val="24"/>
          <w:szCs w:val="24"/>
        </w:rPr>
      </w:pPr>
      <w:r>
        <w:rPr>
          <w:noProof/>
        </w:rPr>
        <w:drawing>
          <wp:inline distT="0" distB="0" distL="0" distR="0" wp14:anchorId="59138770" wp14:editId="72777D1B">
            <wp:extent cx="4324350" cy="24479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24350" cy="2447925"/>
                    </a:xfrm>
                    <a:prstGeom prst="rect">
                      <a:avLst/>
                    </a:prstGeom>
                  </pic:spPr>
                </pic:pic>
              </a:graphicData>
            </a:graphic>
          </wp:inline>
        </w:drawing>
      </w:r>
    </w:p>
    <w:p w:rsidR="00B54C79" w:rsidRPr="009F648F" w:rsidRDefault="00B54C79" w:rsidP="009F648F">
      <w:pPr>
        <w:pStyle w:val="txt"/>
        <w:ind w:left="0"/>
        <w:rPr>
          <w:sz w:val="24"/>
          <w:szCs w:val="24"/>
        </w:rPr>
      </w:pPr>
      <w:r>
        <w:rPr>
          <w:noProof/>
        </w:rPr>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81500" cy="1590675"/>
                    </a:xfrm>
                    <a:prstGeom prst="rect">
                      <a:avLst/>
                    </a:prstGeom>
                  </pic:spPr>
                </pic:pic>
              </a:graphicData>
            </a:graphic>
          </wp:inline>
        </w:drawing>
      </w:r>
    </w:p>
    <w:p w:rsidR="00C3571A" w:rsidRDefault="00B36577" w:rsidP="00C3571A">
      <w:pPr>
        <w:autoSpaceDE w:val="0"/>
        <w:autoSpaceDN w:val="0"/>
        <w:adjustRightInd w:val="0"/>
      </w:pPr>
      <w:r w:rsidRPr="00100BF8">
        <w:rPr>
          <w:b/>
        </w:rPr>
        <w:t>Calibrator:</w:t>
      </w:r>
      <w:r w:rsidRPr="00100BF8">
        <w:t xml:space="preserve">  </w:t>
      </w:r>
    </w:p>
    <w:p w:rsidR="00835A84" w:rsidRPr="00835A84" w:rsidRDefault="00835A84" w:rsidP="00835A84">
      <w:pPr>
        <w:autoSpaceDE w:val="0"/>
        <w:autoSpaceDN w:val="0"/>
        <w:adjustRightInd w:val="0"/>
        <w:rPr>
          <w:rFonts w:eastAsia="HelenPro-Regular"/>
        </w:rPr>
      </w:pPr>
      <w:r w:rsidRPr="00835A84">
        <w:rPr>
          <w:rFonts w:eastAsia="HelenPro-Bold"/>
          <w:b/>
          <w:bCs/>
        </w:rPr>
        <w:t>•</w:t>
      </w:r>
      <w:r w:rsidRPr="00835A84">
        <w:rPr>
          <w:rFonts w:eastAsia="HelenPro-Regular"/>
        </w:rPr>
        <w:t xml:space="preserve"> </w:t>
      </w:r>
      <w:r w:rsidR="00DE1362" w:rsidRPr="00DE1362">
        <w:rPr>
          <w:rFonts w:eastAsia="HelenPro-Regular"/>
        </w:rPr>
        <w:t xml:space="preserve">1P31-01 ARCHITECT </w:t>
      </w:r>
      <w:proofErr w:type="spellStart"/>
      <w:r w:rsidR="00DE1362" w:rsidRPr="00DE1362">
        <w:rPr>
          <w:rFonts w:eastAsia="HelenPro-Regular"/>
          <w:i/>
          <w:iCs/>
        </w:rPr>
        <w:t>i</w:t>
      </w:r>
      <w:proofErr w:type="spellEnd"/>
      <w:r w:rsidR="00DE1362" w:rsidRPr="00DE1362">
        <w:rPr>
          <w:rFonts w:eastAsia="HelenPro-Regular"/>
          <w:i/>
          <w:iCs/>
        </w:rPr>
        <w:t xml:space="preserve"> </w:t>
      </w:r>
      <w:r w:rsidR="00DE1362" w:rsidRPr="00DE1362">
        <w:rPr>
          <w:rFonts w:eastAsia="HelenPro-Regular"/>
        </w:rPr>
        <w:t>Gentamicin Calibrators</w:t>
      </w:r>
    </w:p>
    <w:p w:rsidR="00507B0C" w:rsidRPr="00AA7423" w:rsidRDefault="00507B0C" w:rsidP="00507B0C">
      <w:pPr>
        <w:spacing w:after="43"/>
        <w:rPr>
          <w:i/>
          <w:color w:val="FF0000"/>
        </w:rPr>
      </w:pPr>
    </w:p>
    <w:p w:rsidR="00973EAF" w:rsidRPr="00973EAF" w:rsidRDefault="00B36577" w:rsidP="00973EAF">
      <w:pPr>
        <w:spacing w:after="43"/>
        <w:rPr>
          <w:i/>
          <w:color w:val="FF0000"/>
          <w:szCs w:val="15"/>
        </w:rPr>
      </w:pPr>
      <w:r w:rsidRPr="00AA7423">
        <w:rPr>
          <w:b/>
        </w:rPr>
        <w:t>Quality Control:</w:t>
      </w:r>
      <w:r w:rsidR="00CA11D0" w:rsidRPr="00AA7423">
        <w:t xml:space="preserve">  </w:t>
      </w:r>
      <w:r w:rsidR="00835A84">
        <w:rPr>
          <w:rFonts w:eastAsia="HelenPro-Regular"/>
        </w:rPr>
        <w:t>Commercially available controls</w:t>
      </w:r>
    </w:p>
    <w:p w:rsidR="0025031C" w:rsidRPr="00162EEA" w:rsidRDefault="0025031C" w:rsidP="00470CE6">
      <w:r w:rsidRPr="00162EEA">
        <w:rPr>
          <w:b/>
          <w:szCs w:val="14"/>
        </w:rPr>
        <w:t xml:space="preserve"> </w:t>
      </w: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AE6F5B" w:rsidRDefault="00AE6F5B" w:rsidP="00AE6F5B">
      <w:pPr>
        <w:rPr>
          <w:b/>
          <w:sz w:val="28"/>
          <w:szCs w:val="28"/>
        </w:rPr>
      </w:pP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Default="005E3AB5" w:rsidP="00656BB9">
      <w:pPr>
        <w:spacing w:after="43"/>
        <w:ind w:firstLine="720"/>
      </w:pPr>
      <w:r w:rsidRPr="007E4CE6">
        <w:rPr>
          <w:b/>
        </w:rPr>
        <w:t>Calibrator Required:</w:t>
      </w:r>
      <w:r w:rsidRPr="007E4CE6">
        <w:t xml:space="preserve">  </w:t>
      </w:r>
    </w:p>
    <w:p w:rsidR="00FB7839" w:rsidRDefault="00DE1362" w:rsidP="004F5F8A">
      <w:pPr>
        <w:ind w:firstLine="720"/>
        <w:rPr>
          <w:b/>
        </w:rPr>
      </w:pPr>
      <w:r w:rsidRPr="00DE1362">
        <w:rPr>
          <w:rFonts w:eastAsia="HelenPro-Regular"/>
        </w:rPr>
        <w:t xml:space="preserve">1P31-01 ARCHITECT </w:t>
      </w:r>
      <w:proofErr w:type="spellStart"/>
      <w:r w:rsidRPr="00DE1362">
        <w:rPr>
          <w:rFonts w:eastAsia="HelenPro-Regular"/>
          <w:i/>
          <w:iCs/>
        </w:rPr>
        <w:t>i</w:t>
      </w:r>
      <w:proofErr w:type="spellEnd"/>
      <w:r w:rsidRPr="00DE1362">
        <w:rPr>
          <w:rFonts w:eastAsia="HelenPro-Regular"/>
          <w:i/>
          <w:iCs/>
        </w:rPr>
        <w:t xml:space="preserve"> </w:t>
      </w:r>
      <w:r w:rsidRPr="00DE1362">
        <w:rPr>
          <w:rFonts w:eastAsia="HelenPro-Regular"/>
        </w:rPr>
        <w:t>Gentamicin Calibrators</w:t>
      </w:r>
    </w:p>
    <w:p w:rsidR="00DE1362" w:rsidRDefault="00DE1362" w:rsidP="004F5F8A">
      <w:pPr>
        <w:ind w:firstLine="720"/>
        <w:rPr>
          <w:b/>
        </w:rPr>
      </w:pPr>
    </w:p>
    <w:p w:rsidR="0025031C" w:rsidRPr="0025031C" w:rsidRDefault="0025031C" w:rsidP="004F5F8A">
      <w:pPr>
        <w:ind w:firstLine="720"/>
        <w:rPr>
          <w:b/>
        </w:rPr>
      </w:pPr>
      <w:r w:rsidRPr="0025031C">
        <w:rPr>
          <w:b/>
        </w:rPr>
        <w:t>Reagents:</w:t>
      </w:r>
    </w:p>
    <w:p w:rsidR="00816ACE" w:rsidRPr="00887473" w:rsidRDefault="003C5BC8" w:rsidP="00887473">
      <w:pPr>
        <w:autoSpaceDE w:val="0"/>
        <w:autoSpaceDN w:val="0"/>
        <w:adjustRightInd w:val="0"/>
        <w:ind w:left="720"/>
        <w:rPr>
          <w:rFonts w:eastAsia="HelenPro-Regular"/>
        </w:rPr>
      </w:pPr>
      <w:r w:rsidRPr="00887473">
        <w:rPr>
          <w:rFonts w:eastAsia="HelenPro-Regular"/>
        </w:rPr>
        <w:t xml:space="preserve">6 Bottles ARCHITECT </w:t>
      </w:r>
      <w:proofErr w:type="spellStart"/>
      <w:r w:rsidRPr="00887473">
        <w:rPr>
          <w:rFonts w:eastAsia="HelenPro-Regular"/>
          <w:i/>
          <w:iCs/>
        </w:rPr>
        <w:t>i</w:t>
      </w:r>
      <w:proofErr w:type="spellEnd"/>
      <w:r w:rsidRPr="00887473">
        <w:rPr>
          <w:rFonts w:eastAsia="HelenPro-Regular"/>
          <w:i/>
          <w:iCs/>
        </w:rPr>
        <w:t xml:space="preserve"> </w:t>
      </w:r>
      <w:r w:rsidRPr="00887473">
        <w:rPr>
          <w:rFonts w:eastAsia="HelenPro-Regular"/>
        </w:rPr>
        <w:t>Gentamicin Calib</w:t>
      </w:r>
      <w:r w:rsidR="00887473">
        <w:rPr>
          <w:rFonts w:eastAsia="HelenPro-Regular"/>
        </w:rPr>
        <w:t xml:space="preserve">rators A - F </w:t>
      </w:r>
      <w:r w:rsidRPr="00887473">
        <w:rPr>
          <w:rFonts w:eastAsia="HelenPro-Regular"/>
        </w:rPr>
        <w:t xml:space="preserve">Calibrator A (6.0 mL) is </w:t>
      </w:r>
      <w:proofErr w:type="spellStart"/>
      <w:r w:rsidRPr="00887473">
        <w:rPr>
          <w:rFonts w:eastAsia="HelenPro-Regular"/>
        </w:rPr>
        <w:t>recalcified</w:t>
      </w:r>
      <w:proofErr w:type="spellEnd"/>
      <w:r w:rsidRPr="00887473">
        <w:rPr>
          <w:rFonts w:eastAsia="HelenPro-Regular"/>
        </w:rPr>
        <w:t xml:space="preserve"> human plasma. Calibrators B through F</w:t>
      </w:r>
      <w:r w:rsidR="00887473">
        <w:rPr>
          <w:rFonts w:eastAsia="HelenPro-Regular"/>
        </w:rPr>
        <w:t xml:space="preserve"> </w:t>
      </w:r>
      <w:r w:rsidRPr="00887473">
        <w:rPr>
          <w:rFonts w:eastAsia="HelenPro-Regular"/>
        </w:rPr>
        <w:t xml:space="preserve">(4.0 mL each) are different concentrations of gentamicin in </w:t>
      </w:r>
      <w:proofErr w:type="spellStart"/>
      <w:r w:rsidRPr="00887473">
        <w:rPr>
          <w:rFonts w:eastAsia="HelenPro-Regular"/>
        </w:rPr>
        <w:t>recalcified</w:t>
      </w:r>
      <w:proofErr w:type="spellEnd"/>
      <w:r w:rsidR="00887473">
        <w:rPr>
          <w:rFonts w:eastAsia="HelenPro-Regular"/>
        </w:rPr>
        <w:t xml:space="preserve"> </w:t>
      </w:r>
      <w:r w:rsidRPr="00887473">
        <w:rPr>
          <w:rFonts w:eastAsia="HelenPro-Regular"/>
        </w:rPr>
        <w:t xml:space="preserve">human plasma. Preservatives: </w:t>
      </w:r>
      <w:proofErr w:type="spellStart"/>
      <w:r w:rsidRPr="00887473">
        <w:rPr>
          <w:rFonts w:eastAsia="HelenPro-Regular"/>
        </w:rPr>
        <w:t>ProClin</w:t>
      </w:r>
      <w:proofErr w:type="spellEnd"/>
      <w:r w:rsidRPr="00887473">
        <w:rPr>
          <w:rFonts w:eastAsia="HelenPro-Regular"/>
        </w:rPr>
        <w:t xml:space="preserve"> 950 and sodium </w:t>
      </w:r>
      <w:proofErr w:type="spellStart"/>
      <w:r w:rsidRPr="00887473">
        <w:rPr>
          <w:rFonts w:eastAsia="HelenPro-Regular"/>
        </w:rPr>
        <w:t>azide</w:t>
      </w:r>
      <w:proofErr w:type="spellEnd"/>
      <w:r w:rsidRPr="00887473">
        <w:rPr>
          <w:rFonts w:eastAsia="HelenPro-Regular"/>
        </w:rPr>
        <w:t>.</w:t>
      </w:r>
    </w:p>
    <w:p w:rsidR="00941AE5" w:rsidRPr="00887473" w:rsidRDefault="00941AE5" w:rsidP="00941AE5">
      <w:pPr>
        <w:autoSpaceDE w:val="0"/>
        <w:autoSpaceDN w:val="0"/>
        <w:adjustRightInd w:val="0"/>
        <w:rPr>
          <w:rFonts w:eastAsia="HelenPro-Regular"/>
        </w:rPr>
      </w:pPr>
    </w:p>
    <w:p w:rsidR="00F3700B" w:rsidRPr="00887473" w:rsidRDefault="0037463A" w:rsidP="00F3700B">
      <w:pPr>
        <w:ind w:left="720"/>
        <w:rPr>
          <w:b/>
        </w:rPr>
      </w:pPr>
      <w:r w:rsidRPr="00887473">
        <w:rPr>
          <w:b/>
        </w:rPr>
        <w:t xml:space="preserve">Calibrator Preparation: </w:t>
      </w:r>
    </w:p>
    <w:p w:rsidR="00887473" w:rsidRPr="00887473" w:rsidRDefault="00887473" w:rsidP="00887473">
      <w:pPr>
        <w:autoSpaceDE w:val="0"/>
        <w:autoSpaceDN w:val="0"/>
        <w:adjustRightInd w:val="0"/>
        <w:ind w:left="720"/>
        <w:rPr>
          <w:rFonts w:eastAsia="HelenPro-Regular"/>
        </w:rPr>
      </w:pPr>
      <w:r w:rsidRPr="00887473">
        <w:rPr>
          <w:rFonts w:eastAsia="HelenPro-Bold"/>
          <w:b/>
          <w:bCs/>
        </w:rPr>
        <w:t xml:space="preserve">• </w:t>
      </w:r>
      <w:r w:rsidRPr="00887473">
        <w:rPr>
          <w:rFonts w:eastAsia="HelenPro-Regular"/>
        </w:rPr>
        <w:t xml:space="preserve">The ARCHITECT </w:t>
      </w:r>
      <w:proofErr w:type="spellStart"/>
      <w:r w:rsidRPr="00887473">
        <w:rPr>
          <w:rFonts w:eastAsia="HelenPro-Bold"/>
          <w:i/>
          <w:iCs/>
        </w:rPr>
        <w:t>i</w:t>
      </w:r>
      <w:proofErr w:type="spellEnd"/>
      <w:r w:rsidRPr="00887473">
        <w:rPr>
          <w:rFonts w:eastAsia="HelenPro-Bold"/>
          <w:i/>
          <w:iCs/>
        </w:rPr>
        <w:t xml:space="preserve"> </w:t>
      </w:r>
      <w:r w:rsidRPr="00887473">
        <w:rPr>
          <w:rFonts w:eastAsia="HelenPro-Regular"/>
        </w:rPr>
        <w:t>Gentamicin Calibrat</w:t>
      </w:r>
      <w:r>
        <w:rPr>
          <w:rFonts w:eastAsia="HelenPro-Regular"/>
        </w:rPr>
        <w:t xml:space="preserve">ors are liquid ready-to-use. No </w:t>
      </w:r>
      <w:r w:rsidRPr="00887473">
        <w:rPr>
          <w:rFonts w:eastAsia="HelenPro-Regular"/>
        </w:rPr>
        <w:t>preparation is required.</w:t>
      </w:r>
    </w:p>
    <w:p w:rsidR="00887473" w:rsidRPr="00887473" w:rsidRDefault="00887473" w:rsidP="00887473">
      <w:pPr>
        <w:autoSpaceDE w:val="0"/>
        <w:autoSpaceDN w:val="0"/>
        <w:adjustRightInd w:val="0"/>
        <w:ind w:left="720"/>
        <w:rPr>
          <w:rFonts w:eastAsia="HelenPro-Regular"/>
        </w:rPr>
      </w:pPr>
      <w:r w:rsidRPr="00887473">
        <w:rPr>
          <w:rFonts w:eastAsia="HelenPro-Bold"/>
          <w:b/>
          <w:bCs/>
        </w:rPr>
        <w:t xml:space="preserve">• </w:t>
      </w:r>
      <w:r w:rsidRPr="00887473">
        <w:rPr>
          <w:rFonts w:eastAsia="HelenPro-Regular"/>
        </w:rPr>
        <w:t xml:space="preserve">ARCHITECT </w:t>
      </w:r>
      <w:proofErr w:type="spellStart"/>
      <w:r w:rsidRPr="00887473">
        <w:rPr>
          <w:rFonts w:eastAsia="HelenPro-Bold"/>
          <w:i/>
          <w:iCs/>
        </w:rPr>
        <w:t>i</w:t>
      </w:r>
      <w:proofErr w:type="spellEnd"/>
      <w:r w:rsidRPr="00887473">
        <w:rPr>
          <w:rFonts w:eastAsia="HelenPro-Bold"/>
          <w:i/>
          <w:iCs/>
        </w:rPr>
        <w:t xml:space="preserve"> </w:t>
      </w:r>
      <w:r w:rsidRPr="00887473">
        <w:rPr>
          <w:rFonts w:eastAsia="HelenPro-Regular"/>
        </w:rPr>
        <w:t>Gentamicin Calibrators must be mixed by gentle inversion</w:t>
      </w:r>
      <w:r>
        <w:rPr>
          <w:rFonts w:eastAsia="HelenPro-Regular"/>
        </w:rPr>
        <w:t xml:space="preserve"> </w:t>
      </w:r>
      <w:r w:rsidRPr="00887473">
        <w:rPr>
          <w:rFonts w:eastAsia="HelenPro-Regular"/>
        </w:rPr>
        <w:t>before use.</w:t>
      </w:r>
    </w:p>
    <w:p w:rsidR="00887473" w:rsidRPr="00887473" w:rsidRDefault="00887473" w:rsidP="00887473">
      <w:pPr>
        <w:autoSpaceDE w:val="0"/>
        <w:autoSpaceDN w:val="0"/>
        <w:adjustRightInd w:val="0"/>
        <w:ind w:left="720"/>
        <w:rPr>
          <w:rFonts w:eastAsia="HelenPro-Regular"/>
        </w:rPr>
      </w:pPr>
      <w:r w:rsidRPr="00887473">
        <w:rPr>
          <w:rFonts w:eastAsia="HelenPro-Bold"/>
          <w:b/>
          <w:bCs/>
        </w:rPr>
        <w:t xml:space="preserve">• </w:t>
      </w:r>
      <w:r w:rsidRPr="00887473">
        <w:rPr>
          <w:rFonts w:eastAsia="HelenPro-Regular"/>
        </w:rPr>
        <w:t>To perform a calibration, test th</w:t>
      </w:r>
      <w:r>
        <w:rPr>
          <w:rFonts w:eastAsia="HelenPro-Regular"/>
        </w:rPr>
        <w:t xml:space="preserve">e calibrators in duplicate. The </w:t>
      </w:r>
      <w:r w:rsidRPr="00887473">
        <w:rPr>
          <w:rFonts w:eastAsia="HelenPro-Regular"/>
        </w:rPr>
        <w:t>calibrators should be priority loaded.</w:t>
      </w:r>
    </w:p>
    <w:p w:rsidR="00887473" w:rsidRPr="00887473" w:rsidRDefault="00887473" w:rsidP="00887473">
      <w:pPr>
        <w:autoSpaceDE w:val="0"/>
        <w:autoSpaceDN w:val="0"/>
        <w:adjustRightInd w:val="0"/>
        <w:ind w:left="720"/>
        <w:rPr>
          <w:rFonts w:eastAsia="HelenPro-Regular"/>
        </w:rPr>
      </w:pPr>
      <w:r w:rsidRPr="00887473">
        <w:rPr>
          <w:rFonts w:eastAsia="HelenPro-Bold"/>
          <w:b/>
          <w:bCs/>
        </w:rPr>
        <w:t xml:space="preserve">• </w:t>
      </w:r>
      <w:r w:rsidRPr="00887473">
        <w:rPr>
          <w:rFonts w:eastAsia="HelenPro-Regular"/>
        </w:rPr>
        <w:t>To obtain the recommended volume re</w:t>
      </w:r>
      <w:r>
        <w:rPr>
          <w:rFonts w:eastAsia="HelenPro-Regular"/>
        </w:rPr>
        <w:t xml:space="preserve">quirements for the calibrators, </w:t>
      </w:r>
      <w:r w:rsidRPr="00887473">
        <w:rPr>
          <w:rFonts w:eastAsia="HelenPro-Regular"/>
        </w:rPr>
        <w:t xml:space="preserve">hold the bottles </w:t>
      </w:r>
      <w:r w:rsidRPr="00887473">
        <w:rPr>
          <w:rFonts w:eastAsia="HelenPro-Bold"/>
          <w:b/>
          <w:bCs/>
        </w:rPr>
        <w:t xml:space="preserve">vertically </w:t>
      </w:r>
      <w:r w:rsidRPr="00887473">
        <w:rPr>
          <w:rFonts w:eastAsia="HelenPro-Regular"/>
        </w:rPr>
        <w:t>and dispense a minimum of 5 drops of each</w:t>
      </w:r>
      <w:r>
        <w:rPr>
          <w:rFonts w:eastAsia="HelenPro-Regular"/>
        </w:rPr>
        <w:t xml:space="preserve"> </w:t>
      </w:r>
      <w:r w:rsidRPr="00887473">
        <w:rPr>
          <w:rFonts w:eastAsia="HelenPro-Regular"/>
        </w:rPr>
        <w:t>calibrator into each respective sample cup.</w:t>
      </w:r>
    </w:p>
    <w:p w:rsidR="00887473" w:rsidRPr="00887473" w:rsidRDefault="00887473" w:rsidP="00887473">
      <w:pPr>
        <w:autoSpaceDE w:val="0"/>
        <w:autoSpaceDN w:val="0"/>
        <w:adjustRightInd w:val="0"/>
        <w:ind w:left="720"/>
        <w:rPr>
          <w:rFonts w:eastAsia="HelenPro-Regular"/>
        </w:rPr>
      </w:pPr>
      <w:r w:rsidRPr="00887473">
        <w:rPr>
          <w:rFonts w:eastAsia="HelenPro-Bold"/>
          <w:b/>
          <w:bCs/>
        </w:rPr>
        <w:t xml:space="preserve">• </w:t>
      </w:r>
      <w:r w:rsidRPr="00887473">
        <w:rPr>
          <w:rFonts w:eastAsia="HelenPro-Regular"/>
        </w:rPr>
        <w:t>After each use, tightly close the cap</w:t>
      </w:r>
      <w:r>
        <w:rPr>
          <w:rFonts w:eastAsia="HelenPro-Regular"/>
        </w:rPr>
        <w:t xml:space="preserve">s and return the calibrators to </w:t>
      </w:r>
      <w:r w:rsidRPr="00887473">
        <w:rPr>
          <w:rFonts w:eastAsia="HelenPro-Regular"/>
        </w:rPr>
        <w:t>2-8°C storage.</w:t>
      </w:r>
    </w:p>
    <w:p w:rsidR="00041A33" w:rsidRPr="00887473" w:rsidRDefault="00887473" w:rsidP="00887473">
      <w:pPr>
        <w:autoSpaceDE w:val="0"/>
        <w:autoSpaceDN w:val="0"/>
        <w:adjustRightInd w:val="0"/>
        <w:ind w:left="720"/>
        <w:rPr>
          <w:rFonts w:eastAsia="HelenPro-Regular"/>
        </w:rPr>
      </w:pPr>
      <w:r w:rsidRPr="00887473">
        <w:rPr>
          <w:rFonts w:eastAsia="HelenPro-Bold"/>
          <w:b/>
          <w:bCs/>
        </w:rPr>
        <w:t xml:space="preserve">• </w:t>
      </w:r>
      <w:r w:rsidRPr="00887473">
        <w:rPr>
          <w:rFonts w:eastAsia="HelenPro-Regular"/>
        </w:rPr>
        <w:t>For information on ordering calibrations, refer to the ARCHITECT</w:t>
      </w:r>
      <w:r>
        <w:rPr>
          <w:rFonts w:eastAsia="HelenPro-Regular"/>
        </w:rPr>
        <w:t xml:space="preserve"> </w:t>
      </w:r>
      <w:r w:rsidRPr="00887473">
        <w:rPr>
          <w:rFonts w:eastAsia="HelenPro-Regular"/>
        </w:rPr>
        <w:t>System Operations Manual, Section 6.</w:t>
      </w:r>
    </w:p>
    <w:p w:rsidR="00887473" w:rsidRDefault="00887473" w:rsidP="00AD402C">
      <w:pPr>
        <w:ind w:firstLine="720"/>
        <w:rPr>
          <w:b/>
        </w:rPr>
      </w:pPr>
    </w:p>
    <w:p w:rsidR="004F5F8A" w:rsidRPr="00887473" w:rsidRDefault="0025031C" w:rsidP="00AD402C">
      <w:pPr>
        <w:ind w:firstLine="720"/>
        <w:rPr>
          <w:b/>
        </w:rPr>
      </w:pPr>
      <w:r w:rsidRPr="00887473">
        <w:rPr>
          <w:b/>
        </w:rPr>
        <w:t>Calibration Procedure:</w:t>
      </w:r>
      <w:r w:rsidR="0006502B" w:rsidRPr="00887473">
        <w:rPr>
          <w:b/>
        </w:rPr>
        <w:t xml:space="preserve"> </w:t>
      </w:r>
    </w:p>
    <w:p w:rsidR="00FA706C" w:rsidRPr="00887473" w:rsidRDefault="00FA706C" w:rsidP="00887473">
      <w:pPr>
        <w:autoSpaceDE w:val="0"/>
        <w:autoSpaceDN w:val="0"/>
        <w:adjustRightInd w:val="0"/>
        <w:ind w:left="720"/>
        <w:rPr>
          <w:rFonts w:eastAsia="HelenPro-Regular"/>
        </w:rPr>
      </w:pPr>
      <w:r w:rsidRPr="00887473">
        <w:rPr>
          <w:rFonts w:eastAsia="HelenPro-Bold"/>
          <w:b/>
          <w:bCs/>
        </w:rPr>
        <w:t xml:space="preserve">• </w:t>
      </w:r>
      <w:r w:rsidRPr="00887473">
        <w:rPr>
          <w:rFonts w:eastAsia="HelenPro-Regular"/>
        </w:rPr>
        <w:t xml:space="preserve">To perform an ARCHITECT </w:t>
      </w:r>
      <w:proofErr w:type="spellStart"/>
      <w:r w:rsidRPr="00887473">
        <w:rPr>
          <w:rFonts w:eastAsia="HelenPro-Bold"/>
          <w:i/>
          <w:iCs/>
        </w:rPr>
        <w:t>i</w:t>
      </w:r>
      <w:proofErr w:type="spellEnd"/>
      <w:r w:rsidRPr="00887473">
        <w:rPr>
          <w:rFonts w:eastAsia="HelenPro-Bold"/>
          <w:i/>
          <w:iCs/>
        </w:rPr>
        <w:t xml:space="preserve"> </w:t>
      </w:r>
      <w:r w:rsidRPr="00887473">
        <w:rPr>
          <w:rFonts w:eastAsia="HelenPro-Regular"/>
        </w:rPr>
        <w:t>Gentamicin calibration, test the calibrators</w:t>
      </w:r>
      <w:r w:rsidR="00887473">
        <w:rPr>
          <w:rFonts w:eastAsia="HelenPro-Regular"/>
        </w:rPr>
        <w:t xml:space="preserve"> </w:t>
      </w:r>
      <w:r w:rsidRPr="00887473">
        <w:rPr>
          <w:rFonts w:eastAsia="HelenPro-Regular"/>
        </w:rPr>
        <w:t>in duplicate. The calibrators should be priority loaded.</w:t>
      </w:r>
    </w:p>
    <w:p w:rsidR="00941AE5" w:rsidRPr="00887473" w:rsidRDefault="00FA706C" w:rsidP="00887473">
      <w:pPr>
        <w:autoSpaceDE w:val="0"/>
        <w:autoSpaceDN w:val="0"/>
        <w:adjustRightInd w:val="0"/>
        <w:ind w:left="2160"/>
        <w:rPr>
          <w:rFonts w:eastAsia="HelenPro-Regular"/>
        </w:rPr>
      </w:pPr>
      <w:r w:rsidRPr="00887473">
        <w:rPr>
          <w:rFonts w:eastAsia="HelenPro-Bold"/>
          <w:b/>
          <w:bCs/>
        </w:rPr>
        <w:t xml:space="preserve">• </w:t>
      </w:r>
      <w:r w:rsidRPr="00887473">
        <w:rPr>
          <w:rFonts w:eastAsia="HelenPro-Regular"/>
        </w:rPr>
        <w:t xml:space="preserve">Calibration Range: 0.0 - 10.0 </w:t>
      </w:r>
      <w:proofErr w:type="spellStart"/>
      <w:r w:rsidRPr="00887473">
        <w:rPr>
          <w:rFonts w:eastAsia="HelenPro-Regular"/>
        </w:rPr>
        <w:t>μg</w:t>
      </w:r>
      <w:proofErr w:type="spellEnd"/>
      <w:r w:rsidRPr="00887473">
        <w:rPr>
          <w:rFonts w:eastAsia="HelenPro-Regular"/>
        </w:rPr>
        <w:t>/</w:t>
      </w:r>
      <w:proofErr w:type="spellStart"/>
      <w:r w:rsidRPr="00887473">
        <w:rPr>
          <w:rFonts w:eastAsia="HelenPro-Regular"/>
        </w:rPr>
        <w:t>mL.</w:t>
      </w:r>
      <w:proofErr w:type="spellEnd"/>
    </w:p>
    <w:p w:rsidR="00470CE6" w:rsidRDefault="00470CE6"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912FE4" w:rsidRDefault="00912FE4" w:rsidP="0025031C">
      <w:pPr>
        <w:rPr>
          <w:b/>
          <w:sz w:val="28"/>
          <w:szCs w:val="28"/>
        </w:rPr>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FA706C" w:rsidRPr="00FA706C" w:rsidRDefault="00FA706C" w:rsidP="005169F4">
      <w:pPr>
        <w:autoSpaceDE w:val="0"/>
        <w:autoSpaceDN w:val="0"/>
        <w:adjustRightInd w:val="0"/>
        <w:ind w:left="720"/>
        <w:rPr>
          <w:rFonts w:eastAsia="HelenPro-Regular"/>
        </w:rPr>
      </w:pPr>
      <w:r w:rsidRPr="00FA706C">
        <w:rPr>
          <w:rFonts w:eastAsia="HelenPro-Regular"/>
        </w:rPr>
        <w:t>When using commercially available c</w:t>
      </w:r>
      <w:r>
        <w:rPr>
          <w:rFonts w:eastAsia="HelenPro-Regular"/>
        </w:rPr>
        <w:t xml:space="preserve">ontrols, each laboratory should </w:t>
      </w:r>
      <w:r w:rsidRPr="00FA706C">
        <w:rPr>
          <w:rFonts w:eastAsia="HelenPro-Regular"/>
        </w:rPr>
        <w:t>establish its own concentration ranges for new control lots at each clinically</w:t>
      </w:r>
      <w:r>
        <w:rPr>
          <w:rFonts w:eastAsia="HelenPro-Regular"/>
        </w:rPr>
        <w:t xml:space="preserve"> </w:t>
      </w:r>
      <w:r w:rsidRPr="00FA706C">
        <w:rPr>
          <w:rFonts w:eastAsia="HelenPro-Regular"/>
        </w:rPr>
        <w:t>relevant control level. This can be accomplished by assaying a minimum</w:t>
      </w:r>
      <w:r>
        <w:rPr>
          <w:rFonts w:eastAsia="HelenPro-Regular"/>
        </w:rPr>
        <w:t xml:space="preserve"> </w:t>
      </w:r>
      <w:r w:rsidRPr="00FA706C">
        <w:rPr>
          <w:rFonts w:eastAsia="HelenPro-Regular"/>
        </w:rPr>
        <w:t>of 20 replicates over several (3-5) days. Sources of variation that can be</w:t>
      </w:r>
      <w:r>
        <w:rPr>
          <w:rFonts w:eastAsia="HelenPro-Regular"/>
        </w:rPr>
        <w:t xml:space="preserve"> </w:t>
      </w:r>
      <w:r w:rsidRPr="00FA706C">
        <w:rPr>
          <w:rFonts w:eastAsia="HelenPro-Regular"/>
        </w:rPr>
        <w:t>expected should be included in this study in order to be representative of</w:t>
      </w:r>
      <w:r>
        <w:rPr>
          <w:rFonts w:eastAsia="HelenPro-Regular"/>
        </w:rPr>
        <w:t xml:space="preserve"> </w:t>
      </w:r>
      <w:r w:rsidRPr="00FA706C">
        <w:rPr>
          <w:rFonts w:eastAsia="HelenPro-Regular"/>
        </w:rPr>
        <w:t>future system performance. These may include:</w:t>
      </w:r>
    </w:p>
    <w:p w:rsidR="00FA706C" w:rsidRPr="00FA706C" w:rsidRDefault="00FA706C" w:rsidP="005169F4">
      <w:pPr>
        <w:autoSpaceDE w:val="0"/>
        <w:autoSpaceDN w:val="0"/>
        <w:adjustRightInd w:val="0"/>
        <w:ind w:left="1440"/>
        <w:rPr>
          <w:rFonts w:eastAsia="HelenPro-Regular"/>
        </w:rPr>
      </w:pPr>
      <w:r w:rsidRPr="00FA706C">
        <w:rPr>
          <w:rFonts w:eastAsia="HelenPro-Bold"/>
          <w:b/>
          <w:bCs/>
        </w:rPr>
        <w:t xml:space="preserve">• </w:t>
      </w:r>
      <w:r w:rsidRPr="00FA706C">
        <w:rPr>
          <w:rFonts w:eastAsia="HelenPro-Regular"/>
        </w:rPr>
        <w:t>Multiple stored calibrations</w:t>
      </w:r>
    </w:p>
    <w:p w:rsidR="00FA706C" w:rsidRPr="00FA706C" w:rsidRDefault="00FA706C" w:rsidP="005169F4">
      <w:pPr>
        <w:autoSpaceDE w:val="0"/>
        <w:autoSpaceDN w:val="0"/>
        <w:adjustRightInd w:val="0"/>
        <w:ind w:left="1440"/>
        <w:rPr>
          <w:rFonts w:eastAsia="HelenPro-Regular"/>
        </w:rPr>
      </w:pPr>
      <w:r w:rsidRPr="00FA706C">
        <w:rPr>
          <w:rFonts w:eastAsia="HelenPro-Bold"/>
          <w:b/>
          <w:bCs/>
        </w:rPr>
        <w:t xml:space="preserve">• </w:t>
      </w:r>
      <w:r w:rsidRPr="00FA706C">
        <w:rPr>
          <w:rFonts w:eastAsia="HelenPro-Regular"/>
        </w:rPr>
        <w:t>Multiple reagent lots</w:t>
      </w:r>
    </w:p>
    <w:p w:rsidR="00FA706C" w:rsidRPr="00FA706C" w:rsidRDefault="00FA706C" w:rsidP="005169F4">
      <w:pPr>
        <w:autoSpaceDE w:val="0"/>
        <w:autoSpaceDN w:val="0"/>
        <w:adjustRightInd w:val="0"/>
        <w:ind w:left="1440"/>
        <w:rPr>
          <w:rFonts w:eastAsia="HelenPro-Regular"/>
        </w:rPr>
      </w:pPr>
      <w:r w:rsidRPr="00FA706C">
        <w:rPr>
          <w:rFonts w:eastAsia="HelenPro-Bold"/>
          <w:b/>
          <w:bCs/>
        </w:rPr>
        <w:t xml:space="preserve">• </w:t>
      </w:r>
      <w:r w:rsidRPr="00FA706C">
        <w:rPr>
          <w:rFonts w:eastAsia="HelenPro-Regular"/>
        </w:rPr>
        <w:t>Multiple calibrator lots</w:t>
      </w:r>
    </w:p>
    <w:p w:rsidR="00FA706C" w:rsidRPr="00FA706C" w:rsidRDefault="00FA706C" w:rsidP="005169F4">
      <w:pPr>
        <w:autoSpaceDE w:val="0"/>
        <w:autoSpaceDN w:val="0"/>
        <w:adjustRightInd w:val="0"/>
        <w:ind w:left="1440"/>
        <w:rPr>
          <w:rFonts w:eastAsia="HelenPro-Regular"/>
        </w:rPr>
      </w:pPr>
      <w:r w:rsidRPr="00FA706C">
        <w:rPr>
          <w:rFonts w:eastAsia="HelenPro-Bold"/>
          <w:b/>
          <w:bCs/>
        </w:rPr>
        <w:lastRenderedPageBreak/>
        <w:t xml:space="preserve">• </w:t>
      </w:r>
      <w:r w:rsidRPr="00FA706C">
        <w:rPr>
          <w:rFonts w:eastAsia="HelenPro-Regular"/>
        </w:rPr>
        <w:t>Multiple processing modules</w:t>
      </w:r>
    </w:p>
    <w:p w:rsidR="00FA706C" w:rsidRPr="00FA706C" w:rsidRDefault="00FA706C" w:rsidP="005169F4">
      <w:pPr>
        <w:autoSpaceDE w:val="0"/>
        <w:autoSpaceDN w:val="0"/>
        <w:adjustRightInd w:val="0"/>
        <w:ind w:left="1440"/>
        <w:rPr>
          <w:rFonts w:eastAsia="HelenPro-Regular"/>
        </w:rPr>
      </w:pPr>
      <w:r w:rsidRPr="00FA706C">
        <w:rPr>
          <w:rFonts w:eastAsia="HelenPro-Bold"/>
          <w:b/>
          <w:bCs/>
        </w:rPr>
        <w:t xml:space="preserve">• </w:t>
      </w:r>
      <w:r w:rsidRPr="00FA706C">
        <w:rPr>
          <w:rFonts w:eastAsia="HelenPro-Regular"/>
        </w:rPr>
        <w:t>Data points collected at different times of the day</w:t>
      </w:r>
    </w:p>
    <w:p w:rsidR="00F3700B" w:rsidRDefault="00F3700B" w:rsidP="00F66836">
      <w:pPr>
        <w:rPr>
          <w:b/>
          <w:sz w:val="28"/>
          <w:szCs w:val="28"/>
        </w:rPr>
      </w:pPr>
    </w:p>
    <w:p w:rsidR="005E48EE" w:rsidRDefault="005E48EE" w:rsidP="00F66836">
      <w:pPr>
        <w:rPr>
          <w:b/>
          <w:sz w:val="28"/>
          <w:szCs w:val="28"/>
        </w:rPr>
      </w:pPr>
    </w:p>
    <w:p w:rsidR="002648A6" w:rsidRDefault="002648A6" w:rsidP="00F66836">
      <w:pPr>
        <w:rPr>
          <w:b/>
          <w:sz w:val="28"/>
          <w:szCs w:val="28"/>
        </w:rPr>
      </w:pPr>
      <w:r>
        <w:rPr>
          <w:b/>
          <w:sz w:val="28"/>
          <w:szCs w:val="28"/>
        </w:rPr>
        <w:t>Instrument Procedure</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proofErr w:type="spellStart"/>
      <w:r w:rsidR="000048D7" w:rsidRPr="00887473">
        <w:rPr>
          <w:rFonts w:eastAsia="HelenPro-Regular"/>
          <w:i/>
          <w:iCs/>
        </w:rPr>
        <w:t>i</w:t>
      </w:r>
      <w:proofErr w:type="spellEnd"/>
      <w:r w:rsidR="000048D7" w:rsidRPr="00887473">
        <w:rPr>
          <w:rFonts w:eastAsia="HelenPro-Regular"/>
          <w:i/>
          <w:iCs/>
        </w:rPr>
        <w:t xml:space="preserve"> </w:t>
      </w:r>
      <w:r w:rsidR="000048D7" w:rsidRPr="00887473">
        <w:rPr>
          <w:rFonts w:eastAsia="HelenPro-Regular"/>
        </w:rPr>
        <w:t xml:space="preserve">Gentamicin </w:t>
      </w:r>
      <w:r w:rsidRPr="003356DF">
        <w:rPr>
          <w:rFonts w:eastAsia="HelenPro-Regular"/>
        </w:rPr>
        <w:t xml:space="preserve">assay is designed for use on the ARCHITECT </w:t>
      </w:r>
      <w:proofErr w:type="spellStart"/>
      <w:r w:rsidRPr="003356DF">
        <w:rPr>
          <w:rFonts w:eastAsia="HelenPro-Bold"/>
          <w:i/>
          <w:iCs/>
        </w:rPr>
        <w:t>i</w:t>
      </w:r>
      <w:proofErr w:type="spellEnd"/>
      <w:r w:rsidRPr="003356DF">
        <w:rPr>
          <w:rFonts w:eastAsia="HelenPro-Bold"/>
          <w:i/>
          <w:iCs/>
        </w:rPr>
        <w:t xml:space="preserve"> </w:t>
      </w:r>
      <w:r w:rsidRPr="003356DF">
        <w:rPr>
          <w:rFonts w:eastAsia="HelenPro-Regular"/>
        </w:rPr>
        <w:t>System.</w:t>
      </w:r>
    </w:p>
    <w:p w:rsidR="003356DF" w:rsidRDefault="003356DF" w:rsidP="00470CE6">
      <w:pPr>
        <w:pStyle w:val="ListParagraph"/>
        <w:numPr>
          <w:ilvl w:val="0"/>
          <w:numId w:val="18"/>
        </w:numPr>
        <w:autoSpaceDE w:val="0"/>
        <w:autoSpaceDN w:val="0"/>
        <w:adjustRightInd w:val="0"/>
        <w:rPr>
          <w:rFonts w:eastAsia="HelenPro-Regular"/>
        </w:rPr>
      </w:pPr>
      <w:r w:rsidRPr="00470CE6">
        <w:rPr>
          <w:rFonts w:eastAsia="HelenPro-Regular"/>
        </w:rPr>
        <w:t xml:space="preserve">The ARCHITECT </w:t>
      </w:r>
      <w:proofErr w:type="spellStart"/>
      <w:r w:rsidR="000048D7" w:rsidRPr="00887473">
        <w:rPr>
          <w:rFonts w:eastAsia="HelenPro-Regular"/>
          <w:i/>
          <w:iCs/>
        </w:rPr>
        <w:t>i</w:t>
      </w:r>
      <w:proofErr w:type="spellEnd"/>
      <w:r w:rsidR="000048D7" w:rsidRPr="00887473">
        <w:rPr>
          <w:rFonts w:eastAsia="HelenPro-Regular"/>
          <w:i/>
          <w:iCs/>
        </w:rPr>
        <w:t xml:space="preserve"> </w:t>
      </w:r>
      <w:r w:rsidR="000048D7" w:rsidRPr="00887473">
        <w:rPr>
          <w:rFonts w:eastAsia="HelenPro-Regular"/>
        </w:rPr>
        <w:t xml:space="preserve">Gentamicin </w:t>
      </w:r>
      <w:r w:rsidRPr="00470CE6">
        <w:rPr>
          <w:rFonts w:eastAsia="HelenPro-Regular"/>
        </w:rPr>
        <w:t xml:space="preserve">assay file must be installed on the ARCHITECT </w:t>
      </w:r>
      <w:proofErr w:type="spellStart"/>
      <w:r w:rsidRPr="00470CE6">
        <w:rPr>
          <w:rFonts w:eastAsia="HelenPro-Bold"/>
          <w:i/>
          <w:iCs/>
        </w:rPr>
        <w:t>i</w:t>
      </w:r>
      <w:proofErr w:type="spellEnd"/>
      <w:r w:rsidRPr="00470CE6">
        <w:rPr>
          <w:rFonts w:eastAsia="HelenPro-Bold"/>
          <w:i/>
          <w:iCs/>
        </w:rPr>
        <w:t xml:space="preserve"> </w:t>
      </w:r>
      <w:r w:rsidRPr="00470CE6">
        <w:rPr>
          <w:rFonts w:eastAsia="HelenPro-Regular"/>
        </w:rPr>
        <w:t xml:space="preserve">System </w:t>
      </w:r>
      <w:r w:rsidR="00470CE6" w:rsidRPr="00470CE6">
        <w:rPr>
          <w:rFonts w:eastAsia="HelenPro-Regular"/>
        </w:rPr>
        <w:t xml:space="preserve">from an ARCHITECT </w:t>
      </w:r>
      <w:proofErr w:type="spellStart"/>
      <w:r w:rsidR="00470CE6" w:rsidRPr="00470CE6">
        <w:rPr>
          <w:rFonts w:eastAsia="HelenPro-Regular"/>
          <w:i/>
          <w:iCs/>
        </w:rPr>
        <w:t>i</w:t>
      </w:r>
      <w:proofErr w:type="spellEnd"/>
      <w:r w:rsidR="00470CE6" w:rsidRPr="00470CE6">
        <w:rPr>
          <w:rFonts w:eastAsia="HelenPro-Regular"/>
          <w:i/>
          <w:iCs/>
        </w:rPr>
        <w:t xml:space="preserve"> </w:t>
      </w:r>
      <w:r w:rsidR="00470CE6" w:rsidRPr="00470CE6">
        <w:rPr>
          <w:rFonts w:eastAsia="HelenPro-Regular"/>
        </w:rPr>
        <w:t>System Assay CD-ROM prior to performing the assay. For detailed information on assay file installation and on viewing and editing assay parameters, refer to the ARCHITECT System Operations Manual, Section 2</w:t>
      </w:r>
      <w:r w:rsidR="00470CE6" w:rsidRPr="00470CE6">
        <w:rPr>
          <w:rFonts w:ascii="HelenPro-Regular" w:eastAsia="HelenPro-Regular" w:cs="HelenPro-Regular"/>
          <w:sz w:val="16"/>
          <w:szCs w:val="16"/>
        </w:rPr>
        <w:t>.</w:t>
      </w:r>
      <w:r w:rsidR="00470CE6" w:rsidRPr="00470CE6">
        <w:rPr>
          <w:rFonts w:eastAsia="HelenPro-Regular"/>
        </w:rPr>
        <w:t xml:space="preserve"> </w:t>
      </w:r>
    </w:p>
    <w:p w:rsidR="00DE1362" w:rsidRPr="00FA706C" w:rsidRDefault="00DE1362" w:rsidP="00FA706C">
      <w:pPr>
        <w:pStyle w:val="ListParagraph"/>
        <w:numPr>
          <w:ilvl w:val="0"/>
          <w:numId w:val="18"/>
        </w:numPr>
        <w:autoSpaceDE w:val="0"/>
        <w:autoSpaceDN w:val="0"/>
        <w:adjustRightInd w:val="0"/>
        <w:rPr>
          <w:rFonts w:eastAsia="HelenPro-Regular"/>
        </w:rPr>
      </w:pPr>
      <w:r w:rsidRPr="00FA706C">
        <w:rPr>
          <w:rFonts w:eastAsia="HelenPro-Regular"/>
        </w:rPr>
        <w:t xml:space="preserve">ARCHITECT </w:t>
      </w:r>
      <w:proofErr w:type="spellStart"/>
      <w:r w:rsidRPr="00FA706C">
        <w:rPr>
          <w:rFonts w:eastAsia="HelenPro-Bold"/>
          <w:i/>
          <w:iCs/>
        </w:rPr>
        <w:t>i</w:t>
      </w:r>
      <w:proofErr w:type="spellEnd"/>
      <w:r w:rsidRPr="00FA706C">
        <w:rPr>
          <w:rFonts w:eastAsia="HelenPro-Bold"/>
          <w:i/>
          <w:iCs/>
        </w:rPr>
        <w:t xml:space="preserve"> </w:t>
      </w:r>
      <w:r w:rsidRPr="00FA706C">
        <w:rPr>
          <w:rFonts w:eastAsia="HelenPro-Regular"/>
        </w:rPr>
        <w:t xml:space="preserve">Gentamicin samples analyzed in the presence of some ARCHITECT hepatitis assays may generate Error Code </w:t>
      </w:r>
      <w:r w:rsidRPr="00FA706C">
        <w:rPr>
          <w:rFonts w:eastAsia="HelenPro-Bold"/>
          <w:i/>
          <w:iCs/>
        </w:rPr>
        <w:t>1700 Unable</w:t>
      </w:r>
      <w:r w:rsidRPr="00FA706C">
        <w:rPr>
          <w:rFonts w:eastAsia="HelenPro-Regular"/>
        </w:rPr>
        <w:t xml:space="preserve"> </w:t>
      </w:r>
      <w:r w:rsidRPr="00FA706C">
        <w:rPr>
          <w:rFonts w:eastAsia="HelenPro-Bold"/>
          <w:i/>
          <w:iCs/>
        </w:rPr>
        <w:t xml:space="preserve">to process test, due to interference from Assay number (x) </w:t>
      </w:r>
      <w:r w:rsidRPr="00FA706C">
        <w:rPr>
          <w:rFonts w:eastAsia="HelenPro-Regular"/>
        </w:rPr>
        <w:t>(</w:t>
      </w:r>
      <w:r w:rsidRPr="00FA706C">
        <w:rPr>
          <w:rFonts w:eastAsia="HelenPro-Bold"/>
          <w:i/>
          <w:iCs/>
        </w:rPr>
        <w:t xml:space="preserve">x </w:t>
      </w:r>
      <w:r w:rsidRPr="00FA706C">
        <w:rPr>
          <w:rFonts w:eastAsia="HelenPro-Regular"/>
        </w:rPr>
        <w:t xml:space="preserve">= Assay number). </w:t>
      </w:r>
    </w:p>
    <w:p w:rsidR="003356DF" w:rsidRPr="00FA706C" w:rsidRDefault="003356DF" w:rsidP="00FA706C">
      <w:pPr>
        <w:pStyle w:val="ListParagraph"/>
        <w:numPr>
          <w:ilvl w:val="0"/>
          <w:numId w:val="18"/>
        </w:numPr>
        <w:autoSpaceDE w:val="0"/>
        <w:autoSpaceDN w:val="0"/>
        <w:adjustRightInd w:val="0"/>
        <w:rPr>
          <w:rFonts w:eastAsia="HelenPro-Regular"/>
        </w:rPr>
      </w:pPr>
      <w:r w:rsidRPr="00FA706C">
        <w:rPr>
          <w:rFonts w:eastAsia="HelenPro-Regular"/>
        </w:rPr>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a detailed description of system procedures, refer to the ARCHITECT System Operations Manual.</w:t>
      </w:r>
    </w:p>
    <w:p w:rsidR="003356DF" w:rsidRDefault="003356DF" w:rsidP="00F66836">
      <w:pPr>
        <w:rPr>
          <w:b/>
          <w:sz w:val="28"/>
          <w:szCs w:val="28"/>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173EA4" w:rsidP="002C7FD5">
      <w:pPr>
        <w:rPr>
          <w:b/>
        </w:rPr>
      </w:pPr>
    </w:p>
    <w:p w:rsidR="00470CE6" w:rsidRDefault="00FA706C" w:rsidP="002C7FD5">
      <w:pPr>
        <w:rPr>
          <w:b/>
        </w:rPr>
      </w:pPr>
      <w:r>
        <w:rPr>
          <w:noProof/>
        </w:rPr>
        <w:drawing>
          <wp:inline distT="0" distB="0" distL="0" distR="0" wp14:anchorId="1A0CBB9E" wp14:editId="3E79419D">
            <wp:extent cx="4267200" cy="3209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67200" cy="3209925"/>
                    </a:xfrm>
                    <a:prstGeom prst="rect">
                      <a:avLst/>
                    </a:prstGeom>
                  </pic:spPr>
                </pic:pic>
              </a:graphicData>
            </a:graphic>
          </wp:inline>
        </w:drawing>
      </w:r>
    </w:p>
    <w:p w:rsidR="003356DF" w:rsidRDefault="003356DF" w:rsidP="002C7FD5">
      <w:pPr>
        <w:rPr>
          <w:b/>
        </w:rPr>
      </w:pPr>
      <w:r>
        <w:rPr>
          <w:noProof/>
        </w:rPr>
        <w:lastRenderedPageBreak/>
        <w:drawing>
          <wp:inline distT="0" distB="0" distL="0" distR="0" wp14:anchorId="235BE292" wp14:editId="50D1C22D">
            <wp:extent cx="4253024" cy="116958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b="41464"/>
                    <a:stretch/>
                  </pic:blipFill>
                  <pic:spPr bwMode="auto">
                    <a:xfrm>
                      <a:off x="0" y="0"/>
                      <a:ext cx="4257675" cy="1170860"/>
                    </a:xfrm>
                    <a:prstGeom prst="rect">
                      <a:avLst/>
                    </a:prstGeom>
                    <a:ln>
                      <a:noFill/>
                    </a:ln>
                    <a:extLst>
                      <a:ext uri="{53640926-AAD7-44D8-BBD7-CCE9431645EC}">
                        <a14:shadowObscured xmlns:a14="http://schemas.microsoft.com/office/drawing/2010/main"/>
                      </a:ext>
                    </a:extLst>
                  </pic:spPr>
                </pic:pic>
              </a:graphicData>
            </a:graphic>
          </wp:inline>
        </w:drawing>
      </w:r>
    </w:p>
    <w:p w:rsidR="00FA706C" w:rsidRDefault="00FA706C" w:rsidP="002C7FD5">
      <w:pPr>
        <w:rPr>
          <w:b/>
        </w:rPr>
      </w:pPr>
      <w:r>
        <w:rPr>
          <w:noProof/>
        </w:rPr>
        <w:drawing>
          <wp:inline distT="0" distB="0" distL="0" distR="0" wp14:anchorId="182846F3" wp14:editId="34E3EE0B">
            <wp:extent cx="4816549" cy="1600437"/>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815835" cy="1600200"/>
                    </a:xfrm>
                    <a:prstGeom prst="rect">
                      <a:avLst/>
                    </a:prstGeom>
                  </pic:spPr>
                </pic:pic>
              </a:graphicData>
            </a:graphic>
          </wp:inline>
        </w:drawing>
      </w:r>
    </w:p>
    <w:p w:rsidR="005B1BF7" w:rsidRDefault="00FA706C" w:rsidP="002C7FD5">
      <w:pPr>
        <w:rPr>
          <w:b/>
        </w:rPr>
      </w:pPr>
      <w:r>
        <w:rPr>
          <w:noProof/>
        </w:rPr>
        <w:drawing>
          <wp:inline distT="0" distB="0" distL="0" distR="0" wp14:anchorId="1C6A2490" wp14:editId="15A2F698">
            <wp:extent cx="4305300" cy="29241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305300" cy="2924175"/>
                    </a:xfrm>
                    <a:prstGeom prst="rect">
                      <a:avLst/>
                    </a:prstGeom>
                  </pic:spPr>
                </pic:pic>
              </a:graphicData>
            </a:graphic>
          </wp:inline>
        </w:drawing>
      </w:r>
    </w:p>
    <w:p w:rsidR="005B1BF7" w:rsidRDefault="005B1BF7" w:rsidP="002C7FD5">
      <w:pPr>
        <w:rPr>
          <w:b/>
        </w:rPr>
      </w:pPr>
      <w:r>
        <w:rPr>
          <w:noProof/>
        </w:rPr>
        <w:drawing>
          <wp:inline distT="0" distB="0" distL="0" distR="0" wp14:anchorId="23670DB3" wp14:editId="6E995337">
            <wp:extent cx="4257675" cy="1657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257675" cy="1657350"/>
                    </a:xfrm>
                    <a:prstGeom prst="rect">
                      <a:avLst/>
                    </a:prstGeom>
                  </pic:spPr>
                </pic:pic>
              </a:graphicData>
            </a:graphic>
          </wp:inline>
        </w:drawing>
      </w:r>
    </w:p>
    <w:p w:rsidR="00F92520" w:rsidRDefault="00F92520" w:rsidP="00A554D4">
      <w:pPr>
        <w:ind w:left="1530"/>
        <w:rPr>
          <w:rFonts w:eastAsia="HelenPro-Regular"/>
        </w:rPr>
      </w:pP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F3700B" w:rsidRDefault="003356DF" w:rsidP="003356DF">
      <w:pPr>
        <w:autoSpaceDE w:val="0"/>
        <w:autoSpaceDN w:val="0"/>
        <w:adjustRightInd w:val="0"/>
        <w:rPr>
          <w:rFonts w:eastAsia="HelenPro-Regular"/>
        </w:rPr>
      </w:pPr>
      <w:r w:rsidRPr="003356DF">
        <w:rPr>
          <w:rFonts w:eastAsia="HelenPro-Regular"/>
        </w:rPr>
        <w:t>The default result unit for the A</w:t>
      </w:r>
      <w:r>
        <w:rPr>
          <w:rFonts w:eastAsia="HelenPro-Regular"/>
        </w:rPr>
        <w:t xml:space="preserve">RCHITECT </w:t>
      </w:r>
      <w:proofErr w:type="spellStart"/>
      <w:r w:rsidR="000048D7" w:rsidRPr="00887473">
        <w:rPr>
          <w:rFonts w:eastAsia="HelenPro-Regular"/>
          <w:i/>
          <w:iCs/>
        </w:rPr>
        <w:t>i</w:t>
      </w:r>
      <w:proofErr w:type="spellEnd"/>
      <w:r w:rsidR="000048D7" w:rsidRPr="00887473">
        <w:rPr>
          <w:rFonts w:eastAsia="HelenPro-Regular"/>
          <w:i/>
          <w:iCs/>
        </w:rPr>
        <w:t xml:space="preserve"> </w:t>
      </w:r>
      <w:r w:rsidR="000048D7" w:rsidRPr="00887473">
        <w:rPr>
          <w:rFonts w:eastAsia="HelenPro-Regular"/>
        </w:rPr>
        <w:t xml:space="preserve">Gentamicin </w:t>
      </w:r>
      <w:r>
        <w:rPr>
          <w:rFonts w:eastAsia="HelenPro-Regular"/>
        </w:rPr>
        <w:t xml:space="preserve">assay is </w:t>
      </w:r>
      <w:proofErr w:type="spellStart"/>
      <w:r w:rsidR="00FA706C">
        <w:rPr>
          <w:rFonts w:eastAsia="HelenPro-Regular"/>
        </w:rPr>
        <w:t>u</w:t>
      </w:r>
      <w:r w:rsidR="00835A84">
        <w:rPr>
          <w:rFonts w:eastAsia="HelenPro-Regular"/>
        </w:rPr>
        <w:t>g</w:t>
      </w:r>
      <w:proofErr w:type="spellEnd"/>
      <w:r w:rsidR="00470CE6">
        <w:rPr>
          <w:rFonts w:eastAsia="HelenPro-Regular"/>
        </w:rPr>
        <w:t>/mL</w:t>
      </w:r>
      <w:r>
        <w:rPr>
          <w:rFonts w:eastAsia="HelenPro-Regular"/>
        </w:rPr>
        <w:t xml:space="preserve"> </w:t>
      </w:r>
    </w:p>
    <w:p w:rsidR="002648A6" w:rsidRDefault="002648A6" w:rsidP="00C3571A">
      <w:pPr>
        <w:autoSpaceDE w:val="0"/>
        <w:autoSpaceDN w:val="0"/>
        <w:adjustRightInd w:val="0"/>
        <w:rPr>
          <w:rFonts w:eastAsia="HelenPro-Regular"/>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lastRenderedPageBreak/>
        <w:t>Flags</w:t>
      </w:r>
    </w:p>
    <w:p w:rsidR="002648A6"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FA706C" w:rsidRDefault="00FA706C" w:rsidP="002648A6">
      <w:pPr>
        <w:autoSpaceDE w:val="0"/>
        <w:autoSpaceDN w:val="0"/>
        <w:adjustRightInd w:val="0"/>
        <w:rPr>
          <w:rFonts w:eastAsia="HelenPro-Regular"/>
        </w:rPr>
      </w:pPr>
    </w:p>
    <w:p w:rsidR="00FA706C" w:rsidRPr="00887473" w:rsidRDefault="00FA706C" w:rsidP="00FA706C">
      <w:pPr>
        <w:autoSpaceDE w:val="0"/>
        <w:autoSpaceDN w:val="0"/>
        <w:adjustRightInd w:val="0"/>
        <w:rPr>
          <w:rFonts w:eastAsia="HelenPro-Regular"/>
        </w:rPr>
      </w:pPr>
      <w:r w:rsidRPr="00887473">
        <w:rPr>
          <w:rFonts w:eastAsia="HelenPro-Regular"/>
        </w:rPr>
        <w:t>Some results may contain information in the Flags field. For a description</w:t>
      </w:r>
      <w:r w:rsidR="00887473">
        <w:rPr>
          <w:rFonts w:eastAsia="HelenPro-Regular"/>
        </w:rPr>
        <w:t xml:space="preserve"> </w:t>
      </w:r>
      <w:r w:rsidRPr="00887473">
        <w:rPr>
          <w:rFonts w:eastAsia="HelenPro-Regular"/>
        </w:rPr>
        <w:t>of the flags that may appear in this field, refer to the ARCHITECT System</w:t>
      </w:r>
      <w:r w:rsidR="00887473">
        <w:rPr>
          <w:rFonts w:eastAsia="HelenPro-Regular"/>
        </w:rPr>
        <w:t xml:space="preserve"> </w:t>
      </w:r>
      <w:r w:rsidRPr="00887473">
        <w:rPr>
          <w:rFonts w:eastAsia="HelenPro-Regular"/>
        </w:rPr>
        <w:t>Operations Manual, Section 5.</w:t>
      </w:r>
    </w:p>
    <w:p w:rsidR="00FA706C" w:rsidRPr="00887473" w:rsidRDefault="00FA706C" w:rsidP="00FA706C">
      <w:pPr>
        <w:autoSpaceDE w:val="0"/>
        <w:autoSpaceDN w:val="0"/>
        <w:adjustRightInd w:val="0"/>
        <w:rPr>
          <w:rFonts w:eastAsia="HelenPro-Regular"/>
        </w:rPr>
      </w:pPr>
      <w:r w:rsidRPr="00887473">
        <w:rPr>
          <w:rFonts w:eastAsia="HelenPro-Regular"/>
        </w:rPr>
        <w:t>Exception: Error Code 1700 (For ARCHITECT Systems running hepatitis</w:t>
      </w:r>
      <w:r w:rsidR="00887473">
        <w:rPr>
          <w:rFonts w:eastAsia="HelenPro-Regular"/>
        </w:rPr>
        <w:t xml:space="preserve"> </w:t>
      </w:r>
      <w:r w:rsidRPr="00887473">
        <w:rPr>
          <w:rFonts w:eastAsia="HelenPro-Regular"/>
        </w:rPr>
        <w:t>assay(s) only)</w:t>
      </w:r>
    </w:p>
    <w:p w:rsidR="00FA706C" w:rsidRPr="00887473" w:rsidRDefault="00FA706C" w:rsidP="00FA706C">
      <w:pPr>
        <w:autoSpaceDE w:val="0"/>
        <w:autoSpaceDN w:val="0"/>
        <w:adjustRightInd w:val="0"/>
        <w:rPr>
          <w:rFonts w:eastAsia="HelenPro-Regular"/>
        </w:rPr>
      </w:pPr>
      <w:r w:rsidRPr="00887473">
        <w:rPr>
          <w:rFonts w:eastAsia="HelenPro-Bold"/>
          <w:b/>
          <w:bCs/>
        </w:rPr>
        <w:t xml:space="preserve">• </w:t>
      </w:r>
      <w:r w:rsidRPr="00887473">
        <w:rPr>
          <w:rFonts w:eastAsia="HelenPro-Regular"/>
        </w:rPr>
        <w:t>The ARCHITECT assays that contain gentamicin as a preservative are</w:t>
      </w:r>
      <w:r w:rsidR="00887473">
        <w:rPr>
          <w:rFonts w:eastAsia="HelenPro-Regular"/>
        </w:rPr>
        <w:t xml:space="preserve"> </w:t>
      </w:r>
      <w:r w:rsidRPr="00887473">
        <w:rPr>
          <w:rFonts w:eastAsia="HelenPro-Regular"/>
        </w:rPr>
        <w:t xml:space="preserve">listed in the table below. ARCHITECT </w:t>
      </w:r>
      <w:proofErr w:type="spellStart"/>
      <w:r w:rsidRPr="00887473">
        <w:rPr>
          <w:rFonts w:eastAsia="HelenPro-Regular"/>
          <w:i/>
          <w:iCs/>
        </w:rPr>
        <w:t>i</w:t>
      </w:r>
      <w:proofErr w:type="spellEnd"/>
      <w:r w:rsidRPr="00887473">
        <w:rPr>
          <w:rFonts w:eastAsia="HelenPro-Regular"/>
          <w:i/>
          <w:iCs/>
        </w:rPr>
        <w:t xml:space="preserve"> </w:t>
      </w:r>
      <w:r w:rsidRPr="00887473">
        <w:rPr>
          <w:rFonts w:eastAsia="HelenPro-Regular"/>
        </w:rPr>
        <w:t>Gentamicin samples analyzed</w:t>
      </w:r>
      <w:r w:rsidR="00887473">
        <w:rPr>
          <w:rFonts w:eastAsia="HelenPro-Regular"/>
        </w:rPr>
        <w:t xml:space="preserve"> </w:t>
      </w:r>
      <w:r w:rsidRPr="00887473">
        <w:rPr>
          <w:rFonts w:eastAsia="HelenPro-Regular"/>
        </w:rPr>
        <w:t>in the presence of any of the assays listed in the table below may</w:t>
      </w:r>
      <w:r w:rsidR="00887473">
        <w:rPr>
          <w:rFonts w:eastAsia="HelenPro-Regular"/>
        </w:rPr>
        <w:t xml:space="preserve"> </w:t>
      </w:r>
      <w:r w:rsidRPr="00887473">
        <w:rPr>
          <w:rFonts w:eastAsia="HelenPro-Regular"/>
        </w:rPr>
        <w:t xml:space="preserve">generate an exception, Error Code </w:t>
      </w:r>
      <w:r w:rsidRPr="00887473">
        <w:rPr>
          <w:rFonts w:eastAsia="HelenPro-Regular"/>
          <w:i/>
          <w:iCs/>
        </w:rPr>
        <w:t>1700 Unable to process test, due to</w:t>
      </w:r>
      <w:r w:rsidR="00887473">
        <w:rPr>
          <w:rFonts w:eastAsia="HelenPro-Regular"/>
        </w:rPr>
        <w:t xml:space="preserve"> </w:t>
      </w:r>
      <w:r w:rsidRPr="00887473">
        <w:rPr>
          <w:rFonts w:eastAsia="HelenPro-Regular"/>
          <w:i/>
          <w:iCs/>
        </w:rPr>
        <w:t xml:space="preserve">interference from Assay number (x) </w:t>
      </w:r>
      <w:r w:rsidRPr="00887473">
        <w:rPr>
          <w:rFonts w:eastAsia="HelenPro-Regular"/>
        </w:rPr>
        <w:t>(</w:t>
      </w:r>
      <w:r w:rsidRPr="00887473">
        <w:rPr>
          <w:rFonts w:eastAsia="HelenPro-Regular"/>
          <w:i/>
          <w:iCs/>
        </w:rPr>
        <w:t xml:space="preserve">x </w:t>
      </w:r>
      <w:r w:rsidRPr="00887473">
        <w:rPr>
          <w:rFonts w:eastAsia="HelenPro-Regular"/>
        </w:rPr>
        <w:t>= Assay number).</w:t>
      </w:r>
    </w:p>
    <w:p w:rsidR="00FA706C" w:rsidRPr="00887473" w:rsidRDefault="00FA706C" w:rsidP="00FA706C">
      <w:pPr>
        <w:autoSpaceDE w:val="0"/>
        <w:autoSpaceDN w:val="0"/>
        <w:adjustRightInd w:val="0"/>
        <w:rPr>
          <w:rFonts w:eastAsia="HelenPro-Regular"/>
        </w:rPr>
      </w:pPr>
      <w:r w:rsidRPr="00887473">
        <w:rPr>
          <w:rFonts w:eastAsia="HelenPro-Bold"/>
          <w:b/>
          <w:bCs/>
        </w:rPr>
        <w:t xml:space="preserve">• </w:t>
      </w:r>
      <w:r w:rsidRPr="00887473">
        <w:rPr>
          <w:rFonts w:eastAsia="HelenPro-Regular"/>
        </w:rPr>
        <w:t>If a sample generates Error Code 1700 the first time, do the</w:t>
      </w:r>
      <w:r w:rsidR="00887473">
        <w:rPr>
          <w:rFonts w:eastAsia="HelenPro-Regular"/>
        </w:rPr>
        <w:t xml:space="preserve"> </w:t>
      </w:r>
      <w:r w:rsidRPr="00887473">
        <w:rPr>
          <w:rFonts w:eastAsia="HelenPro-Regular"/>
        </w:rPr>
        <w:t>following:</w:t>
      </w:r>
    </w:p>
    <w:p w:rsidR="00FA706C" w:rsidRPr="00887473" w:rsidRDefault="00FA706C" w:rsidP="00887473">
      <w:pPr>
        <w:autoSpaceDE w:val="0"/>
        <w:autoSpaceDN w:val="0"/>
        <w:adjustRightInd w:val="0"/>
        <w:ind w:left="720"/>
        <w:rPr>
          <w:rFonts w:eastAsia="HelenPro-Regular"/>
        </w:rPr>
      </w:pPr>
      <w:r w:rsidRPr="00887473">
        <w:rPr>
          <w:rFonts w:eastAsia="HelenPro-Bold"/>
          <w:b/>
          <w:bCs/>
        </w:rPr>
        <w:t xml:space="preserve">• </w:t>
      </w:r>
      <w:r w:rsidRPr="00887473">
        <w:rPr>
          <w:rFonts w:eastAsia="HelenPro-Regular"/>
        </w:rPr>
        <w:t xml:space="preserve">Reorder and run the ARCHITECT </w:t>
      </w:r>
      <w:proofErr w:type="spellStart"/>
      <w:r w:rsidRPr="00887473">
        <w:rPr>
          <w:rFonts w:eastAsia="HelenPro-Regular"/>
          <w:i/>
          <w:iCs/>
        </w:rPr>
        <w:t>i</w:t>
      </w:r>
      <w:proofErr w:type="spellEnd"/>
      <w:r w:rsidRPr="00887473">
        <w:rPr>
          <w:rFonts w:eastAsia="HelenPro-Regular"/>
          <w:i/>
          <w:iCs/>
        </w:rPr>
        <w:t xml:space="preserve"> </w:t>
      </w:r>
      <w:r w:rsidRPr="00887473">
        <w:rPr>
          <w:rFonts w:eastAsia="HelenPro-Regular"/>
        </w:rPr>
        <w:t>Gentamicin test.</w:t>
      </w:r>
    </w:p>
    <w:p w:rsidR="00FA706C" w:rsidRPr="00887473" w:rsidRDefault="00FA706C" w:rsidP="00887473">
      <w:pPr>
        <w:autoSpaceDE w:val="0"/>
        <w:autoSpaceDN w:val="0"/>
        <w:adjustRightInd w:val="0"/>
        <w:ind w:left="720"/>
        <w:rPr>
          <w:rFonts w:eastAsia="HelenPro-Regular"/>
        </w:rPr>
      </w:pPr>
      <w:r w:rsidRPr="00887473">
        <w:rPr>
          <w:rFonts w:eastAsia="HelenPro-Bold"/>
          <w:b/>
          <w:bCs/>
        </w:rPr>
        <w:t xml:space="preserve">• </w:t>
      </w:r>
      <w:r w:rsidRPr="00887473">
        <w:rPr>
          <w:rFonts w:eastAsia="HelenPro-Regular"/>
        </w:rPr>
        <w:t>Reorder and run any remaining tests for the sample.</w:t>
      </w:r>
    </w:p>
    <w:p w:rsidR="00FA706C" w:rsidRPr="00887473" w:rsidRDefault="00FA706C" w:rsidP="00887473">
      <w:pPr>
        <w:autoSpaceDE w:val="0"/>
        <w:autoSpaceDN w:val="0"/>
        <w:adjustRightInd w:val="0"/>
        <w:ind w:left="720"/>
        <w:rPr>
          <w:rFonts w:eastAsia="HelenPro-Regular"/>
        </w:rPr>
      </w:pPr>
      <w:r w:rsidRPr="00887473">
        <w:rPr>
          <w:rFonts w:eastAsia="HelenPro-Bold"/>
          <w:b/>
          <w:bCs/>
        </w:rPr>
        <w:t xml:space="preserve">• NOTE: DO NOT </w:t>
      </w:r>
      <w:r w:rsidRPr="00887473">
        <w:rPr>
          <w:rFonts w:eastAsia="HelenPro-Regular"/>
        </w:rPr>
        <w:t xml:space="preserve">reorder the ARCHITECT </w:t>
      </w:r>
      <w:proofErr w:type="spellStart"/>
      <w:r w:rsidRPr="00887473">
        <w:rPr>
          <w:rFonts w:eastAsia="HelenPro-Regular"/>
          <w:i/>
          <w:iCs/>
        </w:rPr>
        <w:t>i</w:t>
      </w:r>
      <w:proofErr w:type="spellEnd"/>
      <w:r w:rsidRPr="00887473">
        <w:rPr>
          <w:rFonts w:eastAsia="HelenPro-Regular"/>
          <w:i/>
          <w:iCs/>
        </w:rPr>
        <w:t xml:space="preserve"> </w:t>
      </w:r>
      <w:r w:rsidRPr="00887473">
        <w:rPr>
          <w:rFonts w:eastAsia="HelenPro-Regular"/>
        </w:rPr>
        <w:t>Gentamicin test with any of</w:t>
      </w:r>
      <w:r w:rsidR="00887473">
        <w:rPr>
          <w:rFonts w:eastAsia="HelenPro-Regular"/>
        </w:rPr>
        <w:t xml:space="preserve"> </w:t>
      </w:r>
      <w:r w:rsidRPr="00887473">
        <w:rPr>
          <w:rFonts w:eastAsia="HelenPro-Regular"/>
        </w:rPr>
        <w:t>the assays listed below.</w:t>
      </w:r>
    </w:p>
    <w:p w:rsidR="00FA706C" w:rsidRPr="00887473" w:rsidRDefault="00FA706C" w:rsidP="00FA706C">
      <w:pPr>
        <w:autoSpaceDE w:val="0"/>
        <w:autoSpaceDN w:val="0"/>
        <w:adjustRightInd w:val="0"/>
        <w:rPr>
          <w:rFonts w:eastAsia="HelenPro-Regular"/>
        </w:rPr>
      </w:pPr>
      <w:r w:rsidRPr="00887473">
        <w:rPr>
          <w:rFonts w:eastAsia="HelenPro-Bold"/>
          <w:b/>
          <w:bCs/>
        </w:rPr>
        <w:t xml:space="preserve">• </w:t>
      </w:r>
      <w:r w:rsidRPr="00887473">
        <w:rPr>
          <w:rFonts w:eastAsia="HelenPro-Regular"/>
        </w:rPr>
        <w:t xml:space="preserve">In the event that the </w:t>
      </w:r>
      <w:r w:rsidRPr="00887473">
        <w:rPr>
          <w:rFonts w:eastAsia="HelenPro-Bold"/>
          <w:b/>
          <w:bCs/>
        </w:rPr>
        <w:t xml:space="preserve">RETESTED </w:t>
      </w:r>
      <w:r w:rsidRPr="00887473">
        <w:rPr>
          <w:rFonts w:eastAsia="HelenPro-Regular"/>
        </w:rPr>
        <w:t>sample described above generates</w:t>
      </w:r>
      <w:r w:rsidR="00887473">
        <w:rPr>
          <w:rFonts w:eastAsia="HelenPro-Regular"/>
        </w:rPr>
        <w:t xml:space="preserve"> Error Code 1700, do the </w:t>
      </w:r>
      <w:r w:rsidRPr="00887473">
        <w:rPr>
          <w:rFonts w:eastAsia="HelenPro-Regular"/>
        </w:rPr>
        <w:t>following:</w:t>
      </w:r>
    </w:p>
    <w:p w:rsidR="00FA706C" w:rsidRPr="00887473" w:rsidRDefault="00FA706C" w:rsidP="00887473">
      <w:pPr>
        <w:autoSpaceDE w:val="0"/>
        <w:autoSpaceDN w:val="0"/>
        <w:adjustRightInd w:val="0"/>
        <w:ind w:left="720"/>
        <w:rPr>
          <w:rFonts w:eastAsia="HelenPro-Bold"/>
          <w:b/>
          <w:bCs/>
        </w:rPr>
      </w:pPr>
      <w:r w:rsidRPr="00887473">
        <w:rPr>
          <w:rFonts w:eastAsia="HelenPro-Bold"/>
          <w:b/>
          <w:bCs/>
        </w:rPr>
        <w:t xml:space="preserve">• </w:t>
      </w:r>
      <w:r w:rsidRPr="00887473">
        <w:rPr>
          <w:rFonts w:eastAsia="HelenPro-Regular"/>
        </w:rPr>
        <w:t xml:space="preserve">Perform the ARCHITECT maintenance procedure below </w:t>
      </w:r>
      <w:r w:rsidRPr="00887473">
        <w:rPr>
          <w:rFonts w:eastAsia="HelenPro-Bold"/>
          <w:b/>
          <w:bCs/>
        </w:rPr>
        <w:t>two</w:t>
      </w:r>
      <w:r w:rsidR="00887473">
        <w:rPr>
          <w:rFonts w:eastAsia="HelenPro-Bold"/>
          <w:b/>
          <w:bCs/>
        </w:rPr>
        <w:t xml:space="preserve"> </w:t>
      </w:r>
      <w:r w:rsidRPr="00887473">
        <w:rPr>
          <w:rFonts w:eastAsia="HelenPro-Bold"/>
          <w:b/>
          <w:bCs/>
        </w:rPr>
        <w:t>times</w:t>
      </w:r>
      <w:r w:rsidRPr="00887473">
        <w:rPr>
          <w:rFonts w:eastAsia="HelenPro-Regular"/>
        </w:rPr>
        <w:t>:</w:t>
      </w:r>
    </w:p>
    <w:p w:rsidR="00FA706C" w:rsidRPr="00887473" w:rsidRDefault="00FA706C" w:rsidP="00887473">
      <w:pPr>
        <w:autoSpaceDE w:val="0"/>
        <w:autoSpaceDN w:val="0"/>
        <w:adjustRightInd w:val="0"/>
        <w:ind w:left="720"/>
        <w:rPr>
          <w:rFonts w:eastAsia="HelenPro-Regular"/>
          <w:i/>
          <w:iCs/>
        </w:rPr>
      </w:pPr>
      <w:r w:rsidRPr="00887473">
        <w:rPr>
          <w:rFonts w:eastAsia="HelenPro-Bold"/>
          <w:b/>
          <w:bCs/>
        </w:rPr>
        <w:t xml:space="preserve">• </w:t>
      </w:r>
      <w:r w:rsidRPr="00887473">
        <w:rPr>
          <w:rFonts w:eastAsia="HelenPro-Regular"/>
        </w:rPr>
        <w:t xml:space="preserve">For ARCHITECT </w:t>
      </w:r>
      <w:proofErr w:type="spellStart"/>
      <w:r w:rsidRPr="00887473">
        <w:rPr>
          <w:rFonts w:eastAsia="HelenPro-Regular"/>
          <w:i/>
          <w:iCs/>
        </w:rPr>
        <w:t>i</w:t>
      </w:r>
      <w:proofErr w:type="spellEnd"/>
      <w:r w:rsidRPr="00887473">
        <w:rPr>
          <w:rFonts w:eastAsia="HelenPro-Regular"/>
          <w:i/>
          <w:iCs/>
        </w:rPr>
        <w:t xml:space="preserve"> </w:t>
      </w:r>
      <w:r w:rsidRPr="00887473">
        <w:rPr>
          <w:rFonts w:eastAsia="HelenPro-Regular"/>
        </w:rPr>
        <w:t xml:space="preserve">2000SR, perform </w:t>
      </w:r>
      <w:r w:rsidRPr="00887473">
        <w:rPr>
          <w:rFonts w:eastAsia="HelenPro-Regular"/>
          <w:i/>
          <w:iCs/>
        </w:rPr>
        <w:t>2130 Flush Fluids.</w:t>
      </w:r>
    </w:p>
    <w:p w:rsidR="00FA706C" w:rsidRPr="00887473" w:rsidRDefault="00FA706C" w:rsidP="00887473">
      <w:pPr>
        <w:autoSpaceDE w:val="0"/>
        <w:autoSpaceDN w:val="0"/>
        <w:adjustRightInd w:val="0"/>
        <w:ind w:left="720"/>
        <w:rPr>
          <w:rFonts w:eastAsia="HelenPro-Regular"/>
          <w:i/>
          <w:iCs/>
        </w:rPr>
      </w:pPr>
      <w:r w:rsidRPr="00887473">
        <w:rPr>
          <w:rFonts w:eastAsia="HelenPro-Bold"/>
          <w:b/>
          <w:bCs/>
        </w:rPr>
        <w:t xml:space="preserve">• </w:t>
      </w:r>
      <w:r w:rsidRPr="00887473">
        <w:rPr>
          <w:rFonts w:eastAsia="HelenPro-Regular"/>
        </w:rPr>
        <w:t xml:space="preserve">For ARCHITECT </w:t>
      </w:r>
      <w:proofErr w:type="spellStart"/>
      <w:r w:rsidRPr="00887473">
        <w:rPr>
          <w:rFonts w:eastAsia="HelenPro-Regular"/>
          <w:i/>
          <w:iCs/>
        </w:rPr>
        <w:t>i</w:t>
      </w:r>
      <w:proofErr w:type="spellEnd"/>
      <w:r w:rsidRPr="00887473">
        <w:rPr>
          <w:rFonts w:eastAsia="HelenPro-Regular"/>
          <w:i/>
          <w:iCs/>
        </w:rPr>
        <w:t xml:space="preserve"> </w:t>
      </w:r>
      <w:r w:rsidRPr="00887473">
        <w:rPr>
          <w:rFonts w:eastAsia="HelenPro-Regular"/>
        </w:rPr>
        <w:t xml:space="preserve">1000SR, perform </w:t>
      </w:r>
      <w:r w:rsidRPr="00887473">
        <w:rPr>
          <w:rFonts w:eastAsia="HelenPro-Regular"/>
          <w:i/>
          <w:iCs/>
        </w:rPr>
        <w:t>2137 Flush Fluids.</w:t>
      </w:r>
    </w:p>
    <w:p w:rsidR="00FA706C" w:rsidRPr="00887473" w:rsidRDefault="00FA706C" w:rsidP="00887473">
      <w:pPr>
        <w:autoSpaceDE w:val="0"/>
        <w:autoSpaceDN w:val="0"/>
        <w:adjustRightInd w:val="0"/>
        <w:ind w:left="720"/>
        <w:rPr>
          <w:rFonts w:eastAsia="HelenPro-Regular"/>
        </w:rPr>
      </w:pPr>
      <w:r w:rsidRPr="00887473">
        <w:rPr>
          <w:rFonts w:eastAsia="HelenPro-Bold"/>
          <w:b/>
          <w:bCs/>
        </w:rPr>
        <w:t xml:space="preserve">• </w:t>
      </w:r>
      <w:r w:rsidRPr="00887473">
        <w:rPr>
          <w:rFonts w:eastAsia="HelenPro-Regular"/>
        </w:rPr>
        <w:t xml:space="preserve">Reorder and run the ARCHITECT </w:t>
      </w:r>
      <w:proofErr w:type="spellStart"/>
      <w:r w:rsidRPr="00887473">
        <w:rPr>
          <w:rFonts w:eastAsia="HelenPro-Regular"/>
          <w:i/>
          <w:iCs/>
        </w:rPr>
        <w:t>i</w:t>
      </w:r>
      <w:proofErr w:type="spellEnd"/>
      <w:r w:rsidRPr="00887473">
        <w:rPr>
          <w:rFonts w:eastAsia="HelenPro-Regular"/>
          <w:i/>
          <w:iCs/>
        </w:rPr>
        <w:t xml:space="preserve"> </w:t>
      </w:r>
      <w:r w:rsidRPr="00887473">
        <w:rPr>
          <w:rFonts w:eastAsia="HelenPro-Regular"/>
        </w:rPr>
        <w:t>Gentamicin test.</w:t>
      </w:r>
    </w:p>
    <w:p w:rsidR="00FA706C" w:rsidRPr="00887473" w:rsidRDefault="00FA706C" w:rsidP="00887473">
      <w:pPr>
        <w:autoSpaceDE w:val="0"/>
        <w:autoSpaceDN w:val="0"/>
        <w:adjustRightInd w:val="0"/>
        <w:ind w:left="720"/>
        <w:rPr>
          <w:rFonts w:eastAsia="HelenPro-Regular"/>
        </w:rPr>
      </w:pPr>
      <w:r w:rsidRPr="00887473">
        <w:rPr>
          <w:rFonts w:eastAsia="HelenPro-Bold"/>
          <w:b/>
          <w:bCs/>
        </w:rPr>
        <w:t xml:space="preserve">• </w:t>
      </w:r>
      <w:r w:rsidRPr="00887473">
        <w:rPr>
          <w:rFonts w:eastAsia="HelenPro-Regular"/>
        </w:rPr>
        <w:t>Refer to ARCHITECT System Operations Manual, Section 9.</w:t>
      </w:r>
    </w:p>
    <w:p w:rsidR="00FA706C" w:rsidRPr="00C3571A" w:rsidRDefault="00FA706C" w:rsidP="00FA706C">
      <w:pPr>
        <w:autoSpaceDE w:val="0"/>
        <w:autoSpaceDN w:val="0"/>
        <w:adjustRightInd w:val="0"/>
        <w:rPr>
          <w:rFonts w:eastAsia="HelenPro-Regular"/>
        </w:rPr>
      </w:pPr>
      <w:r>
        <w:rPr>
          <w:noProof/>
        </w:rPr>
        <w:drawing>
          <wp:inline distT="0" distB="0" distL="0" distR="0" wp14:anchorId="34888906" wp14:editId="74FD8325">
            <wp:extent cx="4171950" cy="37719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71950" cy="3771900"/>
                    </a:xfrm>
                    <a:prstGeom prst="rect">
                      <a:avLst/>
                    </a:prstGeom>
                  </pic:spPr>
                </pic:pic>
              </a:graphicData>
            </a:graphic>
          </wp:inline>
        </w:drawing>
      </w:r>
    </w:p>
    <w:p w:rsidR="00D64E39" w:rsidRDefault="00D64E39" w:rsidP="00AB793D">
      <w:pPr>
        <w:rPr>
          <w:rFonts w:ascii="Arial" w:hAnsi="Arial" w:cs="Arial"/>
          <w:b/>
          <w:bCs/>
        </w:rPr>
      </w:pPr>
    </w:p>
    <w:p w:rsidR="00912FE4" w:rsidRPr="008C5276" w:rsidRDefault="00912FE4" w:rsidP="00AB793D">
      <w:pPr>
        <w:rPr>
          <w:b/>
          <w:bCs/>
          <w:sz w:val="28"/>
          <w:szCs w:val="28"/>
        </w:rPr>
      </w:pPr>
      <w:r w:rsidRPr="008C5276">
        <w:rPr>
          <w:b/>
          <w:bCs/>
          <w:sz w:val="28"/>
          <w:szCs w:val="28"/>
        </w:rPr>
        <w:lastRenderedPageBreak/>
        <w:t>Specific Performance Characteristics</w:t>
      </w:r>
      <w:r w:rsidR="00D60AFA" w:rsidRPr="008C5276">
        <w:rPr>
          <w:b/>
          <w:bCs/>
          <w:sz w:val="28"/>
          <w:szCs w:val="28"/>
        </w:rPr>
        <w:t xml:space="preserve"> </w:t>
      </w:r>
    </w:p>
    <w:p w:rsidR="00CE2DC7" w:rsidRPr="008C5276" w:rsidRDefault="002648A6" w:rsidP="00AB793D">
      <w:pPr>
        <w:rPr>
          <w:b/>
          <w:bCs/>
        </w:rPr>
      </w:pPr>
      <w:r w:rsidRPr="008C5276">
        <w:rPr>
          <w:b/>
          <w:bCs/>
        </w:rPr>
        <w:t>Expected Values</w:t>
      </w:r>
      <w:r w:rsidR="00D60AFA" w:rsidRPr="008C5276">
        <w:rPr>
          <w:b/>
          <w:bCs/>
        </w:rPr>
        <w:t xml:space="preserve"> </w:t>
      </w:r>
    </w:p>
    <w:p w:rsidR="0055619E" w:rsidRPr="008C5276" w:rsidRDefault="006D40ED" w:rsidP="006D40ED">
      <w:pPr>
        <w:autoSpaceDE w:val="0"/>
        <w:autoSpaceDN w:val="0"/>
        <w:adjustRightInd w:val="0"/>
        <w:rPr>
          <w:rFonts w:eastAsia="HelenPro-Regular"/>
        </w:rPr>
      </w:pPr>
      <w:r w:rsidRPr="008C5276">
        <w:rPr>
          <w:rFonts w:eastAsia="HelenPro-Regular"/>
        </w:rPr>
        <w:t>It is recommended that each laboratory determine its own reference range based upon its particular locale and population characteristics.</w:t>
      </w:r>
    </w:p>
    <w:p w:rsidR="00317056" w:rsidRPr="008C5276" w:rsidRDefault="00317056" w:rsidP="00AB793D">
      <w:pPr>
        <w:rPr>
          <w:b/>
          <w:bCs/>
        </w:rPr>
      </w:pPr>
    </w:p>
    <w:p w:rsidR="00A554D4" w:rsidRPr="008C5276" w:rsidRDefault="00A554D4" w:rsidP="00AB793D">
      <w:pPr>
        <w:rPr>
          <w:b/>
          <w:bCs/>
        </w:rPr>
      </w:pPr>
      <w:r w:rsidRPr="008C5276">
        <w:rPr>
          <w:b/>
          <w:bCs/>
        </w:rPr>
        <w:t>Serum/</w:t>
      </w:r>
      <w:r w:rsidR="008C5276" w:rsidRPr="008C5276">
        <w:rPr>
          <w:b/>
          <w:bCs/>
        </w:rPr>
        <w:t xml:space="preserve">Plasma: </w:t>
      </w:r>
    </w:p>
    <w:p w:rsidR="008C5276" w:rsidRPr="008C5276" w:rsidRDefault="008C5276" w:rsidP="00AB793D">
      <w:pPr>
        <w:rPr>
          <w:rFonts w:eastAsia="HelenPro-Regular"/>
        </w:rPr>
      </w:pPr>
      <w:r w:rsidRPr="008C5276">
        <w:rPr>
          <w:b/>
          <w:bCs/>
        </w:rPr>
        <w:tab/>
      </w:r>
      <w:r w:rsidRPr="008C5276">
        <w:rPr>
          <w:bCs/>
        </w:rPr>
        <w:t xml:space="preserve">Trough: 0.0 – 2.0 </w:t>
      </w:r>
      <w:proofErr w:type="spellStart"/>
      <w:r w:rsidRPr="008C5276">
        <w:rPr>
          <w:rFonts w:eastAsia="HelenPro-Regular"/>
        </w:rPr>
        <w:t>μg</w:t>
      </w:r>
      <w:proofErr w:type="spellEnd"/>
      <w:r w:rsidRPr="008C5276">
        <w:rPr>
          <w:rFonts w:eastAsia="HelenPro-Regular"/>
        </w:rPr>
        <w:t>/mL</w:t>
      </w:r>
    </w:p>
    <w:p w:rsidR="008C5276" w:rsidRDefault="008C5276" w:rsidP="00AB793D">
      <w:pPr>
        <w:rPr>
          <w:rFonts w:eastAsia="HelenPro-Regular"/>
        </w:rPr>
      </w:pPr>
      <w:r>
        <w:rPr>
          <w:rFonts w:eastAsia="HelenPro-Regular"/>
        </w:rPr>
        <w:tab/>
      </w:r>
    </w:p>
    <w:p w:rsidR="008C5276" w:rsidRDefault="008C5276" w:rsidP="008C5276">
      <w:pPr>
        <w:ind w:firstLine="720"/>
        <w:rPr>
          <w:rFonts w:eastAsia="HelenPro-Regular"/>
        </w:rPr>
      </w:pPr>
      <w:r>
        <w:rPr>
          <w:rFonts w:eastAsia="HelenPro-Regular"/>
        </w:rPr>
        <w:t>Peak:</w:t>
      </w:r>
      <w:r>
        <w:rPr>
          <w:rFonts w:eastAsia="HelenPro-Regular"/>
        </w:rPr>
        <w:tab/>
      </w:r>
      <w:r>
        <w:rPr>
          <w:rFonts w:eastAsia="HelenPro-Regular"/>
          <w:u w:val="single"/>
        </w:rPr>
        <w:t>&lt;</w:t>
      </w:r>
      <w:r>
        <w:rPr>
          <w:rFonts w:eastAsia="HelenPro-Regular"/>
        </w:rPr>
        <w:t xml:space="preserve"> 2 months = 5.0 – 10.0 </w:t>
      </w:r>
      <w:proofErr w:type="spellStart"/>
      <w:r w:rsidRPr="00887473">
        <w:rPr>
          <w:rFonts w:eastAsia="HelenPro-Regular"/>
        </w:rPr>
        <w:t>μg</w:t>
      </w:r>
      <w:proofErr w:type="spellEnd"/>
      <w:r w:rsidRPr="00887473">
        <w:rPr>
          <w:rFonts w:eastAsia="HelenPro-Regular"/>
        </w:rPr>
        <w:t>/mL</w:t>
      </w:r>
    </w:p>
    <w:p w:rsidR="008C5276" w:rsidRDefault="008C5276" w:rsidP="00AB793D">
      <w:pPr>
        <w:rPr>
          <w:rFonts w:eastAsia="HelenPro-Regular"/>
        </w:rPr>
      </w:pPr>
      <w:r>
        <w:rPr>
          <w:rFonts w:eastAsia="HelenPro-Regular"/>
        </w:rPr>
        <w:tab/>
      </w:r>
      <w:r>
        <w:rPr>
          <w:rFonts w:eastAsia="HelenPro-Regular"/>
        </w:rPr>
        <w:tab/>
      </w:r>
      <w:r>
        <w:rPr>
          <w:rFonts w:eastAsia="HelenPro-Regular"/>
          <w:u w:val="single"/>
        </w:rPr>
        <w:t>&lt;</w:t>
      </w:r>
      <w:r>
        <w:rPr>
          <w:rFonts w:eastAsia="HelenPro-Regular"/>
        </w:rPr>
        <w:t xml:space="preserve"> 150 years = 4.0 – 8.0 </w:t>
      </w:r>
      <w:proofErr w:type="spellStart"/>
      <w:r w:rsidRPr="00887473">
        <w:rPr>
          <w:rFonts w:eastAsia="HelenPro-Regular"/>
        </w:rPr>
        <w:t>μg</w:t>
      </w:r>
      <w:proofErr w:type="spellEnd"/>
      <w:r w:rsidRPr="00887473">
        <w:rPr>
          <w:rFonts w:eastAsia="HelenPro-Regular"/>
        </w:rPr>
        <w:t>/mL</w:t>
      </w:r>
    </w:p>
    <w:p w:rsidR="008C5276" w:rsidRPr="008C5276" w:rsidRDefault="008C5276" w:rsidP="00AB793D">
      <w:pPr>
        <w:rPr>
          <w:rFonts w:ascii="Arial" w:hAnsi="Arial" w:cs="Arial"/>
          <w:bCs/>
        </w:rPr>
      </w:pPr>
    </w:p>
    <w:p w:rsidR="00DA6C6A" w:rsidRPr="00835A84" w:rsidRDefault="00FA706C" w:rsidP="00FA706C">
      <w:pPr>
        <w:autoSpaceDE w:val="0"/>
        <w:autoSpaceDN w:val="0"/>
        <w:adjustRightInd w:val="0"/>
        <w:rPr>
          <w:rFonts w:eastAsia="HelenPro-Regular"/>
        </w:rPr>
      </w:pPr>
      <w:r w:rsidRPr="00887473">
        <w:rPr>
          <w:rFonts w:eastAsia="HelenPro-Regular"/>
        </w:rPr>
        <w:t>Strong correlations have been shown between serum levels and both</w:t>
      </w:r>
      <w:r w:rsidR="00887473">
        <w:rPr>
          <w:rFonts w:eastAsia="HelenPro-Regular"/>
        </w:rPr>
        <w:t xml:space="preserve"> </w:t>
      </w:r>
      <w:r w:rsidRPr="00887473">
        <w:rPr>
          <w:rFonts w:eastAsia="HelenPro-Regular"/>
        </w:rPr>
        <w:t>therapeutic effect and toxicity in specific patient types. Peak serum levels</w:t>
      </w:r>
      <w:r w:rsidR="00887473">
        <w:rPr>
          <w:rFonts w:eastAsia="HelenPro-Regular"/>
        </w:rPr>
        <w:t xml:space="preserve"> </w:t>
      </w:r>
      <w:r w:rsidRPr="00887473">
        <w:rPr>
          <w:rFonts w:eastAsia="HelenPro-Regular"/>
        </w:rPr>
        <w:t xml:space="preserve">of gentamicin in the range of 5 to 10 </w:t>
      </w:r>
      <w:proofErr w:type="spellStart"/>
      <w:r w:rsidRPr="00887473">
        <w:rPr>
          <w:rFonts w:eastAsia="HelenPro-Regular"/>
        </w:rPr>
        <w:t>μg</w:t>
      </w:r>
      <w:proofErr w:type="spellEnd"/>
      <w:r w:rsidRPr="00887473">
        <w:rPr>
          <w:rFonts w:eastAsia="HelenPro-Regular"/>
        </w:rPr>
        <w:t>/mL are suggested for optimal</w:t>
      </w:r>
      <w:r w:rsidR="00887473">
        <w:rPr>
          <w:rFonts w:eastAsia="HelenPro-Regular"/>
        </w:rPr>
        <w:t xml:space="preserve"> </w:t>
      </w:r>
      <w:r w:rsidRPr="00887473">
        <w:rPr>
          <w:rFonts w:eastAsia="HelenPro-Regular"/>
        </w:rPr>
        <w:t>therapeutic effectiveness. Persistently elevated peak concentrations</w:t>
      </w:r>
      <w:r w:rsidR="00887473">
        <w:rPr>
          <w:rFonts w:eastAsia="HelenPro-Regular"/>
        </w:rPr>
        <w:t xml:space="preserve"> </w:t>
      </w:r>
      <w:r w:rsidRPr="00887473">
        <w:rPr>
          <w:rFonts w:eastAsia="HelenPro-Regular"/>
        </w:rPr>
        <w:t xml:space="preserve">(10 </w:t>
      </w:r>
      <w:proofErr w:type="spellStart"/>
      <w:r w:rsidRPr="00887473">
        <w:rPr>
          <w:rFonts w:eastAsia="HelenPro-Regular"/>
        </w:rPr>
        <w:t>μg</w:t>
      </w:r>
      <w:proofErr w:type="spellEnd"/>
      <w:r w:rsidRPr="00887473">
        <w:rPr>
          <w:rFonts w:eastAsia="HelenPro-Regular"/>
        </w:rPr>
        <w:t>/mL) have been shown to cause renal and eighth cranial nerve</w:t>
      </w:r>
      <w:r w:rsidR="00887473">
        <w:rPr>
          <w:rFonts w:eastAsia="HelenPro-Regular"/>
        </w:rPr>
        <w:t xml:space="preserve"> </w:t>
      </w:r>
      <w:r w:rsidRPr="00887473">
        <w:rPr>
          <w:rFonts w:eastAsia="HelenPro-Regular"/>
        </w:rPr>
        <w:t>toxicity. Nephrotoxicity takes the form of damage to the proximal renal</w:t>
      </w:r>
      <w:r w:rsidR="00887473">
        <w:rPr>
          <w:rFonts w:eastAsia="HelenPro-Regular"/>
        </w:rPr>
        <w:t xml:space="preserve"> </w:t>
      </w:r>
      <w:r w:rsidRPr="00887473">
        <w:rPr>
          <w:rFonts w:eastAsia="HelenPro-Regular"/>
        </w:rPr>
        <w:t>tubules, and is associated with impaired renal function. Central nervous</w:t>
      </w:r>
      <w:r w:rsidR="00887473">
        <w:rPr>
          <w:rFonts w:eastAsia="HelenPro-Regular"/>
        </w:rPr>
        <w:t xml:space="preserve"> </w:t>
      </w:r>
      <w:r w:rsidRPr="00887473">
        <w:rPr>
          <w:rFonts w:eastAsia="HelenPro-Regular"/>
        </w:rPr>
        <w:t>system toxicity is most often manifested as damage to the vestibular and</w:t>
      </w:r>
      <w:r w:rsidR="00887473">
        <w:rPr>
          <w:rFonts w:eastAsia="HelenPro-Regular"/>
        </w:rPr>
        <w:t xml:space="preserve"> </w:t>
      </w:r>
      <w:r w:rsidRPr="00887473">
        <w:rPr>
          <w:rFonts w:eastAsia="HelenPro-Regular"/>
        </w:rPr>
        <w:t>auditory branches of the eighth cranial nerve. Trough levels offer a more</w:t>
      </w:r>
      <w:r w:rsidR="00887473">
        <w:rPr>
          <w:rFonts w:eastAsia="HelenPro-Regular"/>
        </w:rPr>
        <w:t xml:space="preserve"> </w:t>
      </w:r>
      <w:r w:rsidRPr="00887473">
        <w:rPr>
          <w:rFonts w:eastAsia="HelenPro-Regular"/>
        </w:rPr>
        <w:t>discrete indication of impending toxicity since they more closely correspond</w:t>
      </w:r>
      <w:r w:rsidR="00887473">
        <w:rPr>
          <w:rFonts w:eastAsia="HelenPro-Regular"/>
        </w:rPr>
        <w:t xml:space="preserve"> </w:t>
      </w:r>
      <w:r w:rsidRPr="00887473">
        <w:rPr>
          <w:rFonts w:eastAsia="HelenPro-Regular"/>
        </w:rPr>
        <w:t>to tissue levels and are less affected by sampling errors. Slowly rising</w:t>
      </w:r>
      <w:r w:rsidR="00887473">
        <w:rPr>
          <w:rFonts w:eastAsia="HelenPro-Regular"/>
        </w:rPr>
        <w:t xml:space="preserve"> </w:t>
      </w:r>
      <w:r w:rsidRPr="00887473">
        <w:rPr>
          <w:rFonts w:eastAsia="HelenPro-Regular"/>
        </w:rPr>
        <w:t>trough levels have been shown to correspond to tissue accumulation of</w:t>
      </w:r>
      <w:r w:rsidR="00887473">
        <w:rPr>
          <w:rFonts w:eastAsia="HelenPro-Regular"/>
        </w:rPr>
        <w:t xml:space="preserve"> </w:t>
      </w:r>
      <w:r w:rsidRPr="00887473">
        <w:rPr>
          <w:rFonts w:eastAsia="HelenPro-Regular"/>
        </w:rPr>
        <w:t xml:space="preserve">the drug, and trough levels greater than 2 </w:t>
      </w:r>
      <w:proofErr w:type="spellStart"/>
      <w:r w:rsidRPr="00887473">
        <w:rPr>
          <w:rFonts w:eastAsia="HelenPro-Regular"/>
        </w:rPr>
        <w:t>μg</w:t>
      </w:r>
      <w:proofErr w:type="spellEnd"/>
      <w:r w:rsidRPr="00887473">
        <w:rPr>
          <w:rFonts w:eastAsia="HelenPro-Regular"/>
        </w:rPr>
        <w:t>/mL have been associated</w:t>
      </w:r>
      <w:r w:rsidR="00887473">
        <w:rPr>
          <w:rFonts w:eastAsia="HelenPro-Regular"/>
        </w:rPr>
        <w:t xml:space="preserve"> </w:t>
      </w:r>
      <w:r w:rsidRPr="00887473">
        <w:rPr>
          <w:rFonts w:eastAsia="HelenPro-Regular"/>
        </w:rPr>
        <w:t>with renal failure in some patients. Refer to the drug manufacturer’s</w:t>
      </w:r>
      <w:r w:rsidR="00887473">
        <w:rPr>
          <w:rFonts w:eastAsia="HelenPro-Regular"/>
        </w:rPr>
        <w:t xml:space="preserve"> </w:t>
      </w:r>
      <w:r w:rsidRPr="00887473">
        <w:rPr>
          <w:rFonts w:eastAsia="HelenPro-Regular"/>
        </w:rPr>
        <w:t>package insert or the Physicians’ Desk Reference (PDR) for proper drug</w:t>
      </w:r>
      <w:r w:rsidR="00887473">
        <w:rPr>
          <w:rFonts w:eastAsia="HelenPro-Regular"/>
        </w:rPr>
        <w:t xml:space="preserve"> </w:t>
      </w:r>
      <w:r w:rsidRPr="00887473">
        <w:rPr>
          <w:rFonts w:eastAsia="HelenPro-Regular"/>
        </w:rPr>
        <w:t>dosage and for gentamicin measurement sampling times.</w:t>
      </w:r>
    </w:p>
    <w:p w:rsidR="00A06293" w:rsidRDefault="00A06293" w:rsidP="00AB793D">
      <w:pPr>
        <w:rPr>
          <w:b/>
          <w:bCs/>
        </w:rPr>
      </w:pPr>
    </w:p>
    <w:p w:rsidR="00B63E8F" w:rsidRDefault="00B63E8F" w:rsidP="00623EFB">
      <w:pPr>
        <w:ind w:right="720"/>
        <w:jc w:val="both"/>
        <w:rPr>
          <w:rFonts w:eastAsia="HelenPro-Regular"/>
        </w:rPr>
      </w:pPr>
      <w:r w:rsidRPr="00835A84">
        <w:rPr>
          <w:b/>
        </w:rPr>
        <w:t>Critical Values</w:t>
      </w:r>
      <w:r w:rsidR="008C5276">
        <w:rPr>
          <w:b/>
        </w:rPr>
        <w:t xml:space="preserve">: </w:t>
      </w:r>
      <w:r w:rsidR="008C5276">
        <w:rPr>
          <w:b/>
        </w:rPr>
        <w:tab/>
      </w:r>
      <w:r w:rsidR="008C5276">
        <w:t xml:space="preserve">Trough: &gt; 2.0 </w:t>
      </w:r>
      <w:proofErr w:type="spellStart"/>
      <w:r w:rsidR="008C5276" w:rsidRPr="00887473">
        <w:rPr>
          <w:rFonts w:eastAsia="HelenPro-Regular"/>
        </w:rPr>
        <w:t>μg</w:t>
      </w:r>
      <w:proofErr w:type="spellEnd"/>
      <w:r w:rsidR="008C5276" w:rsidRPr="00887473">
        <w:rPr>
          <w:rFonts w:eastAsia="HelenPro-Regular"/>
        </w:rPr>
        <w:t>/mL</w:t>
      </w:r>
    </w:p>
    <w:p w:rsidR="008C5276" w:rsidRPr="008C5276" w:rsidRDefault="008C5276" w:rsidP="00623EFB">
      <w:pPr>
        <w:ind w:right="720"/>
        <w:jc w:val="both"/>
      </w:pPr>
      <w:r>
        <w:rPr>
          <w:rFonts w:eastAsia="HelenPro-Regular"/>
        </w:rPr>
        <w:tab/>
      </w:r>
      <w:r>
        <w:rPr>
          <w:rFonts w:eastAsia="HelenPro-Regular"/>
        </w:rPr>
        <w:tab/>
      </w:r>
      <w:r>
        <w:rPr>
          <w:rFonts w:eastAsia="HelenPro-Regular"/>
        </w:rPr>
        <w:tab/>
        <w:t>Peak:</w:t>
      </w:r>
      <w:r>
        <w:rPr>
          <w:rFonts w:eastAsia="HelenPro-Regular"/>
        </w:rPr>
        <w:tab/>
        <w:t>&gt;10 for all ages</w:t>
      </w:r>
    </w:p>
    <w:p w:rsidR="0038442D" w:rsidRPr="00835A84" w:rsidRDefault="0038442D" w:rsidP="00AB793D">
      <w:pPr>
        <w:rPr>
          <w:b/>
        </w:rPr>
      </w:pPr>
    </w:p>
    <w:p w:rsidR="00D5211B" w:rsidRPr="00835A84" w:rsidRDefault="005E3D52" w:rsidP="00AB793D">
      <w:pPr>
        <w:rPr>
          <w:i/>
          <w:color w:val="FF0000"/>
          <w:sz w:val="28"/>
          <w:szCs w:val="28"/>
        </w:rPr>
      </w:pPr>
      <w:r w:rsidRPr="00835A84">
        <w:rPr>
          <w:b/>
          <w:sz w:val="28"/>
          <w:szCs w:val="28"/>
        </w:rPr>
        <w:t>Performance Characteristics</w:t>
      </w:r>
      <w:r w:rsidR="00973EAF" w:rsidRPr="00835A84">
        <w:rPr>
          <w:b/>
          <w:sz w:val="28"/>
          <w:szCs w:val="28"/>
        </w:rPr>
        <w:t xml:space="preserve"> </w:t>
      </w:r>
    </w:p>
    <w:p w:rsidR="00FA706C" w:rsidRPr="00887473" w:rsidRDefault="00FA706C" w:rsidP="00FA706C">
      <w:pPr>
        <w:autoSpaceDE w:val="0"/>
        <w:autoSpaceDN w:val="0"/>
        <w:adjustRightInd w:val="0"/>
        <w:rPr>
          <w:rFonts w:eastAsia="HelenPro-Bold"/>
          <w:b/>
          <w:bCs/>
        </w:rPr>
      </w:pPr>
      <w:r w:rsidRPr="00887473">
        <w:rPr>
          <w:rFonts w:eastAsia="HelenPro-Bold"/>
          <w:b/>
          <w:bCs/>
        </w:rPr>
        <w:t>Measuring Interval (Reportable Range)</w:t>
      </w:r>
    </w:p>
    <w:p w:rsidR="00B45FE2" w:rsidRPr="00887473" w:rsidRDefault="00FA706C" w:rsidP="00FA706C">
      <w:pPr>
        <w:autoSpaceDE w:val="0"/>
        <w:autoSpaceDN w:val="0"/>
        <w:adjustRightInd w:val="0"/>
        <w:rPr>
          <w:rFonts w:eastAsia="HelenPro-Regular"/>
        </w:rPr>
      </w:pPr>
      <w:r w:rsidRPr="00887473">
        <w:rPr>
          <w:rFonts w:eastAsia="HelenPro-Regular"/>
        </w:rPr>
        <w:t xml:space="preserve">The measuring interval of the ARCHITECT </w:t>
      </w:r>
      <w:proofErr w:type="spellStart"/>
      <w:r w:rsidRPr="00887473">
        <w:rPr>
          <w:rFonts w:eastAsia="HelenPro-Bold"/>
          <w:i/>
          <w:iCs/>
        </w:rPr>
        <w:t>i</w:t>
      </w:r>
      <w:proofErr w:type="spellEnd"/>
      <w:r w:rsidRPr="00887473">
        <w:rPr>
          <w:rFonts w:eastAsia="HelenPro-Bold"/>
          <w:i/>
          <w:iCs/>
        </w:rPr>
        <w:t xml:space="preserve"> </w:t>
      </w:r>
      <w:r w:rsidRPr="00887473">
        <w:rPr>
          <w:rFonts w:eastAsia="HelenPro-Regular"/>
        </w:rPr>
        <w:t xml:space="preserve">Gentamicin assay is 0.3 </w:t>
      </w:r>
      <w:proofErr w:type="spellStart"/>
      <w:r w:rsidRPr="00887473">
        <w:rPr>
          <w:rFonts w:eastAsia="HelenPro-Regular"/>
        </w:rPr>
        <w:t>μg</w:t>
      </w:r>
      <w:proofErr w:type="spellEnd"/>
      <w:r w:rsidRPr="00887473">
        <w:rPr>
          <w:rFonts w:eastAsia="HelenPro-Regular"/>
        </w:rPr>
        <w:t>/mL to</w:t>
      </w:r>
      <w:r w:rsidR="00887473">
        <w:rPr>
          <w:rFonts w:eastAsia="HelenPro-Regular"/>
        </w:rPr>
        <w:t xml:space="preserve"> </w:t>
      </w:r>
      <w:r w:rsidRPr="00887473">
        <w:rPr>
          <w:rFonts w:eastAsia="HelenPro-Regular"/>
        </w:rPr>
        <w:t xml:space="preserve">10.0 </w:t>
      </w:r>
      <w:proofErr w:type="spellStart"/>
      <w:r w:rsidRPr="00887473">
        <w:rPr>
          <w:rFonts w:eastAsia="HelenPro-Regular"/>
        </w:rPr>
        <w:t>μg</w:t>
      </w:r>
      <w:proofErr w:type="spellEnd"/>
      <w:r w:rsidRPr="00887473">
        <w:rPr>
          <w:rFonts w:eastAsia="HelenPro-Regular"/>
        </w:rPr>
        <w:t>/mL  When using the manual</w:t>
      </w:r>
      <w:r w:rsidR="00887473">
        <w:rPr>
          <w:rFonts w:eastAsia="HelenPro-Regular"/>
        </w:rPr>
        <w:t xml:space="preserve"> </w:t>
      </w:r>
      <w:r w:rsidRPr="00887473">
        <w:rPr>
          <w:rFonts w:eastAsia="HelenPro-Regular"/>
        </w:rPr>
        <w:t xml:space="preserve">dilution procedure, the assay can report values up to 50.0 </w:t>
      </w:r>
      <w:proofErr w:type="spellStart"/>
      <w:r w:rsidRPr="00887473">
        <w:rPr>
          <w:rFonts w:eastAsia="HelenPro-Regular"/>
        </w:rPr>
        <w:t>μg</w:t>
      </w:r>
      <w:proofErr w:type="spellEnd"/>
      <w:r w:rsidRPr="00887473">
        <w:rPr>
          <w:rFonts w:eastAsia="HelenPro-Regular"/>
        </w:rPr>
        <w:t>/</w:t>
      </w:r>
      <w:proofErr w:type="spellStart"/>
      <w:r w:rsidRPr="00887473">
        <w:rPr>
          <w:rFonts w:eastAsia="HelenPro-Regular"/>
        </w:rPr>
        <w:t>mL.</w:t>
      </w:r>
      <w:proofErr w:type="spellEnd"/>
    </w:p>
    <w:p w:rsidR="00FA706C" w:rsidRPr="00887473" w:rsidRDefault="00FA706C" w:rsidP="00B45FE2">
      <w:pPr>
        <w:autoSpaceDE w:val="0"/>
        <w:autoSpaceDN w:val="0"/>
        <w:adjustRightInd w:val="0"/>
        <w:rPr>
          <w:rFonts w:eastAsia="HelenPro-Bold"/>
          <w:b/>
          <w:bCs/>
        </w:rPr>
      </w:pPr>
    </w:p>
    <w:p w:rsidR="00835A84" w:rsidRPr="00887473" w:rsidRDefault="002648A6" w:rsidP="00835A84">
      <w:pPr>
        <w:autoSpaceDE w:val="0"/>
        <w:autoSpaceDN w:val="0"/>
        <w:adjustRightInd w:val="0"/>
        <w:rPr>
          <w:rFonts w:eastAsia="HelenPro-Bold"/>
          <w:b/>
          <w:bCs/>
        </w:rPr>
      </w:pPr>
      <w:r w:rsidRPr="00887473">
        <w:rPr>
          <w:rFonts w:eastAsia="HelenPro-Bold"/>
          <w:b/>
          <w:bCs/>
        </w:rPr>
        <w:t>Linearity</w:t>
      </w:r>
    </w:p>
    <w:p w:rsidR="00835A84" w:rsidRPr="00887473" w:rsidRDefault="003C5BC8" w:rsidP="003C5BC8">
      <w:pPr>
        <w:autoSpaceDE w:val="0"/>
        <w:autoSpaceDN w:val="0"/>
        <w:adjustRightInd w:val="0"/>
        <w:rPr>
          <w:rFonts w:eastAsia="HelenPro-Regular"/>
        </w:rPr>
      </w:pPr>
      <w:r w:rsidRPr="00887473">
        <w:rPr>
          <w:rFonts w:eastAsia="HelenPro-Regular"/>
        </w:rPr>
        <w:t xml:space="preserve">A linear range of 0.11 to 11.16 </w:t>
      </w:r>
      <w:proofErr w:type="spellStart"/>
      <w:r w:rsidRPr="00887473">
        <w:rPr>
          <w:rFonts w:eastAsia="HelenPro-Regular"/>
        </w:rPr>
        <w:t>μg</w:t>
      </w:r>
      <w:proofErr w:type="spellEnd"/>
      <w:r w:rsidRPr="00887473">
        <w:rPr>
          <w:rFonts w:eastAsia="HelenPro-Regular"/>
        </w:rPr>
        <w:t>/mL was</w:t>
      </w:r>
      <w:r w:rsidR="00887473">
        <w:rPr>
          <w:rFonts w:eastAsia="HelenPro-Regular"/>
        </w:rPr>
        <w:t xml:space="preserve"> </w:t>
      </w:r>
      <w:r w:rsidRPr="00887473">
        <w:rPr>
          <w:rFonts w:eastAsia="HelenPro-Regular"/>
        </w:rPr>
        <w:t xml:space="preserve">established for the ARCHITECT </w:t>
      </w:r>
      <w:proofErr w:type="spellStart"/>
      <w:r w:rsidRPr="00887473">
        <w:rPr>
          <w:rFonts w:eastAsia="HelenPro-Regular"/>
          <w:i/>
          <w:iCs/>
        </w:rPr>
        <w:t>i</w:t>
      </w:r>
      <w:proofErr w:type="spellEnd"/>
      <w:r w:rsidRPr="00887473">
        <w:rPr>
          <w:rFonts w:eastAsia="HelenPro-Regular"/>
          <w:i/>
          <w:iCs/>
        </w:rPr>
        <w:t xml:space="preserve"> </w:t>
      </w:r>
      <w:r w:rsidRPr="00887473">
        <w:rPr>
          <w:rFonts w:eastAsia="HelenPro-Regular"/>
        </w:rPr>
        <w:t>Gentamicin assay.</w:t>
      </w:r>
    </w:p>
    <w:p w:rsidR="00A06293" w:rsidRPr="00887473" w:rsidRDefault="00A06293" w:rsidP="002648A6">
      <w:pPr>
        <w:autoSpaceDE w:val="0"/>
        <w:autoSpaceDN w:val="0"/>
        <w:adjustRightInd w:val="0"/>
        <w:rPr>
          <w:rFonts w:eastAsia="HelenPro-Regular"/>
          <w:b/>
        </w:rPr>
      </w:pPr>
    </w:p>
    <w:p w:rsidR="002648A6" w:rsidRPr="00887473" w:rsidRDefault="00835A84" w:rsidP="002648A6">
      <w:pPr>
        <w:autoSpaceDE w:val="0"/>
        <w:autoSpaceDN w:val="0"/>
        <w:adjustRightInd w:val="0"/>
        <w:rPr>
          <w:rFonts w:eastAsia="HelenPro-Regular"/>
          <w:b/>
        </w:rPr>
      </w:pPr>
      <w:r w:rsidRPr="00887473">
        <w:rPr>
          <w:rFonts w:eastAsia="HelenPro-Regular"/>
          <w:b/>
        </w:rPr>
        <w:t>Sensitivity</w:t>
      </w:r>
    </w:p>
    <w:p w:rsidR="003C5BC8" w:rsidRPr="00887473" w:rsidRDefault="003C5BC8" w:rsidP="003C5BC8">
      <w:pPr>
        <w:autoSpaceDE w:val="0"/>
        <w:autoSpaceDN w:val="0"/>
        <w:adjustRightInd w:val="0"/>
        <w:rPr>
          <w:rFonts w:eastAsia="HelenPro-Regular"/>
          <w:u w:val="single"/>
        </w:rPr>
      </w:pPr>
      <w:r w:rsidRPr="00887473">
        <w:rPr>
          <w:rFonts w:eastAsia="HelenPro-Regular"/>
          <w:u w:val="single"/>
        </w:rPr>
        <w:t>Limit of Quantitation</w:t>
      </w:r>
    </w:p>
    <w:p w:rsidR="00835A84" w:rsidRPr="00887473" w:rsidRDefault="003C5BC8" w:rsidP="003C5BC8">
      <w:pPr>
        <w:autoSpaceDE w:val="0"/>
        <w:autoSpaceDN w:val="0"/>
        <w:adjustRightInd w:val="0"/>
        <w:rPr>
          <w:rFonts w:eastAsia="HelenPro-Regular"/>
        </w:rPr>
      </w:pPr>
      <w:r w:rsidRPr="00887473">
        <w:rPr>
          <w:rFonts w:eastAsia="HelenPro-Regular"/>
        </w:rPr>
        <w:t xml:space="preserve">The ARCHITECT </w:t>
      </w:r>
      <w:proofErr w:type="spellStart"/>
      <w:r w:rsidRPr="00887473">
        <w:rPr>
          <w:rFonts w:eastAsia="HelenPro-Regular"/>
          <w:i/>
          <w:iCs/>
        </w:rPr>
        <w:t>i</w:t>
      </w:r>
      <w:proofErr w:type="spellEnd"/>
      <w:r w:rsidRPr="00887473">
        <w:rPr>
          <w:rFonts w:eastAsia="HelenPro-Regular"/>
          <w:i/>
          <w:iCs/>
        </w:rPr>
        <w:t xml:space="preserve"> </w:t>
      </w:r>
      <w:r w:rsidRPr="00887473">
        <w:rPr>
          <w:rFonts w:eastAsia="HelenPro-Regular"/>
        </w:rPr>
        <w:t>Gentamicin assay is designed to have a Limit of</w:t>
      </w:r>
      <w:r w:rsidR="00887473">
        <w:rPr>
          <w:rFonts w:eastAsia="HelenPro-Regular"/>
        </w:rPr>
        <w:t xml:space="preserve"> </w:t>
      </w:r>
      <w:r w:rsidRPr="00887473">
        <w:rPr>
          <w:rFonts w:eastAsia="HelenPro-Regular"/>
        </w:rPr>
        <w:t>Quantitation (</w:t>
      </w:r>
      <w:proofErr w:type="spellStart"/>
      <w:r w:rsidRPr="00887473">
        <w:rPr>
          <w:rFonts w:eastAsia="HelenPro-Regular"/>
        </w:rPr>
        <w:t>LoQ</w:t>
      </w:r>
      <w:proofErr w:type="spellEnd"/>
      <w:r w:rsidRPr="00887473">
        <w:rPr>
          <w:rFonts w:eastAsia="HelenPro-Regular"/>
        </w:rPr>
        <w:t xml:space="preserve">) of ≤ 0.3 </w:t>
      </w:r>
      <w:proofErr w:type="spellStart"/>
      <w:r w:rsidRPr="00887473">
        <w:rPr>
          <w:rFonts w:eastAsia="HelenPro-Regular"/>
        </w:rPr>
        <w:t>μg</w:t>
      </w:r>
      <w:proofErr w:type="spellEnd"/>
      <w:r w:rsidRPr="00887473">
        <w:rPr>
          <w:rFonts w:eastAsia="HelenPro-Regular"/>
        </w:rPr>
        <w:t>/</w:t>
      </w:r>
      <w:proofErr w:type="spellStart"/>
      <w:r w:rsidRPr="00887473">
        <w:rPr>
          <w:rFonts w:eastAsia="HelenPro-Regular"/>
        </w:rPr>
        <w:t>mL.</w:t>
      </w:r>
      <w:proofErr w:type="spellEnd"/>
    </w:p>
    <w:p w:rsidR="003C5BC8" w:rsidRPr="00887473" w:rsidRDefault="003C5BC8" w:rsidP="003C5BC8">
      <w:pPr>
        <w:autoSpaceDE w:val="0"/>
        <w:autoSpaceDN w:val="0"/>
        <w:adjustRightInd w:val="0"/>
        <w:rPr>
          <w:rFonts w:eastAsia="HelenPro-Regular"/>
          <w:u w:val="single"/>
        </w:rPr>
      </w:pPr>
      <w:r w:rsidRPr="00887473">
        <w:rPr>
          <w:rFonts w:eastAsia="HelenPro-Regular"/>
          <w:u w:val="single"/>
        </w:rPr>
        <w:t>Limit of Blank and Limit of Detection</w:t>
      </w:r>
    </w:p>
    <w:p w:rsidR="003C5BC8" w:rsidRPr="00887473" w:rsidRDefault="003C5BC8" w:rsidP="003C5BC8">
      <w:pPr>
        <w:autoSpaceDE w:val="0"/>
        <w:autoSpaceDN w:val="0"/>
        <w:adjustRightInd w:val="0"/>
        <w:rPr>
          <w:rFonts w:eastAsia="HelenPro-Regular"/>
        </w:rPr>
      </w:pPr>
      <w:r w:rsidRPr="00887473">
        <w:rPr>
          <w:rFonts w:eastAsia="HelenPro-Regular"/>
        </w:rPr>
        <w:t>In the same study, the Limit of Blank (</w:t>
      </w:r>
      <w:proofErr w:type="spellStart"/>
      <w:r w:rsidRPr="00887473">
        <w:rPr>
          <w:rFonts w:eastAsia="HelenPro-Regular"/>
        </w:rPr>
        <w:t>LoB</w:t>
      </w:r>
      <w:proofErr w:type="spellEnd"/>
      <w:r w:rsidRPr="00887473">
        <w:rPr>
          <w:rFonts w:eastAsia="HelenPro-Regular"/>
        </w:rPr>
        <w:t>) an</w:t>
      </w:r>
      <w:r w:rsidR="00887473">
        <w:rPr>
          <w:rFonts w:eastAsia="HelenPro-Regular"/>
        </w:rPr>
        <w:t>d Limit of Detection (</w:t>
      </w:r>
      <w:proofErr w:type="spellStart"/>
      <w:r w:rsidR="00887473">
        <w:rPr>
          <w:rFonts w:eastAsia="HelenPro-Regular"/>
        </w:rPr>
        <w:t>LoD</w:t>
      </w:r>
      <w:proofErr w:type="spellEnd"/>
      <w:r w:rsidR="00887473">
        <w:rPr>
          <w:rFonts w:eastAsia="HelenPro-Regular"/>
        </w:rPr>
        <w:t xml:space="preserve">) were </w:t>
      </w:r>
      <w:r w:rsidRPr="00887473">
        <w:rPr>
          <w:rFonts w:eastAsia="HelenPro-Regular"/>
        </w:rPr>
        <w:t xml:space="preserve">determined. The </w:t>
      </w:r>
      <w:proofErr w:type="spellStart"/>
      <w:r w:rsidRPr="00887473">
        <w:rPr>
          <w:rFonts w:eastAsia="HelenPro-Regular"/>
        </w:rPr>
        <w:t>LoB</w:t>
      </w:r>
      <w:proofErr w:type="spellEnd"/>
      <w:r w:rsidRPr="00887473">
        <w:rPr>
          <w:rFonts w:eastAsia="HelenPro-Regular"/>
        </w:rPr>
        <w:t xml:space="preserve"> was 0.00 </w:t>
      </w:r>
      <w:proofErr w:type="spellStart"/>
      <w:r w:rsidRPr="00887473">
        <w:rPr>
          <w:rFonts w:eastAsia="HelenPro-Regular"/>
        </w:rPr>
        <w:t>μg</w:t>
      </w:r>
      <w:proofErr w:type="spellEnd"/>
      <w:r w:rsidRPr="00887473">
        <w:rPr>
          <w:rFonts w:eastAsia="HelenPro-Regular"/>
        </w:rPr>
        <w:t xml:space="preserve">/mL and the </w:t>
      </w:r>
      <w:proofErr w:type="spellStart"/>
      <w:r w:rsidRPr="00887473">
        <w:rPr>
          <w:rFonts w:eastAsia="HelenPro-Regular"/>
        </w:rPr>
        <w:t>LoD</w:t>
      </w:r>
      <w:proofErr w:type="spellEnd"/>
      <w:r w:rsidRPr="00887473">
        <w:rPr>
          <w:rFonts w:eastAsia="HelenPro-Regular"/>
        </w:rPr>
        <w:t xml:space="preserve"> was 0.05 </w:t>
      </w:r>
      <w:proofErr w:type="spellStart"/>
      <w:r w:rsidRPr="00887473">
        <w:rPr>
          <w:rFonts w:eastAsia="HelenPro-Regular"/>
        </w:rPr>
        <w:t>μg</w:t>
      </w:r>
      <w:proofErr w:type="spellEnd"/>
      <w:r w:rsidRPr="00887473">
        <w:rPr>
          <w:rFonts w:eastAsia="HelenPro-Regular"/>
        </w:rPr>
        <w:t>/</w:t>
      </w:r>
      <w:proofErr w:type="spellStart"/>
      <w:r w:rsidRPr="00887473">
        <w:rPr>
          <w:rFonts w:eastAsia="HelenPro-Regular"/>
        </w:rPr>
        <w:t>mL.</w:t>
      </w:r>
      <w:proofErr w:type="spellEnd"/>
    </w:p>
    <w:p w:rsidR="00835A84" w:rsidRPr="00887473" w:rsidRDefault="00835A84" w:rsidP="00835A84">
      <w:pPr>
        <w:rPr>
          <w:rFonts w:eastAsia="HelenPro-Bold"/>
          <w:b/>
          <w:bCs/>
        </w:rPr>
      </w:pPr>
    </w:p>
    <w:p w:rsidR="00912FE4" w:rsidRPr="00887473" w:rsidRDefault="00912FE4" w:rsidP="002C2F49">
      <w:pPr>
        <w:rPr>
          <w:rFonts w:eastAsia="HelenPro-Bold"/>
          <w:b/>
          <w:bCs/>
        </w:rPr>
      </w:pPr>
      <w:r w:rsidRPr="00887473">
        <w:rPr>
          <w:rFonts w:eastAsia="HelenPro-Bold"/>
          <w:b/>
          <w:bCs/>
        </w:rPr>
        <w:t>Dilution:</w:t>
      </w:r>
      <w:r w:rsidR="00973EAF" w:rsidRPr="00887473">
        <w:rPr>
          <w:rFonts w:eastAsia="HelenPro-Bold"/>
          <w:b/>
          <w:bCs/>
        </w:rPr>
        <w:t xml:space="preserve"> </w:t>
      </w:r>
    </w:p>
    <w:p w:rsidR="00FA706C" w:rsidRPr="00887473" w:rsidRDefault="00FA706C" w:rsidP="00FA706C">
      <w:pPr>
        <w:autoSpaceDE w:val="0"/>
        <w:autoSpaceDN w:val="0"/>
        <w:adjustRightInd w:val="0"/>
        <w:rPr>
          <w:rFonts w:eastAsia="HelenPro-Regular"/>
        </w:rPr>
      </w:pPr>
      <w:r w:rsidRPr="00887473">
        <w:rPr>
          <w:rFonts w:eastAsia="HelenPro-Regular"/>
        </w:rPr>
        <w:t xml:space="preserve">Specimens with gentamicin concentrations of &gt; 10.00 </w:t>
      </w:r>
      <w:proofErr w:type="spellStart"/>
      <w:r w:rsidRPr="00887473">
        <w:rPr>
          <w:rFonts w:eastAsia="HelenPro-Regular"/>
        </w:rPr>
        <w:t>μg</w:t>
      </w:r>
      <w:proofErr w:type="spellEnd"/>
      <w:r w:rsidRPr="00887473">
        <w:rPr>
          <w:rFonts w:eastAsia="HelenPro-Regular"/>
        </w:rPr>
        <w:t>/mL will be flagged</w:t>
      </w:r>
      <w:r w:rsidR="00887473">
        <w:rPr>
          <w:rFonts w:eastAsia="HelenPro-Regular"/>
        </w:rPr>
        <w:t xml:space="preserve"> </w:t>
      </w:r>
      <w:r w:rsidRPr="00887473">
        <w:rPr>
          <w:rFonts w:eastAsia="HelenPro-Regular"/>
        </w:rPr>
        <w:t xml:space="preserve">as “&gt;10.00 </w:t>
      </w:r>
      <w:proofErr w:type="spellStart"/>
      <w:r w:rsidRPr="00887473">
        <w:rPr>
          <w:rFonts w:eastAsia="HelenPro-Regular"/>
        </w:rPr>
        <w:t>μg</w:t>
      </w:r>
      <w:proofErr w:type="spellEnd"/>
      <w:r w:rsidRPr="00887473">
        <w:rPr>
          <w:rFonts w:eastAsia="HelenPro-Regular"/>
        </w:rPr>
        <w:t>/mL” and may be diluted using the Manual Dilution Procedure.</w:t>
      </w:r>
    </w:p>
    <w:p w:rsidR="00FA706C" w:rsidRPr="00887473" w:rsidRDefault="00FA706C" w:rsidP="00FA706C">
      <w:pPr>
        <w:autoSpaceDE w:val="0"/>
        <w:autoSpaceDN w:val="0"/>
        <w:adjustRightInd w:val="0"/>
        <w:rPr>
          <w:rFonts w:eastAsia="HelenPro-Regular"/>
        </w:rPr>
      </w:pPr>
      <w:r w:rsidRPr="00887473">
        <w:rPr>
          <w:rFonts w:eastAsia="HelenPro-Bold"/>
          <w:b/>
          <w:bCs/>
        </w:rPr>
        <w:t xml:space="preserve">• </w:t>
      </w:r>
      <w:r w:rsidRPr="00887473">
        <w:rPr>
          <w:rFonts w:eastAsia="HelenPro-Regular"/>
        </w:rPr>
        <w:t>Manual dilutions should be performed as follows:</w:t>
      </w:r>
    </w:p>
    <w:p w:rsidR="00FA706C" w:rsidRPr="00887473" w:rsidRDefault="00FA706C" w:rsidP="00FA706C">
      <w:pPr>
        <w:autoSpaceDE w:val="0"/>
        <w:autoSpaceDN w:val="0"/>
        <w:adjustRightInd w:val="0"/>
        <w:rPr>
          <w:rFonts w:eastAsia="HelenPro-Regular"/>
        </w:rPr>
      </w:pPr>
      <w:r w:rsidRPr="00887473">
        <w:rPr>
          <w:rFonts w:eastAsia="HelenPro-Bold"/>
          <w:b/>
          <w:bCs/>
        </w:rPr>
        <w:lastRenderedPageBreak/>
        <w:t xml:space="preserve">• </w:t>
      </w:r>
      <w:r w:rsidRPr="00887473">
        <w:rPr>
          <w:rFonts w:eastAsia="HelenPro-Regular"/>
        </w:rPr>
        <w:t xml:space="preserve">The suggested dilution for the ARCHITECT </w:t>
      </w:r>
      <w:proofErr w:type="spellStart"/>
      <w:r w:rsidRPr="00887473">
        <w:rPr>
          <w:rFonts w:eastAsia="HelenPro-Regular"/>
          <w:i/>
          <w:iCs/>
        </w:rPr>
        <w:t>i</w:t>
      </w:r>
      <w:proofErr w:type="spellEnd"/>
      <w:r w:rsidRPr="00887473">
        <w:rPr>
          <w:rFonts w:eastAsia="HelenPro-Regular"/>
          <w:i/>
          <w:iCs/>
        </w:rPr>
        <w:t xml:space="preserve"> </w:t>
      </w:r>
      <w:r w:rsidRPr="00887473">
        <w:rPr>
          <w:rFonts w:eastAsia="HelenPro-Regular"/>
        </w:rPr>
        <w:t>Gentamicin assay</w:t>
      </w:r>
      <w:r w:rsidR="00887473">
        <w:rPr>
          <w:rFonts w:eastAsia="HelenPro-Regular"/>
        </w:rPr>
        <w:t xml:space="preserve"> </w:t>
      </w:r>
      <w:r w:rsidRPr="00887473">
        <w:rPr>
          <w:rFonts w:eastAsia="HelenPro-Regular"/>
        </w:rPr>
        <w:t>is 1:5.</w:t>
      </w:r>
    </w:p>
    <w:p w:rsidR="00FA706C" w:rsidRPr="00887473" w:rsidRDefault="00FA706C" w:rsidP="00FA706C">
      <w:pPr>
        <w:autoSpaceDE w:val="0"/>
        <w:autoSpaceDN w:val="0"/>
        <w:adjustRightInd w:val="0"/>
        <w:rPr>
          <w:rFonts w:eastAsia="HelenPro-Regular"/>
        </w:rPr>
      </w:pPr>
      <w:r w:rsidRPr="00887473">
        <w:rPr>
          <w:rFonts w:eastAsia="HelenPro-Bold"/>
          <w:b/>
          <w:bCs/>
        </w:rPr>
        <w:t xml:space="preserve">• </w:t>
      </w:r>
      <w:r w:rsidRPr="00887473">
        <w:rPr>
          <w:rFonts w:eastAsia="HelenPro-Regular"/>
        </w:rPr>
        <w:t xml:space="preserve">Add 50 </w:t>
      </w:r>
      <w:proofErr w:type="spellStart"/>
      <w:r w:rsidRPr="00887473">
        <w:rPr>
          <w:rFonts w:eastAsia="HelenPro-Regular"/>
        </w:rPr>
        <w:t>μL</w:t>
      </w:r>
      <w:proofErr w:type="spellEnd"/>
      <w:r w:rsidRPr="00887473">
        <w:rPr>
          <w:rFonts w:eastAsia="HelenPro-Regular"/>
        </w:rPr>
        <w:t xml:space="preserve"> of the patient specimen to 200 </w:t>
      </w:r>
      <w:proofErr w:type="spellStart"/>
      <w:r w:rsidRPr="00887473">
        <w:rPr>
          <w:rFonts w:eastAsia="HelenPro-Regular"/>
        </w:rPr>
        <w:t>μL</w:t>
      </w:r>
      <w:proofErr w:type="spellEnd"/>
      <w:r w:rsidRPr="00887473">
        <w:rPr>
          <w:rFonts w:eastAsia="HelenPro-Regular"/>
        </w:rPr>
        <w:t xml:space="preserve"> of the ARCHITECT</w:t>
      </w:r>
      <w:r w:rsidR="00887473">
        <w:rPr>
          <w:rFonts w:eastAsia="HelenPro-Regular"/>
        </w:rPr>
        <w:t xml:space="preserve"> </w:t>
      </w:r>
      <w:proofErr w:type="spellStart"/>
      <w:r w:rsidRPr="00887473">
        <w:rPr>
          <w:rFonts w:eastAsia="HelenPro-Regular"/>
          <w:i/>
          <w:iCs/>
        </w:rPr>
        <w:t>i</w:t>
      </w:r>
      <w:proofErr w:type="spellEnd"/>
      <w:r w:rsidRPr="00887473">
        <w:rPr>
          <w:rFonts w:eastAsia="HelenPro-Regular"/>
          <w:i/>
          <w:iCs/>
        </w:rPr>
        <w:t xml:space="preserve"> </w:t>
      </w:r>
      <w:r w:rsidRPr="00887473">
        <w:rPr>
          <w:rFonts w:eastAsia="HelenPro-Regular"/>
        </w:rPr>
        <w:t xml:space="preserve">Gentamicin Calibrator A or ARCHITECT </w:t>
      </w:r>
      <w:proofErr w:type="spellStart"/>
      <w:r w:rsidRPr="00887473">
        <w:rPr>
          <w:rFonts w:eastAsia="HelenPro-Regular"/>
          <w:i/>
          <w:iCs/>
        </w:rPr>
        <w:t>i</w:t>
      </w:r>
      <w:proofErr w:type="spellEnd"/>
      <w:r w:rsidRPr="00887473">
        <w:rPr>
          <w:rFonts w:eastAsia="HelenPro-Regular"/>
          <w:i/>
          <w:iCs/>
        </w:rPr>
        <w:t xml:space="preserve"> </w:t>
      </w:r>
      <w:r w:rsidRPr="00887473">
        <w:rPr>
          <w:rFonts w:eastAsia="HelenPro-Regular"/>
        </w:rPr>
        <w:t>Multi-Assay Manual</w:t>
      </w:r>
      <w:r w:rsidR="00887473">
        <w:rPr>
          <w:rFonts w:eastAsia="HelenPro-Regular"/>
        </w:rPr>
        <w:t xml:space="preserve"> </w:t>
      </w:r>
      <w:r w:rsidRPr="00887473">
        <w:rPr>
          <w:rFonts w:eastAsia="HelenPro-Regular"/>
        </w:rPr>
        <w:t>Diluent.</w:t>
      </w:r>
    </w:p>
    <w:p w:rsidR="00FA706C" w:rsidRPr="00887473" w:rsidRDefault="00FA706C" w:rsidP="00FA706C">
      <w:pPr>
        <w:autoSpaceDE w:val="0"/>
        <w:autoSpaceDN w:val="0"/>
        <w:adjustRightInd w:val="0"/>
        <w:rPr>
          <w:rFonts w:eastAsia="HelenPro-Regular"/>
        </w:rPr>
      </w:pPr>
      <w:r w:rsidRPr="00887473">
        <w:rPr>
          <w:rFonts w:eastAsia="HelenPro-Bold"/>
          <w:b/>
          <w:bCs/>
        </w:rPr>
        <w:t xml:space="preserve">• </w:t>
      </w:r>
      <w:r w:rsidRPr="00887473">
        <w:rPr>
          <w:rFonts w:eastAsia="HelenPro-Regular"/>
        </w:rPr>
        <w:t>The operator must enter the dilution factor in the Patient or</w:t>
      </w:r>
      <w:r w:rsidR="00887473">
        <w:rPr>
          <w:rFonts w:eastAsia="HelenPro-Regular"/>
        </w:rPr>
        <w:t xml:space="preserve"> </w:t>
      </w:r>
      <w:r w:rsidRPr="00887473">
        <w:rPr>
          <w:rFonts w:eastAsia="HelenPro-Regular"/>
        </w:rPr>
        <w:t>Control order screen. The system will use this dilution factor to</w:t>
      </w:r>
      <w:r w:rsidR="00887473">
        <w:rPr>
          <w:rFonts w:eastAsia="HelenPro-Regular"/>
        </w:rPr>
        <w:t xml:space="preserve"> </w:t>
      </w:r>
      <w:r w:rsidRPr="00887473">
        <w:rPr>
          <w:rFonts w:eastAsia="HelenPro-Regular"/>
        </w:rPr>
        <w:t>automatically calculate the concentration of the sample before</w:t>
      </w:r>
      <w:r w:rsidR="00887473">
        <w:rPr>
          <w:rFonts w:eastAsia="HelenPro-Regular"/>
        </w:rPr>
        <w:t xml:space="preserve"> </w:t>
      </w:r>
      <w:r w:rsidRPr="00887473">
        <w:rPr>
          <w:rFonts w:eastAsia="HelenPro-Regular"/>
        </w:rPr>
        <w:t>dilution and report the result. The result should be greater than</w:t>
      </w:r>
      <w:r w:rsidR="00887473">
        <w:rPr>
          <w:rFonts w:eastAsia="HelenPro-Regular"/>
        </w:rPr>
        <w:t xml:space="preserve"> </w:t>
      </w:r>
      <w:r w:rsidRPr="00887473">
        <w:rPr>
          <w:rFonts w:eastAsia="HelenPro-Regular"/>
        </w:rPr>
        <w:t xml:space="preserve">0.3 </w:t>
      </w:r>
      <w:proofErr w:type="spellStart"/>
      <w:r w:rsidRPr="00887473">
        <w:rPr>
          <w:rFonts w:eastAsia="HelenPro-Regular"/>
        </w:rPr>
        <w:t>μg</w:t>
      </w:r>
      <w:proofErr w:type="spellEnd"/>
      <w:r w:rsidRPr="00887473">
        <w:rPr>
          <w:rFonts w:eastAsia="HelenPro-Regular"/>
        </w:rPr>
        <w:t>/mL before the dilution factor is applied.</w:t>
      </w:r>
    </w:p>
    <w:p w:rsidR="00DA0D83" w:rsidRPr="00887473" w:rsidRDefault="00FA706C" w:rsidP="00FA706C">
      <w:pPr>
        <w:autoSpaceDE w:val="0"/>
        <w:autoSpaceDN w:val="0"/>
        <w:adjustRightInd w:val="0"/>
        <w:rPr>
          <w:rFonts w:eastAsia="HelenPro-Regular"/>
        </w:rPr>
      </w:pPr>
      <w:r w:rsidRPr="00887473">
        <w:rPr>
          <w:rFonts w:eastAsia="HelenPro-Bold"/>
          <w:b/>
          <w:bCs/>
        </w:rPr>
        <w:t xml:space="preserve">• </w:t>
      </w:r>
      <w:r w:rsidRPr="00887473">
        <w:rPr>
          <w:rFonts w:eastAsia="HelenPro-Regular"/>
        </w:rPr>
        <w:t>For detailed information on ordering dilutions, refer to the ARCHITECT</w:t>
      </w:r>
      <w:r w:rsidR="00887473">
        <w:rPr>
          <w:rFonts w:eastAsia="HelenPro-Regular"/>
        </w:rPr>
        <w:t xml:space="preserve"> </w:t>
      </w:r>
      <w:r w:rsidRPr="00887473">
        <w:rPr>
          <w:rFonts w:eastAsia="HelenPro-Regular"/>
        </w:rPr>
        <w:t>System Operations Manual, Section 5.</w:t>
      </w:r>
    </w:p>
    <w:p w:rsidR="00DA0D83" w:rsidRPr="00887473" w:rsidRDefault="00DA0D83" w:rsidP="00F95946">
      <w:pPr>
        <w:rPr>
          <w:b/>
          <w:color w:val="000000"/>
        </w:rPr>
      </w:pPr>
    </w:p>
    <w:p w:rsidR="00912FE4" w:rsidRPr="00887473" w:rsidRDefault="00912FE4" w:rsidP="00F95946">
      <w:pPr>
        <w:rPr>
          <w:rFonts w:eastAsia="HelenPro-Regular"/>
        </w:rPr>
      </w:pPr>
      <w:r w:rsidRPr="00887473">
        <w:rPr>
          <w:b/>
          <w:color w:val="000000"/>
        </w:rPr>
        <w:t>Precision:</w:t>
      </w:r>
      <w:r w:rsidR="0038442D" w:rsidRPr="00887473">
        <w:rPr>
          <w:b/>
          <w:color w:val="000000"/>
        </w:rPr>
        <w:t xml:space="preserve"> </w:t>
      </w:r>
    </w:p>
    <w:p w:rsidR="00A06293" w:rsidRPr="00887473" w:rsidRDefault="003C5BC8" w:rsidP="003C5BC8">
      <w:pPr>
        <w:autoSpaceDE w:val="0"/>
        <w:autoSpaceDN w:val="0"/>
        <w:adjustRightInd w:val="0"/>
        <w:rPr>
          <w:rFonts w:eastAsia="HelenPro-Regular"/>
        </w:rPr>
      </w:pPr>
      <w:r w:rsidRPr="00887473">
        <w:rPr>
          <w:rFonts w:eastAsia="HelenPro-Regular"/>
        </w:rPr>
        <w:t xml:space="preserve">The ARCHITECT </w:t>
      </w:r>
      <w:proofErr w:type="spellStart"/>
      <w:r w:rsidRPr="00887473">
        <w:rPr>
          <w:rFonts w:eastAsia="HelenPro-Regular"/>
          <w:i/>
          <w:iCs/>
        </w:rPr>
        <w:t>i</w:t>
      </w:r>
      <w:proofErr w:type="spellEnd"/>
      <w:r w:rsidRPr="00887473">
        <w:rPr>
          <w:rFonts w:eastAsia="HelenPro-Regular"/>
          <w:i/>
          <w:iCs/>
        </w:rPr>
        <w:t xml:space="preserve"> </w:t>
      </w:r>
      <w:r w:rsidRPr="00887473">
        <w:rPr>
          <w:rFonts w:eastAsia="HelenPro-Regular"/>
        </w:rPr>
        <w:t>Gentamicin assay is des</w:t>
      </w:r>
      <w:r w:rsidR="00887473">
        <w:rPr>
          <w:rFonts w:eastAsia="HelenPro-Regular"/>
        </w:rPr>
        <w:t xml:space="preserve">igned to have an imprecision of </w:t>
      </w:r>
      <w:r w:rsidRPr="00887473">
        <w:rPr>
          <w:rFonts w:eastAsia="HelenPro-Regular"/>
        </w:rPr>
        <w:t>≤ 8% total CV for samples with gentamicin concentrations ranging from</w:t>
      </w:r>
      <w:r w:rsidR="00887473">
        <w:rPr>
          <w:rFonts w:eastAsia="HelenPro-Regular"/>
        </w:rPr>
        <w:t xml:space="preserve"> </w:t>
      </w:r>
      <w:r w:rsidRPr="00887473">
        <w:rPr>
          <w:rFonts w:eastAsia="HelenPro-Regular"/>
        </w:rPr>
        <w:t xml:space="preserve">2 </w:t>
      </w:r>
      <w:proofErr w:type="spellStart"/>
      <w:r w:rsidRPr="00887473">
        <w:rPr>
          <w:rFonts w:eastAsia="HelenPro-Regular"/>
        </w:rPr>
        <w:t>μg</w:t>
      </w:r>
      <w:proofErr w:type="spellEnd"/>
      <w:r w:rsidRPr="00887473">
        <w:rPr>
          <w:rFonts w:eastAsia="HelenPro-Regular"/>
        </w:rPr>
        <w:t xml:space="preserve">/mL to 10 </w:t>
      </w:r>
      <w:proofErr w:type="spellStart"/>
      <w:r w:rsidRPr="00887473">
        <w:rPr>
          <w:rFonts w:eastAsia="HelenPro-Regular"/>
        </w:rPr>
        <w:t>μg</w:t>
      </w:r>
      <w:proofErr w:type="spellEnd"/>
      <w:r w:rsidRPr="00887473">
        <w:rPr>
          <w:rFonts w:eastAsia="HelenPro-Regular"/>
        </w:rPr>
        <w:t>/</w:t>
      </w:r>
      <w:proofErr w:type="spellStart"/>
      <w:r w:rsidRPr="00887473">
        <w:rPr>
          <w:rFonts w:eastAsia="HelenPro-Regular"/>
        </w:rPr>
        <w:t>mL.</w:t>
      </w:r>
      <w:proofErr w:type="spellEnd"/>
      <w:r w:rsidRPr="00887473">
        <w:rPr>
          <w:rFonts w:eastAsia="HelenPro-Regular"/>
        </w:rPr>
        <w:t xml:space="preserve">  See reagent package insert for more information</w:t>
      </w:r>
    </w:p>
    <w:p w:rsidR="00C53E37" w:rsidRPr="00887473" w:rsidRDefault="00C53E37" w:rsidP="00C53E37">
      <w:pPr>
        <w:pStyle w:val="Heading4"/>
        <w:rPr>
          <w:sz w:val="24"/>
          <w:szCs w:val="24"/>
        </w:rPr>
      </w:pPr>
      <w:r w:rsidRPr="00887473">
        <w:rPr>
          <w:sz w:val="24"/>
          <w:szCs w:val="24"/>
        </w:rPr>
        <w:t>Limitations of Procedure</w:t>
      </w:r>
      <w:r w:rsidR="00973EAF" w:rsidRPr="00887473">
        <w:rPr>
          <w:sz w:val="24"/>
          <w:szCs w:val="24"/>
        </w:rPr>
        <w:t xml:space="preserve"> </w:t>
      </w:r>
    </w:p>
    <w:p w:rsidR="005B1BF7" w:rsidRPr="00887473" w:rsidRDefault="005B1BF7" w:rsidP="005B1BF7">
      <w:pPr>
        <w:pStyle w:val="ListParagraph"/>
        <w:numPr>
          <w:ilvl w:val="0"/>
          <w:numId w:val="20"/>
        </w:numPr>
        <w:autoSpaceDE w:val="0"/>
        <w:autoSpaceDN w:val="0"/>
        <w:adjustRightInd w:val="0"/>
        <w:rPr>
          <w:rFonts w:eastAsia="HelenPro-Regular"/>
        </w:rPr>
      </w:pPr>
      <w:r w:rsidRPr="00887473">
        <w:rPr>
          <w:rFonts w:eastAsia="HelenPro-Regular"/>
        </w:rPr>
        <w:t>Specimens from patients who have received preparations of mouse monoclonal antibodies for diagnosis or therapy may contain human anti-mouse antibodies (HAMA). Specimens containing HAMA may produce anomalous values when tested with assay kits that employ mouse monoclonal antibodies.</w:t>
      </w:r>
    </w:p>
    <w:p w:rsidR="00FA706C" w:rsidRPr="00887473" w:rsidRDefault="005B1BF7" w:rsidP="00FA706C">
      <w:pPr>
        <w:pStyle w:val="ListParagraph"/>
        <w:numPr>
          <w:ilvl w:val="0"/>
          <w:numId w:val="20"/>
        </w:numPr>
        <w:autoSpaceDE w:val="0"/>
        <w:autoSpaceDN w:val="0"/>
        <w:adjustRightInd w:val="0"/>
        <w:rPr>
          <w:rFonts w:eastAsia="HelenPro-Regular"/>
        </w:rPr>
      </w:pPr>
      <w:proofErr w:type="spellStart"/>
      <w:r w:rsidRPr="00887473">
        <w:rPr>
          <w:rFonts w:eastAsia="HelenPro-Regular"/>
        </w:rPr>
        <w:t>Heterophilic</w:t>
      </w:r>
      <w:proofErr w:type="spellEnd"/>
      <w:r w:rsidRPr="00887473">
        <w:rPr>
          <w:rFonts w:eastAsia="HelenPro-Regular"/>
        </w:rPr>
        <w:t xml:space="preserve"> antibodies in human serum can react with reagent </w:t>
      </w:r>
      <w:proofErr w:type="spellStart"/>
      <w:r w:rsidRPr="00887473">
        <w:rPr>
          <w:rFonts w:eastAsia="HelenPro-Regular"/>
        </w:rPr>
        <w:t>immunoglobulins</w:t>
      </w:r>
      <w:proofErr w:type="spellEnd"/>
      <w:r w:rsidRPr="00887473">
        <w:rPr>
          <w:rFonts w:eastAsia="HelenPro-Regular"/>
        </w:rPr>
        <w:t xml:space="preserve">, interfering with </w:t>
      </w:r>
      <w:r w:rsidRPr="00887473">
        <w:rPr>
          <w:rFonts w:eastAsia="HelenPro-Bold"/>
          <w:i/>
          <w:iCs/>
        </w:rPr>
        <w:t xml:space="preserve">in vitro </w:t>
      </w:r>
      <w:r w:rsidRPr="00887473">
        <w:rPr>
          <w:rFonts w:eastAsia="HelenPro-Regular"/>
        </w:rPr>
        <w:t>immunoassays. Patients routinely exposed to animals or to animal serum products can be prone to this interference and anomalous results may be observed. Additional information may be required for diagnosis.</w:t>
      </w:r>
      <w:r w:rsidR="00A06293" w:rsidRPr="00887473">
        <w:rPr>
          <w:rFonts w:eastAsia="HelenPro-Regular"/>
        </w:rPr>
        <w:t xml:space="preserve"> </w:t>
      </w:r>
    </w:p>
    <w:p w:rsidR="00FA706C" w:rsidRPr="00887473" w:rsidRDefault="00FA706C" w:rsidP="00FA706C">
      <w:pPr>
        <w:pStyle w:val="ListParagraph"/>
        <w:numPr>
          <w:ilvl w:val="0"/>
          <w:numId w:val="20"/>
        </w:numPr>
        <w:autoSpaceDE w:val="0"/>
        <w:autoSpaceDN w:val="0"/>
        <w:adjustRightInd w:val="0"/>
        <w:rPr>
          <w:rFonts w:eastAsia="HelenPro-Regular"/>
        </w:rPr>
      </w:pPr>
      <w:r w:rsidRPr="00887473">
        <w:rPr>
          <w:rFonts w:eastAsia="HelenPro-Regular"/>
        </w:rPr>
        <w:t xml:space="preserve">Samples containing β-lactam antibiotics should be stored frozen if a delay in analysis of more than 8 hours is anticipated. Failure to freeze samples containing these antibiotics may result in falsely low gentamicin levels due to </w:t>
      </w:r>
      <w:r w:rsidRPr="00887473">
        <w:rPr>
          <w:rFonts w:eastAsia="HelenPro-Regular"/>
          <w:i/>
          <w:iCs/>
        </w:rPr>
        <w:t xml:space="preserve">in vitro </w:t>
      </w:r>
      <w:r w:rsidRPr="00887473">
        <w:rPr>
          <w:rFonts w:eastAsia="HelenPro-Regular"/>
        </w:rPr>
        <w:t>inactivation.</w:t>
      </w:r>
    </w:p>
    <w:p w:rsidR="003C5BC8" w:rsidRPr="00887473" w:rsidRDefault="00FA706C" w:rsidP="003C5BC8">
      <w:pPr>
        <w:pStyle w:val="ListParagraph"/>
        <w:numPr>
          <w:ilvl w:val="0"/>
          <w:numId w:val="20"/>
        </w:numPr>
        <w:autoSpaceDE w:val="0"/>
        <w:autoSpaceDN w:val="0"/>
        <w:adjustRightInd w:val="0"/>
        <w:rPr>
          <w:rFonts w:eastAsia="HelenPro-Regular"/>
        </w:rPr>
      </w:pPr>
      <w:r w:rsidRPr="00887473">
        <w:rPr>
          <w:rFonts w:eastAsia="HelenPro-Regular"/>
        </w:rPr>
        <w:t>Patient samples which contain the drugs ce</w:t>
      </w:r>
      <w:r w:rsidR="000048D7">
        <w:rPr>
          <w:rFonts w:eastAsia="HelenPro-Regular"/>
        </w:rPr>
        <w:t xml:space="preserve">phalexin, </w:t>
      </w:r>
      <w:proofErr w:type="spellStart"/>
      <w:r w:rsidR="000048D7">
        <w:rPr>
          <w:rFonts w:eastAsia="HelenPro-Regular"/>
        </w:rPr>
        <w:t>netilmicin</w:t>
      </w:r>
      <w:proofErr w:type="spellEnd"/>
      <w:r w:rsidR="000048D7">
        <w:rPr>
          <w:rFonts w:eastAsia="HelenPro-Regular"/>
        </w:rPr>
        <w:t xml:space="preserve">, </w:t>
      </w:r>
      <w:proofErr w:type="spellStart"/>
      <w:r w:rsidR="000048D7">
        <w:rPr>
          <w:rFonts w:eastAsia="HelenPro-Regular"/>
        </w:rPr>
        <w:t>sisomicin</w:t>
      </w:r>
      <w:proofErr w:type="spellEnd"/>
      <w:r w:rsidR="000048D7">
        <w:rPr>
          <w:rFonts w:eastAsia="HelenPro-Regular"/>
        </w:rPr>
        <w:t xml:space="preserve"> </w:t>
      </w:r>
      <w:r w:rsidRPr="00887473">
        <w:rPr>
          <w:rFonts w:eastAsia="HelenPro-Regular"/>
        </w:rPr>
        <w:t xml:space="preserve">and </w:t>
      </w:r>
      <w:proofErr w:type="spellStart"/>
      <w:r w:rsidRPr="00887473">
        <w:rPr>
          <w:rFonts w:eastAsia="HelenPro-Regular"/>
        </w:rPr>
        <w:t>sagamicin</w:t>
      </w:r>
      <w:proofErr w:type="spellEnd"/>
      <w:r w:rsidRPr="00887473">
        <w:rPr>
          <w:rFonts w:eastAsia="HelenPro-Regular"/>
        </w:rPr>
        <w:t xml:space="preserve"> will yield falsely elevated values for gentamicin. </w:t>
      </w:r>
      <w:r w:rsidR="003C5BC8" w:rsidRPr="00887473">
        <w:rPr>
          <w:rFonts w:eastAsia="HelenPro-Regular"/>
        </w:rPr>
        <w:t xml:space="preserve"> </w:t>
      </w:r>
      <w:r w:rsidRPr="00887473">
        <w:rPr>
          <w:rFonts w:eastAsia="HelenPro-Regular"/>
        </w:rPr>
        <w:t>However, these drugs are not usually</w:t>
      </w:r>
      <w:r w:rsidR="003C5BC8" w:rsidRPr="00887473">
        <w:rPr>
          <w:rFonts w:eastAsia="HelenPro-Regular"/>
        </w:rPr>
        <w:t xml:space="preserve"> </w:t>
      </w:r>
      <w:proofErr w:type="spellStart"/>
      <w:r w:rsidRPr="00887473">
        <w:rPr>
          <w:rFonts w:eastAsia="HelenPro-Regular"/>
        </w:rPr>
        <w:t>coadministered</w:t>
      </w:r>
      <w:proofErr w:type="spellEnd"/>
      <w:r w:rsidRPr="00887473">
        <w:rPr>
          <w:rFonts w:eastAsia="HelenPro-Regular"/>
        </w:rPr>
        <w:t xml:space="preserve"> with gentamicin. High concentration of </w:t>
      </w:r>
      <w:proofErr w:type="spellStart"/>
      <w:r w:rsidRPr="00887473">
        <w:rPr>
          <w:rFonts w:eastAsia="HelenPro-Regular"/>
        </w:rPr>
        <w:t>penicillins</w:t>
      </w:r>
      <w:proofErr w:type="spellEnd"/>
      <w:r w:rsidRPr="00887473">
        <w:rPr>
          <w:rFonts w:eastAsia="HelenPro-Regular"/>
        </w:rPr>
        <w:t xml:space="preserve"> or</w:t>
      </w:r>
      <w:r w:rsidR="003C5BC8" w:rsidRPr="00887473">
        <w:rPr>
          <w:rFonts w:eastAsia="HelenPro-Regular"/>
        </w:rPr>
        <w:t xml:space="preserve"> </w:t>
      </w:r>
      <w:proofErr w:type="spellStart"/>
      <w:r w:rsidRPr="00887473">
        <w:rPr>
          <w:rFonts w:eastAsia="HelenPro-Regular"/>
        </w:rPr>
        <w:t>cephalosporins</w:t>
      </w:r>
      <w:proofErr w:type="spellEnd"/>
      <w:r w:rsidRPr="00887473">
        <w:rPr>
          <w:rFonts w:eastAsia="HelenPro-Regular"/>
        </w:rPr>
        <w:t xml:space="preserve"> have been shown to inactivate gentamicin </w:t>
      </w:r>
      <w:r w:rsidRPr="00887473">
        <w:rPr>
          <w:rFonts w:eastAsia="HelenPro-Regular"/>
          <w:i/>
          <w:iCs/>
        </w:rPr>
        <w:t>in vitro</w:t>
      </w:r>
      <w:r w:rsidRPr="00887473">
        <w:rPr>
          <w:rFonts w:eastAsia="HelenPro-Regular"/>
        </w:rPr>
        <w:t>. The</w:t>
      </w:r>
      <w:r w:rsidR="003C5BC8" w:rsidRPr="00887473">
        <w:rPr>
          <w:rFonts w:eastAsia="HelenPro-Regular"/>
        </w:rPr>
        <w:t xml:space="preserve"> </w:t>
      </w:r>
      <w:r w:rsidRPr="00887473">
        <w:rPr>
          <w:rFonts w:eastAsia="HelenPro-Regular"/>
        </w:rPr>
        <w:t>degree of inactivation is dependent on the particular aminoglycoside</w:t>
      </w:r>
      <w:r w:rsidR="003C5BC8" w:rsidRPr="00887473">
        <w:rPr>
          <w:rFonts w:eastAsia="HelenPro-Regular"/>
        </w:rPr>
        <w:t xml:space="preserve"> </w:t>
      </w:r>
      <w:r w:rsidRPr="00887473">
        <w:rPr>
          <w:rFonts w:eastAsia="HelenPro-Regular"/>
        </w:rPr>
        <w:t>being measured, the type and concentration of the penicillin or</w:t>
      </w:r>
      <w:r w:rsidR="003C5BC8" w:rsidRPr="00887473">
        <w:rPr>
          <w:rFonts w:eastAsia="HelenPro-Regular"/>
        </w:rPr>
        <w:t xml:space="preserve"> </w:t>
      </w:r>
      <w:r w:rsidRPr="00887473">
        <w:rPr>
          <w:rFonts w:eastAsia="HelenPro-Regular"/>
        </w:rPr>
        <w:t>cephalosporin that is also present and the storage conditions of the</w:t>
      </w:r>
      <w:r w:rsidR="003C5BC8" w:rsidRPr="00887473">
        <w:rPr>
          <w:rFonts w:eastAsia="HelenPro-Regular"/>
        </w:rPr>
        <w:t xml:space="preserve"> </w:t>
      </w:r>
      <w:r w:rsidRPr="00887473">
        <w:rPr>
          <w:rFonts w:eastAsia="HelenPro-Regular"/>
        </w:rPr>
        <w:t>sample. Samples from patients receiving additional antibiotics of</w:t>
      </w:r>
      <w:r w:rsidR="003C5BC8" w:rsidRPr="00887473">
        <w:rPr>
          <w:rFonts w:eastAsia="HelenPro-Regular"/>
        </w:rPr>
        <w:t xml:space="preserve"> </w:t>
      </w:r>
      <w:r w:rsidRPr="00887473">
        <w:rPr>
          <w:rFonts w:eastAsia="HelenPro-Regular"/>
        </w:rPr>
        <w:t>these types should be assayed immediately or stored frozen.</w:t>
      </w:r>
    </w:p>
    <w:p w:rsidR="003C5BC8" w:rsidRPr="00887473" w:rsidRDefault="00FA706C" w:rsidP="003C5BC8">
      <w:pPr>
        <w:pStyle w:val="ListParagraph"/>
        <w:numPr>
          <w:ilvl w:val="0"/>
          <w:numId w:val="20"/>
        </w:numPr>
        <w:autoSpaceDE w:val="0"/>
        <w:autoSpaceDN w:val="0"/>
        <w:adjustRightInd w:val="0"/>
        <w:rPr>
          <w:rFonts w:eastAsia="HelenPro-Bold"/>
          <w:b/>
          <w:bCs/>
        </w:rPr>
      </w:pPr>
      <w:r w:rsidRPr="00887473">
        <w:rPr>
          <w:rFonts w:eastAsia="HelenPro-Regular"/>
        </w:rPr>
        <w:t>Patient samples which contain the drugs kanamycin B, neomycin, and</w:t>
      </w:r>
      <w:r w:rsidR="003C5BC8" w:rsidRPr="00887473">
        <w:rPr>
          <w:rFonts w:eastAsia="HelenPro-Regular"/>
        </w:rPr>
        <w:t xml:space="preserve"> </w:t>
      </w:r>
      <w:r w:rsidRPr="00887473">
        <w:rPr>
          <w:rFonts w:eastAsia="HelenPro-Regular"/>
        </w:rPr>
        <w:t xml:space="preserve">tobramycin may yield falsely elevated values for gentamicin. </w:t>
      </w:r>
    </w:p>
    <w:p w:rsidR="003C5BC8" w:rsidRPr="00887473" w:rsidRDefault="003C5BC8" w:rsidP="003C5BC8">
      <w:pPr>
        <w:autoSpaceDE w:val="0"/>
        <w:autoSpaceDN w:val="0"/>
        <w:adjustRightInd w:val="0"/>
        <w:ind w:left="270"/>
        <w:rPr>
          <w:rFonts w:eastAsia="HelenPro-Bold"/>
          <w:b/>
          <w:bCs/>
        </w:rPr>
      </w:pPr>
    </w:p>
    <w:p w:rsidR="00F95946" w:rsidRPr="00887473" w:rsidRDefault="00F95946" w:rsidP="003C5BC8">
      <w:pPr>
        <w:autoSpaceDE w:val="0"/>
        <w:autoSpaceDN w:val="0"/>
        <w:adjustRightInd w:val="0"/>
        <w:ind w:left="270"/>
        <w:rPr>
          <w:rFonts w:eastAsia="HelenPro-Bold"/>
          <w:b/>
          <w:bCs/>
        </w:rPr>
      </w:pPr>
      <w:r w:rsidRPr="00887473">
        <w:rPr>
          <w:rFonts w:eastAsia="HelenPro-Bold"/>
          <w:b/>
          <w:bCs/>
        </w:rPr>
        <w:t>Interfering Substances</w:t>
      </w:r>
    </w:p>
    <w:p w:rsidR="00A06293" w:rsidRPr="00887473" w:rsidRDefault="003C5BC8" w:rsidP="00041A33">
      <w:pPr>
        <w:autoSpaceDE w:val="0"/>
        <w:autoSpaceDN w:val="0"/>
        <w:adjustRightInd w:val="0"/>
        <w:ind w:left="720"/>
        <w:rPr>
          <w:rFonts w:eastAsia="HelenPro-Regular"/>
        </w:rPr>
      </w:pPr>
      <w:r w:rsidRPr="00887473">
        <w:rPr>
          <w:rFonts w:eastAsia="HelenPro-Regular"/>
        </w:rPr>
        <w:t>Potentially Interfering Endogenous Substances</w:t>
      </w:r>
    </w:p>
    <w:p w:rsidR="003C5BC8" w:rsidRPr="00887473" w:rsidRDefault="003C5BC8" w:rsidP="00041A33">
      <w:pPr>
        <w:autoSpaceDE w:val="0"/>
        <w:autoSpaceDN w:val="0"/>
        <w:adjustRightInd w:val="0"/>
        <w:ind w:left="720"/>
        <w:rPr>
          <w:rFonts w:eastAsia="HelenPro-Regular"/>
        </w:rPr>
      </w:pPr>
      <w:r w:rsidRPr="00887473">
        <w:rPr>
          <w:noProof/>
        </w:rPr>
        <w:lastRenderedPageBreak/>
        <w:drawing>
          <wp:inline distT="0" distB="0" distL="0" distR="0" wp14:anchorId="48BBB2CD" wp14:editId="63C72EAC">
            <wp:extent cx="421957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219575" cy="1895475"/>
                    </a:xfrm>
                    <a:prstGeom prst="rect">
                      <a:avLst/>
                    </a:prstGeom>
                  </pic:spPr>
                </pic:pic>
              </a:graphicData>
            </a:graphic>
          </wp:inline>
        </w:drawing>
      </w: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3C5BC8" w:rsidRPr="00887473" w:rsidRDefault="003C5BC8" w:rsidP="00041A33">
      <w:pPr>
        <w:autoSpaceDE w:val="0"/>
        <w:autoSpaceDN w:val="0"/>
        <w:adjustRightInd w:val="0"/>
        <w:ind w:left="720"/>
        <w:rPr>
          <w:rFonts w:eastAsia="HelenPro-Regular"/>
        </w:rPr>
      </w:pPr>
      <w:r w:rsidRPr="00887473">
        <w:rPr>
          <w:rFonts w:eastAsia="HelenPro-Regular"/>
        </w:rPr>
        <w:t>Potentially Interfering Clinical Conditions</w:t>
      </w:r>
    </w:p>
    <w:p w:rsidR="003C5BC8" w:rsidRPr="00887473" w:rsidRDefault="003C5BC8" w:rsidP="00041A33">
      <w:pPr>
        <w:autoSpaceDE w:val="0"/>
        <w:autoSpaceDN w:val="0"/>
        <w:adjustRightInd w:val="0"/>
        <w:ind w:left="720"/>
        <w:rPr>
          <w:rFonts w:eastAsia="HelenPro-Regular"/>
        </w:rPr>
      </w:pPr>
      <w:r w:rsidRPr="00887473">
        <w:rPr>
          <w:noProof/>
        </w:rPr>
        <w:drawing>
          <wp:inline distT="0" distB="0" distL="0" distR="0" wp14:anchorId="6B567245" wp14:editId="6E6AAF95">
            <wp:extent cx="4295775" cy="34004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295775" cy="3400425"/>
                    </a:xfrm>
                    <a:prstGeom prst="rect">
                      <a:avLst/>
                    </a:prstGeom>
                  </pic:spPr>
                </pic:pic>
              </a:graphicData>
            </a:graphic>
          </wp:inline>
        </w:drawing>
      </w: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3C5BC8" w:rsidRDefault="003C5BC8" w:rsidP="00041A33">
      <w:pPr>
        <w:autoSpaceDE w:val="0"/>
        <w:autoSpaceDN w:val="0"/>
        <w:adjustRightInd w:val="0"/>
        <w:ind w:left="720"/>
        <w:rPr>
          <w:rFonts w:ascii="HelenPro-Regular" w:eastAsia="HelenPro-Regular" w:cs="HelenPro-Regular"/>
          <w:sz w:val="16"/>
          <w:szCs w:val="16"/>
        </w:rPr>
      </w:pPr>
      <w:r w:rsidRPr="00887473">
        <w:rPr>
          <w:rFonts w:eastAsia="HelenPro-Regular"/>
        </w:rPr>
        <w:t>Potentially Interfering Drug</w:t>
      </w:r>
      <w:r>
        <w:rPr>
          <w:rFonts w:ascii="HelenPro-Regular" w:eastAsia="HelenPro-Regular" w:cs="HelenPro-Regular"/>
          <w:sz w:val="16"/>
          <w:szCs w:val="16"/>
        </w:rPr>
        <w:t>s</w:t>
      </w:r>
    </w:p>
    <w:p w:rsidR="003C5BC8" w:rsidRDefault="003C5BC8" w:rsidP="00041A33">
      <w:pPr>
        <w:autoSpaceDE w:val="0"/>
        <w:autoSpaceDN w:val="0"/>
        <w:adjustRightInd w:val="0"/>
        <w:ind w:left="720"/>
        <w:rPr>
          <w:rFonts w:eastAsia="HelenPro-Regular"/>
        </w:rPr>
      </w:pPr>
      <w:r>
        <w:rPr>
          <w:noProof/>
        </w:rPr>
        <w:drawing>
          <wp:inline distT="0" distB="0" distL="0" distR="0" wp14:anchorId="12667D7B" wp14:editId="00E88193">
            <wp:extent cx="3242404" cy="446567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243776" cy="4467563"/>
                    </a:xfrm>
                    <a:prstGeom prst="rect">
                      <a:avLst/>
                    </a:prstGeom>
                  </pic:spPr>
                </pic:pic>
              </a:graphicData>
            </a:graphic>
          </wp:inline>
        </w:drawing>
      </w:r>
    </w:p>
    <w:p w:rsidR="003C5BC8" w:rsidRDefault="003C5BC8" w:rsidP="00041A33">
      <w:pPr>
        <w:autoSpaceDE w:val="0"/>
        <w:autoSpaceDN w:val="0"/>
        <w:adjustRightInd w:val="0"/>
        <w:ind w:left="720"/>
        <w:rPr>
          <w:rFonts w:eastAsia="HelenPro-Regular"/>
        </w:rPr>
      </w:pPr>
      <w:r>
        <w:rPr>
          <w:noProof/>
        </w:rPr>
        <w:lastRenderedPageBreak/>
        <w:drawing>
          <wp:inline distT="0" distB="0" distL="0" distR="0" wp14:anchorId="711D46E4" wp14:editId="20BB789F">
            <wp:extent cx="3218000" cy="4295553"/>
            <wp:effectExtent l="0" t="0" r="190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220217" cy="4298513"/>
                    </a:xfrm>
                    <a:prstGeom prst="rect">
                      <a:avLst/>
                    </a:prstGeom>
                  </pic:spPr>
                </pic:pic>
              </a:graphicData>
            </a:graphic>
          </wp:inline>
        </w:drawing>
      </w:r>
    </w:p>
    <w:p w:rsidR="003C5BC8" w:rsidRDefault="003C5BC8" w:rsidP="00041A33">
      <w:pPr>
        <w:autoSpaceDE w:val="0"/>
        <w:autoSpaceDN w:val="0"/>
        <w:adjustRightInd w:val="0"/>
        <w:ind w:left="720"/>
        <w:rPr>
          <w:rFonts w:eastAsia="HelenPro-Regular"/>
        </w:rPr>
      </w:pPr>
      <w:r>
        <w:rPr>
          <w:noProof/>
        </w:rPr>
        <w:drawing>
          <wp:inline distT="0" distB="0" distL="0" distR="0" wp14:anchorId="7D3F7078" wp14:editId="4D300BC8">
            <wp:extent cx="3220825" cy="648587"/>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227300" cy="649891"/>
                    </a:xfrm>
                    <a:prstGeom prst="rect">
                      <a:avLst/>
                    </a:prstGeom>
                  </pic:spPr>
                </pic:pic>
              </a:graphicData>
            </a:graphic>
          </wp:inline>
        </w:drawing>
      </w:r>
    </w:p>
    <w:p w:rsidR="003C5BC8" w:rsidRDefault="003C5BC8" w:rsidP="00041A33">
      <w:pPr>
        <w:autoSpaceDE w:val="0"/>
        <w:autoSpaceDN w:val="0"/>
        <w:adjustRightInd w:val="0"/>
        <w:ind w:left="720"/>
        <w:rPr>
          <w:rFonts w:eastAsia="HelenPro-Regular"/>
        </w:rPr>
      </w:pPr>
      <w:r>
        <w:rPr>
          <w:noProof/>
        </w:rPr>
        <w:drawing>
          <wp:inline distT="0" distB="0" distL="0" distR="0" wp14:anchorId="4D9147DB" wp14:editId="62B3A2AF">
            <wp:extent cx="3516755" cy="1754372"/>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520120" cy="1756051"/>
                    </a:xfrm>
                    <a:prstGeom prst="rect">
                      <a:avLst/>
                    </a:prstGeom>
                  </pic:spPr>
                </pic:pic>
              </a:graphicData>
            </a:graphic>
          </wp:inline>
        </w:drawing>
      </w:r>
    </w:p>
    <w:p w:rsidR="00A06293" w:rsidRDefault="00A06293" w:rsidP="00041A33">
      <w:pPr>
        <w:autoSpaceDE w:val="0"/>
        <w:autoSpaceDN w:val="0"/>
        <w:adjustRightInd w:val="0"/>
        <w:ind w:left="720"/>
        <w:rPr>
          <w:rFonts w:eastAsia="HelenPro-Regular"/>
        </w:rPr>
      </w:pPr>
    </w:p>
    <w:p w:rsidR="00A06293" w:rsidRDefault="00A06293" w:rsidP="00A06293">
      <w:pPr>
        <w:autoSpaceDE w:val="0"/>
        <w:autoSpaceDN w:val="0"/>
        <w:adjustRightInd w:val="0"/>
        <w:rPr>
          <w:rFonts w:eastAsia="HelenPro-Bold"/>
          <w:b/>
          <w:bCs/>
        </w:rPr>
      </w:pPr>
    </w:p>
    <w:p w:rsidR="00041A33" w:rsidRDefault="00041A33" w:rsidP="00D16B69">
      <w:pPr>
        <w:jc w:val="both"/>
        <w:rPr>
          <w:b/>
        </w:rPr>
      </w:pPr>
    </w:p>
    <w:p w:rsidR="003D1558" w:rsidRDefault="003D1558" w:rsidP="00D16B69">
      <w:pPr>
        <w:jc w:val="both"/>
        <w:rPr>
          <w:b/>
        </w:rPr>
      </w:pPr>
    </w:p>
    <w:p w:rsidR="003D1558" w:rsidRDefault="003D1558" w:rsidP="00D16B69">
      <w:pPr>
        <w:jc w:val="both"/>
        <w:rPr>
          <w:b/>
        </w:rPr>
      </w:pPr>
    </w:p>
    <w:p w:rsidR="003D1558" w:rsidRDefault="003D1558" w:rsidP="00D16B69">
      <w:pPr>
        <w:jc w:val="both"/>
        <w:rPr>
          <w:b/>
        </w:rPr>
      </w:pPr>
    </w:p>
    <w:p w:rsidR="003D1558" w:rsidRDefault="003D1558" w:rsidP="00D16B69">
      <w:pPr>
        <w:jc w:val="both"/>
        <w:rPr>
          <w:b/>
        </w:rPr>
      </w:pPr>
    </w:p>
    <w:p w:rsidR="00D16B69" w:rsidRDefault="00D16B69" w:rsidP="00D16B69">
      <w:pPr>
        <w:jc w:val="both"/>
        <w:rPr>
          <w:b/>
        </w:rPr>
      </w:pPr>
      <w:r w:rsidRPr="00470DF1">
        <w:rPr>
          <w:b/>
        </w:rPr>
        <w:t>References</w:t>
      </w:r>
      <w:r>
        <w:rPr>
          <w:b/>
        </w:rPr>
        <w:t>:</w:t>
      </w:r>
      <w:r w:rsidR="00973EAF">
        <w:rPr>
          <w:b/>
        </w:rPr>
        <w:t xml:space="preserve"> </w:t>
      </w:r>
    </w:p>
    <w:p w:rsidR="000A13F2" w:rsidRPr="000A13F2" w:rsidRDefault="000A13F2" w:rsidP="00030CDD">
      <w:pPr>
        <w:pStyle w:val="ListParagraph"/>
        <w:numPr>
          <w:ilvl w:val="0"/>
          <w:numId w:val="4"/>
        </w:numPr>
        <w:rPr>
          <w:rFonts w:ascii="Arial" w:hAnsi="Arial" w:cs="Arial"/>
          <w:sz w:val="22"/>
          <w:szCs w:val="22"/>
        </w:rPr>
      </w:pPr>
      <w:r w:rsidRPr="000A13F2">
        <w:rPr>
          <w:rFonts w:ascii="Arial" w:hAnsi="Arial" w:cs="Arial"/>
          <w:sz w:val="22"/>
          <w:szCs w:val="22"/>
        </w:rPr>
        <w:lastRenderedPageBreak/>
        <w:t xml:space="preserve">ABBOTT ARCHITECT </w:t>
      </w:r>
      <w:proofErr w:type="spellStart"/>
      <w:r w:rsidR="000048D7" w:rsidRPr="00887473">
        <w:rPr>
          <w:rFonts w:eastAsia="HelenPro-Regular"/>
          <w:i/>
          <w:iCs/>
        </w:rPr>
        <w:t>i</w:t>
      </w:r>
      <w:proofErr w:type="spellEnd"/>
      <w:r w:rsidR="000048D7" w:rsidRPr="00887473">
        <w:rPr>
          <w:rFonts w:eastAsia="HelenPro-Regular"/>
          <w:i/>
          <w:iCs/>
        </w:rPr>
        <w:t xml:space="preserve"> </w:t>
      </w:r>
      <w:r w:rsidR="000048D7" w:rsidRPr="00887473">
        <w:rPr>
          <w:rFonts w:eastAsia="HelenPro-Regular"/>
        </w:rPr>
        <w:t xml:space="preserve">Gentamicin </w:t>
      </w:r>
      <w:r w:rsidRPr="000A13F2">
        <w:rPr>
          <w:rFonts w:ascii="Arial" w:hAnsi="Arial" w:cs="Arial"/>
          <w:sz w:val="22"/>
          <w:szCs w:val="22"/>
        </w:rPr>
        <w:t>package insert</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Abbott Laboratories</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Diagnostics Division</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Abbott Park, IL  60064</w:t>
      </w:r>
    </w:p>
    <w:p w:rsidR="00425BA0" w:rsidRDefault="00DE1362" w:rsidP="00425BA0">
      <w:pPr>
        <w:pStyle w:val="ListParagraph"/>
        <w:rPr>
          <w:rFonts w:eastAsia="HelenPro-Bold"/>
          <w:b/>
          <w:bCs/>
          <w:sz w:val="20"/>
          <w:szCs w:val="20"/>
        </w:rPr>
      </w:pPr>
      <w:r>
        <w:rPr>
          <w:rFonts w:ascii="Arial" w:hAnsi="Arial" w:cs="Arial"/>
          <w:bCs/>
          <w:sz w:val="22"/>
          <w:szCs w:val="22"/>
        </w:rPr>
        <w:t>March</w:t>
      </w:r>
      <w:r w:rsidR="0074336C">
        <w:rPr>
          <w:rFonts w:ascii="Arial" w:hAnsi="Arial" w:cs="Arial"/>
          <w:bCs/>
          <w:sz w:val="22"/>
          <w:szCs w:val="22"/>
        </w:rPr>
        <w:t xml:space="preserve"> 201</w:t>
      </w:r>
      <w:r>
        <w:rPr>
          <w:rFonts w:ascii="Arial" w:hAnsi="Arial" w:cs="Arial"/>
          <w:bCs/>
          <w:sz w:val="22"/>
          <w:szCs w:val="22"/>
        </w:rPr>
        <w:t>2</w:t>
      </w:r>
      <w:r w:rsidR="000A13F2" w:rsidRPr="000A13F2">
        <w:rPr>
          <w:rFonts w:ascii="Arial" w:hAnsi="Arial" w:cs="Arial"/>
          <w:bCs/>
          <w:sz w:val="22"/>
          <w:szCs w:val="22"/>
        </w:rPr>
        <w:t xml:space="preserve"> </w:t>
      </w:r>
      <w:r w:rsidRPr="00DE1362">
        <w:rPr>
          <w:rFonts w:eastAsia="HelenPro-Bold"/>
          <w:bCs/>
        </w:rPr>
        <w:t>G2-6097/R06</w:t>
      </w:r>
    </w:p>
    <w:p w:rsidR="000A13F2" w:rsidRPr="00425BA0" w:rsidRDefault="000A13F2" w:rsidP="00425BA0">
      <w:pPr>
        <w:pStyle w:val="ListParagraph"/>
        <w:numPr>
          <w:ilvl w:val="0"/>
          <w:numId w:val="4"/>
        </w:numPr>
        <w:rPr>
          <w:rFonts w:eastAsia="HelenPro-Bold"/>
          <w:b/>
          <w:bCs/>
          <w:sz w:val="20"/>
          <w:szCs w:val="20"/>
        </w:rPr>
      </w:pPr>
      <w:r w:rsidRPr="00425BA0">
        <w:rPr>
          <w:rFonts w:ascii="Arial" w:hAnsi="Arial" w:cs="Arial"/>
          <w:sz w:val="22"/>
          <w:szCs w:val="22"/>
        </w:rPr>
        <w:t xml:space="preserve">ABBOTT ARCHITECT </w:t>
      </w:r>
      <w:proofErr w:type="spellStart"/>
      <w:r w:rsidR="000048D7" w:rsidRPr="00887473">
        <w:rPr>
          <w:rFonts w:eastAsia="HelenPro-Regular"/>
          <w:i/>
          <w:iCs/>
        </w:rPr>
        <w:t>i</w:t>
      </w:r>
      <w:proofErr w:type="spellEnd"/>
      <w:r w:rsidR="000048D7" w:rsidRPr="00887473">
        <w:rPr>
          <w:rFonts w:eastAsia="HelenPro-Regular"/>
          <w:i/>
          <w:iCs/>
        </w:rPr>
        <w:t xml:space="preserve"> </w:t>
      </w:r>
      <w:r w:rsidR="000048D7" w:rsidRPr="00887473">
        <w:rPr>
          <w:rFonts w:eastAsia="HelenPro-Regular"/>
        </w:rPr>
        <w:t xml:space="preserve">Gentamicin </w:t>
      </w:r>
      <w:r w:rsidRPr="00425BA0">
        <w:rPr>
          <w:rFonts w:ascii="Arial" w:hAnsi="Arial" w:cs="Arial"/>
          <w:sz w:val="22"/>
          <w:szCs w:val="22"/>
        </w:rPr>
        <w:t>Calibrator package insert</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Abbott Laboratories</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Diagnostics Division</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Abbott Park, IL  60064</w:t>
      </w:r>
    </w:p>
    <w:p w:rsidR="00173EA4" w:rsidRDefault="000A13F2" w:rsidP="00246FA8">
      <w:pPr>
        <w:pStyle w:val="ListParagraph"/>
        <w:numPr>
          <w:ilvl w:val="0"/>
          <w:numId w:val="4"/>
        </w:numPr>
        <w:spacing w:after="72"/>
        <w:jc w:val="both"/>
      </w:pPr>
      <w:r>
        <w:t>Abbott ARCHITECT</w:t>
      </w:r>
      <w:r w:rsidR="00941AE5">
        <w:rPr>
          <w:lang w:val="ru-RU"/>
        </w:rPr>
        <w:t xml:space="preserve"> Operator’s Guid</w:t>
      </w:r>
      <w:r w:rsidR="00941AE5">
        <w:t>e</w:t>
      </w:r>
    </w:p>
    <w:p w:rsidR="00941AE5" w:rsidRDefault="00941AE5" w:rsidP="00941AE5">
      <w:pPr>
        <w:spacing w:after="72"/>
        <w:jc w:val="both"/>
      </w:pPr>
    </w:p>
    <w:p w:rsidR="00941AE5" w:rsidRDefault="00941AE5" w:rsidP="00941AE5">
      <w:pPr>
        <w:spacing w:after="72"/>
        <w:jc w:val="both"/>
      </w:pPr>
    </w:p>
    <w:p w:rsidR="00173EA4" w:rsidRDefault="00173EA4" w:rsidP="00246FA8">
      <w:pPr>
        <w:rPr>
          <w:b/>
        </w:rPr>
      </w:pPr>
    </w:p>
    <w:p w:rsidR="00881923" w:rsidRPr="00157696" w:rsidRDefault="002D18CA" w:rsidP="00246FA8">
      <w:pPr>
        <w:rPr>
          <w:i/>
          <w:sz w:val="20"/>
          <w:szCs w:val="20"/>
        </w:rPr>
      </w:pPr>
      <w:r>
        <w:rPr>
          <w:b/>
        </w:rPr>
        <w:t>R</w:t>
      </w:r>
      <w:r w:rsidR="0009322F">
        <w:rPr>
          <w:b/>
        </w:rPr>
        <w:t xml:space="preserve">elated Documents: </w:t>
      </w:r>
    </w:p>
    <w:p w:rsidR="00157696" w:rsidRPr="00BC1EC4" w:rsidRDefault="00157696" w:rsidP="00246FA8">
      <w:pPr>
        <w:rPr>
          <w:i/>
          <w:color w:val="FF0000"/>
        </w:rPr>
      </w:pPr>
      <w:r>
        <w:rPr>
          <w:b/>
        </w:rPr>
        <w:t>Attachments:</w:t>
      </w:r>
      <w:r w:rsidR="00973EAF">
        <w:rPr>
          <w:b/>
        </w:rPr>
        <w:t xml:space="preserve"> </w:t>
      </w:r>
    </w:p>
    <w:sectPr w:rsidR="00157696" w:rsidRPr="00BC1EC4" w:rsidSect="00507B0C">
      <w:headerReference w:type="even" r:id="rId26"/>
      <w:headerReference w:type="default" r:id="rId27"/>
      <w:footerReference w:type="even" r:id="rId28"/>
      <w:footerReference w:type="default" r:id="rId29"/>
      <w:headerReference w:type="first" r:id="rId30"/>
      <w:footerReference w:type="first" r:id="rId3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0CD" w:rsidRDefault="00CE30CD">
      <w:r>
        <w:separator/>
      </w:r>
    </w:p>
  </w:endnote>
  <w:endnote w:type="continuationSeparator" w:id="0">
    <w:p w:rsidR="00CE30CD" w:rsidRDefault="00CE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B20" w:rsidRDefault="00497B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4C342E">
      <w:rPr>
        <w:noProof/>
        <w:sz w:val="20"/>
        <w:szCs w:val="20"/>
      </w:rPr>
      <w:t>10</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4C342E">
      <w:rPr>
        <w:noProof/>
        <w:sz w:val="20"/>
        <w:szCs w:val="20"/>
      </w:rPr>
      <w:t>15</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B20" w:rsidRDefault="00497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0CD" w:rsidRDefault="00CE30CD">
      <w:r>
        <w:separator/>
      </w:r>
    </w:p>
  </w:footnote>
  <w:footnote w:type="continuationSeparator" w:id="0">
    <w:p w:rsidR="00CE30CD" w:rsidRDefault="00CE3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B20" w:rsidRDefault="00497B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497B20">
      <w:rPr>
        <w:b/>
        <w:sz w:val="20"/>
        <w:szCs w:val="20"/>
      </w:rPr>
      <w:t xml:space="preserve"> 4840-CH-127</w:t>
    </w:r>
  </w:p>
  <w:p w:rsidR="00B54C79" w:rsidRDefault="00B54C79" w:rsidP="00100BF8">
    <w:pPr>
      <w:jc w:val="right"/>
      <w:rPr>
        <w:sz w:val="20"/>
        <w:szCs w:val="20"/>
      </w:rPr>
    </w:pPr>
    <w:r>
      <w:rPr>
        <w:sz w:val="20"/>
        <w:szCs w:val="20"/>
      </w:rPr>
      <w:t xml:space="preserve">ARCHITECT </w:t>
    </w:r>
    <w:proofErr w:type="spellStart"/>
    <w:r w:rsidR="00E4458F">
      <w:rPr>
        <w:sz w:val="20"/>
        <w:szCs w:val="20"/>
      </w:rPr>
      <w:t>iGent</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B20" w:rsidRDefault="00497B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97B8D"/>
    <w:multiLevelType w:val="hybridMultilevel"/>
    <w:tmpl w:val="A17829F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nsid w:val="3BCE1C13"/>
    <w:multiLevelType w:val="hybridMultilevel"/>
    <w:tmpl w:val="73BA03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28B6567"/>
    <w:multiLevelType w:val="hybridMultilevel"/>
    <w:tmpl w:val="D8B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9">
    <w:nsid w:val="6F4D28C7"/>
    <w:multiLevelType w:val="hybridMultilevel"/>
    <w:tmpl w:val="B2FC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2">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445977"/>
    <w:multiLevelType w:val="hybridMultilevel"/>
    <w:tmpl w:val="ACA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5"/>
  </w:num>
  <w:num w:numId="4">
    <w:abstractNumId w:val="1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6"/>
  </w:num>
  <w:num w:numId="8">
    <w:abstractNumId w:val="0"/>
  </w:num>
  <w:num w:numId="9">
    <w:abstractNumId w:val="18"/>
  </w:num>
  <w:num w:numId="10">
    <w:abstractNumId w:val="14"/>
  </w:num>
  <w:num w:numId="11">
    <w:abstractNumId w:val="17"/>
  </w:num>
  <w:num w:numId="12">
    <w:abstractNumId w:val="1"/>
  </w:num>
  <w:num w:numId="13">
    <w:abstractNumId w:val="7"/>
  </w:num>
  <w:num w:numId="14">
    <w:abstractNumId w:val="11"/>
  </w:num>
  <w:num w:numId="15">
    <w:abstractNumId w:val="26"/>
  </w:num>
  <w:num w:numId="16">
    <w:abstractNumId w:val="15"/>
  </w:num>
  <w:num w:numId="17">
    <w:abstractNumId w:val="3"/>
  </w:num>
  <w:num w:numId="18">
    <w:abstractNumId w:val="19"/>
  </w:num>
  <w:num w:numId="19">
    <w:abstractNumId w:val="5"/>
  </w:num>
  <w:num w:numId="20">
    <w:abstractNumId w:val="8"/>
  </w:num>
  <w:num w:numId="21">
    <w:abstractNumId w:val="4"/>
  </w:num>
  <w:num w:numId="22">
    <w:abstractNumId w:val="16"/>
  </w:num>
  <w:num w:numId="23">
    <w:abstractNumId w:val="2"/>
  </w:num>
  <w:num w:numId="24">
    <w:abstractNumId w:val="20"/>
  </w:num>
  <w:num w:numId="25">
    <w:abstractNumId w:val="23"/>
  </w:num>
  <w:num w:numId="26">
    <w:abstractNumId w:val="10"/>
  </w:num>
  <w:num w:numId="27">
    <w:abstractNumId w:val="24"/>
  </w:num>
  <w:num w:numId="2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048D7"/>
    <w:rsid w:val="00014AAD"/>
    <w:rsid w:val="000165C6"/>
    <w:rsid w:val="00020469"/>
    <w:rsid w:val="000232F2"/>
    <w:rsid w:val="000276BD"/>
    <w:rsid w:val="000304D2"/>
    <w:rsid w:val="00030B7A"/>
    <w:rsid w:val="00030CDD"/>
    <w:rsid w:val="00032E92"/>
    <w:rsid w:val="00041A33"/>
    <w:rsid w:val="00043105"/>
    <w:rsid w:val="000454FD"/>
    <w:rsid w:val="0006011A"/>
    <w:rsid w:val="000602A5"/>
    <w:rsid w:val="00062EAC"/>
    <w:rsid w:val="0006502B"/>
    <w:rsid w:val="000735AF"/>
    <w:rsid w:val="000743B7"/>
    <w:rsid w:val="00081C7F"/>
    <w:rsid w:val="00082648"/>
    <w:rsid w:val="00085F48"/>
    <w:rsid w:val="0009322F"/>
    <w:rsid w:val="000936E4"/>
    <w:rsid w:val="000958D6"/>
    <w:rsid w:val="000961C0"/>
    <w:rsid w:val="000A090B"/>
    <w:rsid w:val="000A13F2"/>
    <w:rsid w:val="000A341D"/>
    <w:rsid w:val="000A7D58"/>
    <w:rsid w:val="000B4575"/>
    <w:rsid w:val="000C1FD8"/>
    <w:rsid w:val="000E3328"/>
    <w:rsid w:val="000F49B2"/>
    <w:rsid w:val="00100BF8"/>
    <w:rsid w:val="0010358F"/>
    <w:rsid w:val="00107444"/>
    <w:rsid w:val="00132081"/>
    <w:rsid w:val="00133F38"/>
    <w:rsid w:val="0014554C"/>
    <w:rsid w:val="00155687"/>
    <w:rsid w:val="00157696"/>
    <w:rsid w:val="0016247C"/>
    <w:rsid w:val="00167572"/>
    <w:rsid w:val="00172CF7"/>
    <w:rsid w:val="00173EA4"/>
    <w:rsid w:val="001756AB"/>
    <w:rsid w:val="0019760C"/>
    <w:rsid w:val="001A639E"/>
    <w:rsid w:val="001B29A7"/>
    <w:rsid w:val="001B4267"/>
    <w:rsid w:val="001C48DA"/>
    <w:rsid w:val="001D3841"/>
    <w:rsid w:val="001D6AE0"/>
    <w:rsid w:val="001E079E"/>
    <w:rsid w:val="001F32A9"/>
    <w:rsid w:val="001F6B7B"/>
    <w:rsid w:val="00211DD8"/>
    <w:rsid w:val="00246FA8"/>
    <w:rsid w:val="0025031C"/>
    <w:rsid w:val="00253C1F"/>
    <w:rsid w:val="00255C54"/>
    <w:rsid w:val="002648A6"/>
    <w:rsid w:val="002649AA"/>
    <w:rsid w:val="002746A8"/>
    <w:rsid w:val="00294A08"/>
    <w:rsid w:val="002B0D2A"/>
    <w:rsid w:val="002B1993"/>
    <w:rsid w:val="002C0E55"/>
    <w:rsid w:val="002C2F49"/>
    <w:rsid w:val="002C7FD5"/>
    <w:rsid w:val="002D18CA"/>
    <w:rsid w:val="002D2075"/>
    <w:rsid w:val="002D370D"/>
    <w:rsid w:val="002D38DF"/>
    <w:rsid w:val="002D70E2"/>
    <w:rsid w:val="002E679B"/>
    <w:rsid w:val="002F52E0"/>
    <w:rsid w:val="003056A7"/>
    <w:rsid w:val="00317056"/>
    <w:rsid w:val="003356DF"/>
    <w:rsid w:val="00347BEC"/>
    <w:rsid w:val="00353FD5"/>
    <w:rsid w:val="0037463A"/>
    <w:rsid w:val="00380D60"/>
    <w:rsid w:val="0038442D"/>
    <w:rsid w:val="00386807"/>
    <w:rsid w:val="00396C4A"/>
    <w:rsid w:val="003B2E62"/>
    <w:rsid w:val="003B40E1"/>
    <w:rsid w:val="003C2522"/>
    <w:rsid w:val="003C596F"/>
    <w:rsid w:val="003C5BC8"/>
    <w:rsid w:val="003D10DE"/>
    <w:rsid w:val="003D1558"/>
    <w:rsid w:val="003D38B7"/>
    <w:rsid w:val="003D447C"/>
    <w:rsid w:val="003D708C"/>
    <w:rsid w:val="003E62E7"/>
    <w:rsid w:val="00400A1A"/>
    <w:rsid w:val="00400CBA"/>
    <w:rsid w:val="00405EC8"/>
    <w:rsid w:val="00410514"/>
    <w:rsid w:val="00413FEE"/>
    <w:rsid w:val="00425BA0"/>
    <w:rsid w:val="00431747"/>
    <w:rsid w:val="00436811"/>
    <w:rsid w:val="0044058F"/>
    <w:rsid w:val="00443DB3"/>
    <w:rsid w:val="00452D5E"/>
    <w:rsid w:val="0045570E"/>
    <w:rsid w:val="00456575"/>
    <w:rsid w:val="00460600"/>
    <w:rsid w:val="00461686"/>
    <w:rsid w:val="0046271A"/>
    <w:rsid w:val="004708FA"/>
    <w:rsid w:val="00470CE6"/>
    <w:rsid w:val="004773D3"/>
    <w:rsid w:val="00493DD1"/>
    <w:rsid w:val="00496605"/>
    <w:rsid w:val="00497B20"/>
    <w:rsid w:val="004A03BD"/>
    <w:rsid w:val="004A2AA3"/>
    <w:rsid w:val="004C05F8"/>
    <w:rsid w:val="004C104D"/>
    <w:rsid w:val="004C2C23"/>
    <w:rsid w:val="004C342E"/>
    <w:rsid w:val="004C37CB"/>
    <w:rsid w:val="004C73AF"/>
    <w:rsid w:val="004E0AFF"/>
    <w:rsid w:val="004F5F8A"/>
    <w:rsid w:val="00507B0C"/>
    <w:rsid w:val="005147C5"/>
    <w:rsid w:val="005169F4"/>
    <w:rsid w:val="00533CE1"/>
    <w:rsid w:val="00551335"/>
    <w:rsid w:val="0055619E"/>
    <w:rsid w:val="0056023B"/>
    <w:rsid w:val="00570113"/>
    <w:rsid w:val="00574309"/>
    <w:rsid w:val="005806E5"/>
    <w:rsid w:val="0058304A"/>
    <w:rsid w:val="005902C0"/>
    <w:rsid w:val="005A1D53"/>
    <w:rsid w:val="005A4739"/>
    <w:rsid w:val="005A7348"/>
    <w:rsid w:val="005B0D1C"/>
    <w:rsid w:val="005B1BF7"/>
    <w:rsid w:val="005C4292"/>
    <w:rsid w:val="005E3AB5"/>
    <w:rsid w:val="005E3D52"/>
    <w:rsid w:val="005E48EE"/>
    <w:rsid w:val="005F3E81"/>
    <w:rsid w:val="00607638"/>
    <w:rsid w:val="00610572"/>
    <w:rsid w:val="006107A2"/>
    <w:rsid w:val="0061553C"/>
    <w:rsid w:val="00621ABB"/>
    <w:rsid w:val="00623EFB"/>
    <w:rsid w:val="0063150E"/>
    <w:rsid w:val="00644800"/>
    <w:rsid w:val="006559EB"/>
    <w:rsid w:val="00656BB9"/>
    <w:rsid w:val="00674186"/>
    <w:rsid w:val="00682038"/>
    <w:rsid w:val="00687C2F"/>
    <w:rsid w:val="006A15AE"/>
    <w:rsid w:val="006A5AAE"/>
    <w:rsid w:val="006B0A70"/>
    <w:rsid w:val="006B3C65"/>
    <w:rsid w:val="006D28ED"/>
    <w:rsid w:val="006D40ED"/>
    <w:rsid w:val="006E5155"/>
    <w:rsid w:val="006F7F4F"/>
    <w:rsid w:val="00714B7D"/>
    <w:rsid w:val="00714F24"/>
    <w:rsid w:val="00715D55"/>
    <w:rsid w:val="00742830"/>
    <w:rsid w:val="0074336C"/>
    <w:rsid w:val="007703C0"/>
    <w:rsid w:val="007840DD"/>
    <w:rsid w:val="00794A6F"/>
    <w:rsid w:val="007B09E3"/>
    <w:rsid w:val="007B0CCE"/>
    <w:rsid w:val="007B247B"/>
    <w:rsid w:val="007E4CE6"/>
    <w:rsid w:val="007E6C3C"/>
    <w:rsid w:val="0080146D"/>
    <w:rsid w:val="008036AC"/>
    <w:rsid w:val="00804822"/>
    <w:rsid w:val="00812CCF"/>
    <w:rsid w:val="00816ACE"/>
    <w:rsid w:val="00833E15"/>
    <w:rsid w:val="00835A84"/>
    <w:rsid w:val="00841397"/>
    <w:rsid w:val="00846F9F"/>
    <w:rsid w:val="00847607"/>
    <w:rsid w:val="00861504"/>
    <w:rsid w:val="00863AA4"/>
    <w:rsid w:val="00864220"/>
    <w:rsid w:val="00880FDF"/>
    <w:rsid w:val="0088112F"/>
    <w:rsid w:val="00881923"/>
    <w:rsid w:val="0088257A"/>
    <w:rsid w:val="00883611"/>
    <w:rsid w:val="00887139"/>
    <w:rsid w:val="00887473"/>
    <w:rsid w:val="00893E5B"/>
    <w:rsid w:val="008A1AF7"/>
    <w:rsid w:val="008A1CED"/>
    <w:rsid w:val="008A7551"/>
    <w:rsid w:val="008A7F96"/>
    <w:rsid w:val="008B590F"/>
    <w:rsid w:val="008C0AEF"/>
    <w:rsid w:val="008C4A98"/>
    <w:rsid w:val="008C5276"/>
    <w:rsid w:val="008D06FF"/>
    <w:rsid w:val="008D30BD"/>
    <w:rsid w:val="008D4DF4"/>
    <w:rsid w:val="008E00E3"/>
    <w:rsid w:val="008F7947"/>
    <w:rsid w:val="008F794A"/>
    <w:rsid w:val="0091292B"/>
    <w:rsid w:val="00912BAD"/>
    <w:rsid w:val="00912FE4"/>
    <w:rsid w:val="0092389D"/>
    <w:rsid w:val="00924391"/>
    <w:rsid w:val="00924B1D"/>
    <w:rsid w:val="00926E1B"/>
    <w:rsid w:val="009318E8"/>
    <w:rsid w:val="00941AE5"/>
    <w:rsid w:val="009467CE"/>
    <w:rsid w:val="00951C8E"/>
    <w:rsid w:val="00952933"/>
    <w:rsid w:val="00953BF2"/>
    <w:rsid w:val="00964971"/>
    <w:rsid w:val="00973EAF"/>
    <w:rsid w:val="00980C01"/>
    <w:rsid w:val="009841EC"/>
    <w:rsid w:val="009A4991"/>
    <w:rsid w:val="009B4C90"/>
    <w:rsid w:val="009D1D61"/>
    <w:rsid w:val="009D498B"/>
    <w:rsid w:val="009E0FF1"/>
    <w:rsid w:val="009E49EB"/>
    <w:rsid w:val="009F0CBD"/>
    <w:rsid w:val="009F648F"/>
    <w:rsid w:val="00A015C6"/>
    <w:rsid w:val="00A016EE"/>
    <w:rsid w:val="00A06293"/>
    <w:rsid w:val="00A062F7"/>
    <w:rsid w:val="00A06412"/>
    <w:rsid w:val="00A06F60"/>
    <w:rsid w:val="00A1152E"/>
    <w:rsid w:val="00A1486D"/>
    <w:rsid w:val="00A15B97"/>
    <w:rsid w:val="00A226F3"/>
    <w:rsid w:val="00A241F8"/>
    <w:rsid w:val="00A320E4"/>
    <w:rsid w:val="00A35DB6"/>
    <w:rsid w:val="00A408AE"/>
    <w:rsid w:val="00A5042D"/>
    <w:rsid w:val="00A541AC"/>
    <w:rsid w:val="00A554D4"/>
    <w:rsid w:val="00A67673"/>
    <w:rsid w:val="00A71728"/>
    <w:rsid w:val="00A71D1D"/>
    <w:rsid w:val="00A72EC0"/>
    <w:rsid w:val="00A81234"/>
    <w:rsid w:val="00A82E30"/>
    <w:rsid w:val="00A92E30"/>
    <w:rsid w:val="00AA271B"/>
    <w:rsid w:val="00AA7423"/>
    <w:rsid w:val="00AA7B6F"/>
    <w:rsid w:val="00AB5354"/>
    <w:rsid w:val="00AB793D"/>
    <w:rsid w:val="00AC0E64"/>
    <w:rsid w:val="00AD402C"/>
    <w:rsid w:val="00AE6F5B"/>
    <w:rsid w:val="00AF597C"/>
    <w:rsid w:val="00B11C38"/>
    <w:rsid w:val="00B13AB5"/>
    <w:rsid w:val="00B226FC"/>
    <w:rsid w:val="00B24260"/>
    <w:rsid w:val="00B30875"/>
    <w:rsid w:val="00B36577"/>
    <w:rsid w:val="00B434E9"/>
    <w:rsid w:val="00B438DB"/>
    <w:rsid w:val="00B45FE2"/>
    <w:rsid w:val="00B46687"/>
    <w:rsid w:val="00B50C75"/>
    <w:rsid w:val="00B54C79"/>
    <w:rsid w:val="00B63263"/>
    <w:rsid w:val="00B63E8F"/>
    <w:rsid w:val="00B70AAC"/>
    <w:rsid w:val="00B712B1"/>
    <w:rsid w:val="00B72271"/>
    <w:rsid w:val="00BA0054"/>
    <w:rsid w:val="00BC1EC4"/>
    <w:rsid w:val="00BC76E2"/>
    <w:rsid w:val="00BE40A6"/>
    <w:rsid w:val="00BF32B2"/>
    <w:rsid w:val="00C32412"/>
    <w:rsid w:val="00C3571A"/>
    <w:rsid w:val="00C44099"/>
    <w:rsid w:val="00C46D5D"/>
    <w:rsid w:val="00C53E37"/>
    <w:rsid w:val="00C63D0C"/>
    <w:rsid w:val="00C63D9F"/>
    <w:rsid w:val="00C90E57"/>
    <w:rsid w:val="00C912E2"/>
    <w:rsid w:val="00C967D5"/>
    <w:rsid w:val="00CA11D0"/>
    <w:rsid w:val="00CA5058"/>
    <w:rsid w:val="00CC2751"/>
    <w:rsid w:val="00CC37B4"/>
    <w:rsid w:val="00CC3D62"/>
    <w:rsid w:val="00CE2DC7"/>
    <w:rsid w:val="00CE30CD"/>
    <w:rsid w:val="00CF7868"/>
    <w:rsid w:val="00D006C7"/>
    <w:rsid w:val="00D16262"/>
    <w:rsid w:val="00D16B69"/>
    <w:rsid w:val="00D27C5A"/>
    <w:rsid w:val="00D339B0"/>
    <w:rsid w:val="00D5070C"/>
    <w:rsid w:val="00D50F05"/>
    <w:rsid w:val="00D5211B"/>
    <w:rsid w:val="00D60AFA"/>
    <w:rsid w:val="00D64E39"/>
    <w:rsid w:val="00D70A7B"/>
    <w:rsid w:val="00D71AF7"/>
    <w:rsid w:val="00D73BF8"/>
    <w:rsid w:val="00D77B64"/>
    <w:rsid w:val="00D80968"/>
    <w:rsid w:val="00D84ADA"/>
    <w:rsid w:val="00D94BB8"/>
    <w:rsid w:val="00D97908"/>
    <w:rsid w:val="00DA040A"/>
    <w:rsid w:val="00DA0D83"/>
    <w:rsid w:val="00DA6C6A"/>
    <w:rsid w:val="00DB3051"/>
    <w:rsid w:val="00DB49D0"/>
    <w:rsid w:val="00DC16C5"/>
    <w:rsid w:val="00DC56D1"/>
    <w:rsid w:val="00DD0481"/>
    <w:rsid w:val="00DE1362"/>
    <w:rsid w:val="00DE6C4E"/>
    <w:rsid w:val="00DF01DC"/>
    <w:rsid w:val="00DF022C"/>
    <w:rsid w:val="00E03B3D"/>
    <w:rsid w:val="00E07C43"/>
    <w:rsid w:val="00E12522"/>
    <w:rsid w:val="00E12AF4"/>
    <w:rsid w:val="00E30C56"/>
    <w:rsid w:val="00E36B73"/>
    <w:rsid w:val="00E40388"/>
    <w:rsid w:val="00E438CD"/>
    <w:rsid w:val="00E4458F"/>
    <w:rsid w:val="00E44BED"/>
    <w:rsid w:val="00E4787B"/>
    <w:rsid w:val="00E50643"/>
    <w:rsid w:val="00E97A8C"/>
    <w:rsid w:val="00EA1269"/>
    <w:rsid w:val="00EA713D"/>
    <w:rsid w:val="00EB2F9F"/>
    <w:rsid w:val="00EB33FE"/>
    <w:rsid w:val="00EC002B"/>
    <w:rsid w:val="00EC7B32"/>
    <w:rsid w:val="00ED2343"/>
    <w:rsid w:val="00ED4BBB"/>
    <w:rsid w:val="00ED5787"/>
    <w:rsid w:val="00EF4170"/>
    <w:rsid w:val="00F05CCD"/>
    <w:rsid w:val="00F13523"/>
    <w:rsid w:val="00F175CB"/>
    <w:rsid w:val="00F1787A"/>
    <w:rsid w:val="00F17F45"/>
    <w:rsid w:val="00F20C64"/>
    <w:rsid w:val="00F23218"/>
    <w:rsid w:val="00F25293"/>
    <w:rsid w:val="00F32BBD"/>
    <w:rsid w:val="00F3700B"/>
    <w:rsid w:val="00F61480"/>
    <w:rsid w:val="00F66836"/>
    <w:rsid w:val="00F7103F"/>
    <w:rsid w:val="00F7630F"/>
    <w:rsid w:val="00F80AD3"/>
    <w:rsid w:val="00F82D85"/>
    <w:rsid w:val="00F84979"/>
    <w:rsid w:val="00F91000"/>
    <w:rsid w:val="00F92520"/>
    <w:rsid w:val="00F92947"/>
    <w:rsid w:val="00F95946"/>
    <w:rsid w:val="00FA706C"/>
    <w:rsid w:val="00FB49F4"/>
    <w:rsid w:val="00FB7839"/>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CE590-FE97-49A6-BF5A-31EEA33D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2596</Words>
  <Characters>15034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17595</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yorlab1</cp:lastModifiedBy>
  <cp:revision>4</cp:revision>
  <cp:lastPrinted>2012-02-10T12:42:00Z</cp:lastPrinted>
  <dcterms:created xsi:type="dcterms:W3CDTF">2018-08-22T16:54:00Z</dcterms:created>
  <dcterms:modified xsi:type="dcterms:W3CDTF">2018-10-25T23:33:00Z</dcterms:modified>
</cp:coreProperties>
</file>