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2C5C84">
      <w:pPr>
        <w:rPr>
          <w:b/>
        </w:rPr>
      </w:pPr>
      <w:r>
        <w:rPr>
          <w:noProof/>
        </w:rPr>
        <w:drawing>
          <wp:inline distT="0" distB="0" distL="0" distR="0" wp14:anchorId="76E4FE6C" wp14:editId="4A0159CA">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2C5C84" w:rsidRPr="007E4CE6" w:rsidRDefault="002C5C84">
      <w:pPr>
        <w:rPr>
          <w:b/>
        </w:rPr>
      </w:pPr>
    </w:p>
    <w:p w:rsidR="00D006C7" w:rsidRPr="00D006C7" w:rsidRDefault="008C4A98" w:rsidP="006107A2">
      <w:pPr>
        <w:jc w:val="center"/>
        <w:rPr>
          <w:rFonts w:eastAsia="HelenPro-Regular"/>
          <w:b/>
          <w:sz w:val="28"/>
          <w:szCs w:val="28"/>
        </w:rPr>
      </w:pPr>
      <w:proofErr w:type="spellStart"/>
      <w:r w:rsidRPr="008C4A98">
        <w:rPr>
          <w:rFonts w:eastAsia="HelenPro-Regular"/>
          <w:b/>
          <w:i/>
          <w:sz w:val="28"/>
          <w:szCs w:val="28"/>
        </w:rPr>
        <w:t>i</w:t>
      </w:r>
      <w:r w:rsidR="00B94EE2">
        <w:rPr>
          <w:rFonts w:eastAsia="HelenPro-Regular"/>
          <w:b/>
          <w:sz w:val="28"/>
          <w:szCs w:val="28"/>
        </w:rPr>
        <w:t>PHENOBARBITAL</w:t>
      </w:r>
      <w:proofErr w:type="spellEnd"/>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2578A2" w:rsidRDefault="00BA3154" w:rsidP="00BA3154">
      <w:pPr>
        <w:autoSpaceDE w:val="0"/>
        <w:autoSpaceDN w:val="0"/>
        <w:adjustRightInd w:val="0"/>
        <w:rPr>
          <w:rFonts w:eastAsia="HelenPro-Regular"/>
        </w:rPr>
      </w:pPr>
      <w:r w:rsidRPr="002578A2">
        <w:rPr>
          <w:rFonts w:eastAsia="HelenPro-Regular"/>
        </w:rPr>
        <w:t xml:space="preserve">The ARCHITECT </w:t>
      </w:r>
      <w:proofErr w:type="spellStart"/>
      <w:r w:rsidR="00F43503" w:rsidRPr="00F43503">
        <w:rPr>
          <w:rFonts w:eastAsia="HelenPro-Regular"/>
          <w:i/>
        </w:rPr>
        <w:t>i</w:t>
      </w:r>
      <w:proofErr w:type="spellEnd"/>
      <w:r w:rsidR="00F43503">
        <w:rPr>
          <w:rFonts w:eastAsia="HelenPro-Regular"/>
        </w:rPr>
        <w:t xml:space="preserve"> Phenobarbital </w:t>
      </w:r>
      <w:r w:rsidRPr="002578A2">
        <w:rPr>
          <w:rFonts w:eastAsia="HelenPro-Regular"/>
        </w:rPr>
        <w:t xml:space="preserve">assay is an </w:t>
      </w:r>
      <w:r w:rsidRPr="002578A2">
        <w:rPr>
          <w:rFonts w:eastAsia="HelenPro-Regular"/>
          <w:i/>
          <w:iCs/>
        </w:rPr>
        <w:t xml:space="preserve">in vitro </w:t>
      </w:r>
      <w:proofErr w:type="spellStart"/>
      <w:r w:rsidRPr="002578A2">
        <w:rPr>
          <w:rFonts w:eastAsia="HelenPro-Regular"/>
        </w:rPr>
        <w:t>chemiluminescent</w:t>
      </w:r>
      <w:proofErr w:type="spellEnd"/>
      <w:r w:rsidR="002578A2">
        <w:rPr>
          <w:rFonts w:eastAsia="HelenPro-Regular"/>
        </w:rPr>
        <w:t xml:space="preserve"> </w:t>
      </w:r>
      <w:proofErr w:type="spellStart"/>
      <w:r w:rsidRPr="002578A2">
        <w:rPr>
          <w:rFonts w:eastAsia="HelenPro-Regular"/>
        </w:rPr>
        <w:t>microparticle</w:t>
      </w:r>
      <w:proofErr w:type="spellEnd"/>
      <w:r w:rsidRPr="002578A2">
        <w:rPr>
          <w:rFonts w:eastAsia="HelenPro-Regular"/>
        </w:rPr>
        <w:t xml:space="preserve"> immunoassay (CMIA) for the quantitative measurement</w:t>
      </w:r>
      <w:r w:rsidR="002578A2">
        <w:rPr>
          <w:rFonts w:eastAsia="HelenPro-Regular"/>
        </w:rPr>
        <w:t xml:space="preserve"> </w:t>
      </w:r>
      <w:r w:rsidRPr="002578A2">
        <w:rPr>
          <w:rFonts w:eastAsia="HelenPro-Regular"/>
        </w:rPr>
        <w:t>of phenobarbital, an anticonvulsant and sedative-hypnotic drug,</w:t>
      </w:r>
      <w:r w:rsidR="002578A2">
        <w:rPr>
          <w:rFonts w:eastAsia="HelenPro-Regular"/>
        </w:rPr>
        <w:t xml:space="preserve"> </w:t>
      </w:r>
      <w:r w:rsidRPr="002578A2">
        <w:rPr>
          <w:rFonts w:eastAsia="HelenPro-Regular"/>
        </w:rPr>
        <w:t xml:space="preserve">in human serum or plasma on the ARCHITECT </w:t>
      </w:r>
      <w:proofErr w:type="spellStart"/>
      <w:r w:rsidRPr="002578A2">
        <w:rPr>
          <w:rFonts w:eastAsia="HelenPro-Regular"/>
        </w:rPr>
        <w:t>iSystem</w:t>
      </w:r>
      <w:proofErr w:type="spellEnd"/>
      <w:r w:rsidRPr="002578A2">
        <w:rPr>
          <w:rFonts w:eastAsia="HelenPro-Regular"/>
        </w:rPr>
        <w:t xml:space="preserve"> with STAT</w:t>
      </w:r>
      <w:r w:rsidR="002578A2">
        <w:rPr>
          <w:rFonts w:eastAsia="HelenPro-Regular"/>
        </w:rPr>
        <w:t xml:space="preserve"> </w:t>
      </w:r>
      <w:r w:rsidRPr="002578A2">
        <w:rPr>
          <w:rFonts w:eastAsia="HelenPro-Regular"/>
        </w:rPr>
        <w:t>protocol capability. The measurements obtained are used in the</w:t>
      </w:r>
      <w:r w:rsidR="002578A2">
        <w:rPr>
          <w:rFonts w:eastAsia="HelenPro-Regular"/>
        </w:rPr>
        <w:t xml:space="preserve"> </w:t>
      </w:r>
      <w:r w:rsidRPr="002578A2">
        <w:rPr>
          <w:rFonts w:eastAsia="HelenPro-Regular"/>
        </w:rPr>
        <w:t>diagnosis and treatment of phenobarbital overdose and in monitoring</w:t>
      </w:r>
      <w:r w:rsidR="002578A2">
        <w:rPr>
          <w:rFonts w:eastAsia="HelenPro-Regular"/>
        </w:rPr>
        <w:t xml:space="preserve"> </w:t>
      </w:r>
      <w:r w:rsidRPr="002578A2">
        <w:rPr>
          <w:rFonts w:eastAsia="HelenPro-Regular"/>
        </w:rPr>
        <w:t>levels of phenobarbital to help ensure appropriate therapy.</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D84ADA" w:rsidRPr="00924391" w:rsidRDefault="00BA3154" w:rsidP="00BA3154">
      <w:pPr>
        <w:autoSpaceDE w:val="0"/>
        <w:autoSpaceDN w:val="0"/>
        <w:adjustRightInd w:val="0"/>
        <w:rPr>
          <w:rFonts w:eastAsia="HelenPro-Regular"/>
        </w:rPr>
      </w:pPr>
      <w:r w:rsidRPr="002578A2">
        <w:rPr>
          <w:rFonts w:eastAsia="HelenPro-Regular"/>
        </w:rPr>
        <w:t>Phenobarbital was introduced in 1912 for the treatment of epilepsy,</w:t>
      </w:r>
      <w:r w:rsidR="002578A2">
        <w:rPr>
          <w:rFonts w:eastAsia="HelenPro-Regular"/>
        </w:rPr>
        <w:t xml:space="preserve"> </w:t>
      </w:r>
      <w:r w:rsidRPr="002578A2">
        <w:rPr>
          <w:rFonts w:eastAsia="HelenPro-Regular"/>
        </w:rPr>
        <w:t>particularly for controlling focal motor or sensory seizures and grand</w:t>
      </w:r>
      <w:r w:rsidR="002578A2">
        <w:rPr>
          <w:rFonts w:eastAsia="HelenPro-Regular"/>
        </w:rPr>
        <w:t xml:space="preserve"> </w:t>
      </w:r>
      <w:r w:rsidRPr="002578A2">
        <w:rPr>
          <w:rFonts w:eastAsia="HelenPro-Regular"/>
        </w:rPr>
        <w:t>mal seizures. Phenobarbital is bound to both plasma and tissue</w:t>
      </w:r>
      <w:r w:rsidR="002578A2">
        <w:rPr>
          <w:rFonts w:eastAsia="HelenPro-Regular"/>
        </w:rPr>
        <w:t xml:space="preserve"> </w:t>
      </w:r>
      <w:r w:rsidRPr="002578A2">
        <w:rPr>
          <w:rFonts w:eastAsia="HelenPro-Regular"/>
        </w:rPr>
        <w:t>proteins. Monitoring serum concentrations of phenobarbital has</w:t>
      </w:r>
      <w:r w:rsidR="002578A2">
        <w:rPr>
          <w:rFonts w:eastAsia="HelenPro-Regular"/>
        </w:rPr>
        <w:t xml:space="preserve"> </w:t>
      </w:r>
      <w:r w:rsidRPr="002578A2">
        <w:rPr>
          <w:rFonts w:eastAsia="HelenPro-Regular"/>
        </w:rPr>
        <w:t>been shown to improve patient therapy by providing physicians with</w:t>
      </w:r>
      <w:r w:rsidR="002578A2">
        <w:rPr>
          <w:rFonts w:eastAsia="HelenPro-Regular"/>
        </w:rPr>
        <w:t xml:space="preserve"> </w:t>
      </w:r>
      <w:r w:rsidRPr="002578A2">
        <w:rPr>
          <w:rFonts w:eastAsia="HelenPro-Regular"/>
        </w:rPr>
        <w:t>a tool for adjusting dosage. In addition, because of the narrow</w:t>
      </w:r>
      <w:r w:rsidR="002578A2">
        <w:rPr>
          <w:rFonts w:eastAsia="HelenPro-Regular"/>
        </w:rPr>
        <w:t xml:space="preserve"> </w:t>
      </w:r>
      <w:r w:rsidRPr="002578A2">
        <w:rPr>
          <w:rFonts w:eastAsia="HelenPro-Regular"/>
        </w:rPr>
        <w:t>therapeutic index and wide inter-individual variability in the rate of</w:t>
      </w:r>
      <w:r w:rsidR="002578A2">
        <w:rPr>
          <w:rFonts w:eastAsia="HelenPro-Regular"/>
        </w:rPr>
        <w:t xml:space="preserve"> </w:t>
      </w:r>
      <w:r w:rsidRPr="002578A2">
        <w:rPr>
          <w:rFonts w:eastAsia="HelenPro-Regular"/>
        </w:rPr>
        <w:t>phenobarbital metabolism and clearance, the determination of blood</w:t>
      </w:r>
      <w:r w:rsidR="002578A2">
        <w:rPr>
          <w:rFonts w:eastAsia="HelenPro-Regular"/>
        </w:rPr>
        <w:t xml:space="preserve"> </w:t>
      </w:r>
      <w:r w:rsidRPr="002578A2">
        <w:rPr>
          <w:rFonts w:eastAsia="HelenPro-Regular"/>
        </w:rPr>
        <w:t>levels of phenobarbital for patients receiving therapy is essential</w:t>
      </w:r>
      <w:r w:rsidR="00924391" w:rsidRPr="002578A2">
        <w:rPr>
          <w:rFonts w:eastAsia="HelenPro-Regular"/>
        </w:rPr>
        <w:t>.</w:t>
      </w:r>
    </w:p>
    <w:p w:rsidR="005E48EE" w:rsidRDefault="005E48EE"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BA3154" w:rsidRPr="002578A2" w:rsidRDefault="00BA3154" w:rsidP="00BA3154">
      <w:pPr>
        <w:autoSpaceDE w:val="0"/>
        <w:autoSpaceDN w:val="0"/>
        <w:adjustRightInd w:val="0"/>
        <w:rPr>
          <w:rFonts w:eastAsia="HelenPro-Regular"/>
        </w:rPr>
      </w:pPr>
      <w:r w:rsidRPr="002578A2">
        <w:rPr>
          <w:rFonts w:eastAsia="HelenPro-Regular"/>
        </w:rPr>
        <w:t xml:space="preserve">The ARCHITECT </w:t>
      </w:r>
      <w:proofErr w:type="spellStart"/>
      <w:r w:rsidR="00F43503" w:rsidRPr="00F43503">
        <w:rPr>
          <w:rFonts w:eastAsia="HelenPro-Regular"/>
          <w:i/>
        </w:rPr>
        <w:t>i</w:t>
      </w:r>
      <w:proofErr w:type="spellEnd"/>
      <w:r w:rsidR="00F43503">
        <w:rPr>
          <w:rFonts w:eastAsia="HelenPro-Regular"/>
        </w:rPr>
        <w:t xml:space="preserve"> Phenobarbital </w:t>
      </w:r>
      <w:r w:rsidRPr="002578A2">
        <w:rPr>
          <w:rFonts w:eastAsia="HelenPro-Regular"/>
        </w:rPr>
        <w:t>assay is a one-step STAT</w:t>
      </w:r>
      <w:r w:rsidR="002578A2">
        <w:rPr>
          <w:rFonts w:eastAsia="HelenPro-Regular"/>
        </w:rPr>
        <w:t xml:space="preserve"> </w:t>
      </w:r>
      <w:r w:rsidRPr="002578A2">
        <w:rPr>
          <w:rFonts w:eastAsia="HelenPro-Regular"/>
        </w:rPr>
        <w:t>immunoassay for the quantitative measurement of phenobarbital in</w:t>
      </w:r>
      <w:r w:rsidR="002578A2">
        <w:rPr>
          <w:rFonts w:eastAsia="HelenPro-Regular"/>
        </w:rPr>
        <w:t xml:space="preserve"> </w:t>
      </w:r>
      <w:r w:rsidRPr="002578A2">
        <w:rPr>
          <w:rFonts w:eastAsia="HelenPro-Regular"/>
        </w:rPr>
        <w:t>human serum or plasma using CMIA technology with flexible assay</w:t>
      </w:r>
      <w:r w:rsidR="002578A2">
        <w:rPr>
          <w:rFonts w:eastAsia="HelenPro-Regular"/>
        </w:rPr>
        <w:t xml:space="preserve"> </w:t>
      </w:r>
      <w:r w:rsidRPr="002578A2">
        <w:rPr>
          <w:rFonts w:eastAsia="HelenPro-Regular"/>
        </w:rPr>
        <w:t xml:space="preserve">protocols, referred to as </w:t>
      </w:r>
      <w:proofErr w:type="spellStart"/>
      <w:r w:rsidRPr="002578A2">
        <w:rPr>
          <w:rFonts w:eastAsia="HelenPro-Regular"/>
        </w:rPr>
        <w:t>Chemiflex</w:t>
      </w:r>
      <w:proofErr w:type="spellEnd"/>
      <w:r w:rsidRPr="002578A2">
        <w:rPr>
          <w:rFonts w:eastAsia="HelenPro-Regular"/>
        </w:rPr>
        <w:t>.</w:t>
      </w:r>
    </w:p>
    <w:p w:rsidR="00BA3154" w:rsidRPr="002578A2" w:rsidRDefault="00BA3154" w:rsidP="00BA3154">
      <w:pPr>
        <w:autoSpaceDE w:val="0"/>
        <w:autoSpaceDN w:val="0"/>
        <w:adjustRightInd w:val="0"/>
        <w:rPr>
          <w:rFonts w:eastAsia="HelenPro-Regular"/>
        </w:rPr>
      </w:pPr>
      <w:r w:rsidRPr="002578A2">
        <w:rPr>
          <w:rFonts w:eastAsia="HelenPro-Regular"/>
        </w:rPr>
        <w:t xml:space="preserve">1. Sample, anti-phenobarbital coated paramagnetic </w:t>
      </w:r>
      <w:proofErr w:type="spellStart"/>
      <w:r w:rsidRPr="002578A2">
        <w:rPr>
          <w:rFonts w:eastAsia="HelenPro-Regular"/>
        </w:rPr>
        <w:t>microparticles</w:t>
      </w:r>
      <w:proofErr w:type="spellEnd"/>
      <w:r w:rsidRPr="002578A2">
        <w:rPr>
          <w:rFonts w:eastAsia="HelenPro-Regular"/>
        </w:rPr>
        <w:t>,</w:t>
      </w:r>
      <w:r w:rsidR="002578A2">
        <w:rPr>
          <w:rFonts w:eastAsia="HelenPro-Regular"/>
        </w:rPr>
        <w:t xml:space="preserve"> </w:t>
      </w:r>
      <w:r w:rsidRPr="002578A2">
        <w:rPr>
          <w:rFonts w:eastAsia="HelenPro-Regular"/>
        </w:rPr>
        <w:t xml:space="preserve">and phenobarbital </w:t>
      </w:r>
      <w:proofErr w:type="spellStart"/>
      <w:r w:rsidRPr="002578A2">
        <w:rPr>
          <w:rFonts w:eastAsia="HelenPro-Regular"/>
        </w:rPr>
        <w:t>acridinium</w:t>
      </w:r>
      <w:proofErr w:type="spellEnd"/>
      <w:r w:rsidRPr="002578A2">
        <w:rPr>
          <w:rFonts w:eastAsia="HelenPro-Regular"/>
        </w:rPr>
        <w:t>-labeled conjugate are combined</w:t>
      </w:r>
      <w:r w:rsidR="002578A2">
        <w:rPr>
          <w:rFonts w:eastAsia="HelenPro-Regular"/>
        </w:rPr>
        <w:t xml:space="preserve"> </w:t>
      </w:r>
      <w:r w:rsidRPr="002578A2">
        <w:rPr>
          <w:rFonts w:eastAsia="HelenPro-Regular"/>
        </w:rPr>
        <w:t>to create a reaction mixture. The anti-phenobarbital coated</w:t>
      </w:r>
      <w:r w:rsidR="002578A2">
        <w:rPr>
          <w:rFonts w:eastAsia="HelenPro-Regular"/>
        </w:rPr>
        <w:t xml:space="preserve"> </w:t>
      </w:r>
      <w:proofErr w:type="spellStart"/>
      <w:r w:rsidRPr="002578A2">
        <w:rPr>
          <w:rFonts w:eastAsia="HelenPro-Regular"/>
        </w:rPr>
        <w:t>microparticles</w:t>
      </w:r>
      <w:proofErr w:type="spellEnd"/>
      <w:r w:rsidRPr="002578A2">
        <w:rPr>
          <w:rFonts w:eastAsia="HelenPro-Regular"/>
        </w:rPr>
        <w:t xml:space="preserve"> bind to phenobarbital present in the sample and</w:t>
      </w:r>
      <w:r w:rsidR="002578A2">
        <w:rPr>
          <w:rFonts w:eastAsia="HelenPro-Regular"/>
        </w:rPr>
        <w:t xml:space="preserve"> </w:t>
      </w:r>
      <w:r w:rsidRPr="002578A2">
        <w:rPr>
          <w:rFonts w:eastAsia="HelenPro-Regular"/>
        </w:rPr>
        <w:t xml:space="preserve">to the phenobarbital </w:t>
      </w:r>
      <w:proofErr w:type="spellStart"/>
      <w:r w:rsidRPr="002578A2">
        <w:rPr>
          <w:rFonts w:eastAsia="HelenPro-Regular"/>
        </w:rPr>
        <w:t>acridinium</w:t>
      </w:r>
      <w:proofErr w:type="spellEnd"/>
      <w:r w:rsidRPr="002578A2">
        <w:rPr>
          <w:rFonts w:eastAsia="HelenPro-Regular"/>
        </w:rPr>
        <w:t>-labeled conjugate.</w:t>
      </w:r>
    </w:p>
    <w:p w:rsidR="00BA3154" w:rsidRPr="002578A2" w:rsidRDefault="00BA3154" w:rsidP="00BA3154">
      <w:pPr>
        <w:autoSpaceDE w:val="0"/>
        <w:autoSpaceDN w:val="0"/>
        <w:adjustRightInd w:val="0"/>
        <w:rPr>
          <w:rFonts w:eastAsia="HelenPro-Regular"/>
        </w:rPr>
      </w:pPr>
      <w:r w:rsidRPr="002578A2">
        <w:rPr>
          <w:rFonts w:eastAsia="HelenPro-Regular"/>
        </w:rPr>
        <w:t>2. After washing, Pre-Trigger and Trigger Solutions are added to the</w:t>
      </w:r>
      <w:r w:rsidR="002578A2">
        <w:rPr>
          <w:rFonts w:eastAsia="HelenPro-Regular"/>
        </w:rPr>
        <w:t xml:space="preserve"> </w:t>
      </w:r>
      <w:r w:rsidRPr="002578A2">
        <w:rPr>
          <w:rFonts w:eastAsia="HelenPro-Regular"/>
        </w:rPr>
        <w:t>reaction mixture.</w:t>
      </w:r>
    </w:p>
    <w:p w:rsidR="00BA3154" w:rsidRPr="002578A2" w:rsidRDefault="00BA3154" w:rsidP="00BA3154">
      <w:pPr>
        <w:autoSpaceDE w:val="0"/>
        <w:autoSpaceDN w:val="0"/>
        <w:adjustRightInd w:val="0"/>
        <w:rPr>
          <w:rFonts w:eastAsia="HelenPro-Regular"/>
        </w:rPr>
      </w:pPr>
      <w:r w:rsidRPr="002578A2">
        <w:rPr>
          <w:rFonts w:eastAsia="HelenPro-Regular"/>
        </w:rPr>
        <w:t xml:space="preserve">3. The resulting </w:t>
      </w:r>
      <w:proofErr w:type="spellStart"/>
      <w:r w:rsidRPr="002578A2">
        <w:rPr>
          <w:rFonts w:eastAsia="HelenPro-Regular"/>
        </w:rPr>
        <w:t>chemiluminescent</w:t>
      </w:r>
      <w:proofErr w:type="spellEnd"/>
      <w:r w:rsidRPr="002578A2">
        <w:rPr>
          <w:rFonts w:eastAsia="HelenPro-Regular"/>
        </w:rPr>
        <w:t xml:space="preserve"> reaction is measured as relative</w:t>
      </w:r>
      <w:r w:rsidR="002578A2">
        <w:rPr>
          <w:rFonts w:eastAsia="HelenPro-Regular"/>
        </w:rPr>
        <w:t xml:space="preserve"> </w:t>
      </w:r>
      <w:r w:rsidRPr="002578A2">
        <w:rPr>
          <w:rFonts w:eastAsia="HelenPro-Regular"/>
        </w:rPr>
        <w:t>light units (RLUs). There is an indirect relationship between the</w:t>
      </w:r>
      <w:r w:rsidR="002578A2">
        <w:rPr>
          <w:rFonts w:eastAsia="HelenPro-Regular"/>
        </w:rPr>
        <w:t xml:space="preserve"> </w:t>
      </w:r>
      <w:r w:rsidRPr="002578A2">
        <w:rPr>
          <w:rFonts w:eastAsia="HelenPro-Regular"/>
        </w:rPr>
        <w:t>amount of phenobarbital in the sample and the RLUs detected</w:t>
      </w:r>
      <w:r w:rsidR="002578A2">
        <w:rPr>
          <w:rFonts w:eastAsia="HelenPro-Regular"/>
        </w:rPr>
        <w:t xml:space="preserve"> </w:t>
      </w:r>
      <w:r w:rsidRPr="002578A2">
        <w:rPr>
          <w:rFonts w:eastAsia="HelenPro-Regular"/>
        </w:rPr>
        <w:t xml:space="preserve">by the ARCHITECT </w:t>
      </w:r>
      <w:proofErr w:type="spellStart"/>
      <w:r w:rsidRPr="002578A2">
        <w:rPr>
          <w:rFonts w:eastAsia="HelenPro-Regular"/>
        </w:rPr>
        <w:t>iSystem</w:t>
      </w:r>
      <w:proofErr w:type="spellEnd"/>
      <w:r w:rsidRPr="002578A2">
        <w:rPr>
          <w:rFonts w:eastAsia="HelenPro-Regular"/>
        </w:rPr>
        <w:t xml:space="preserve"> optics.</w:t>
      </w:r>
    </w:p>
    <w:p w:rsidR="004E0AFF" w:rsidRPr="002578A2" w:rsidRDefault="00BA3154" w:rsidP="00BA3154">
      <w:pPr>
        <w:autoSpaceDE w:val="0"/>
        <w:autoSpaceDN w:val="0"/>
        <w:adjustRightInd w:val="0"/>
        <w:rPr>
          <w:rFonts w:eastAsia="HelenPro-Regular"/>
        </w:rPr>
      </w:pPr>
      <w:r w:rsidRPr="002578A2">
        <w:rPr>
          <w:rFonts w:eastAsia="HelenPro-Regular"/>
        </w:rPr>
        <w:t>For additional information on system and assay technology, refer to</w:t>
      </w:r>
      <w:r w:rsidR="002578A2">
        <w:rPr>
          <w:rFonts w:eastAsia="HelenPro-Regular"/>
        </w:rPr>
        <w:t xml:space="preserve"> </w:t>
      </w:r>
      <w:r w:rsidRPr="002578A2">
        <w:rPr>
          <w:rFonts w:eastAsia="HelenPro-Regular"/>
        </w:rPr>
        <w:t>the ARCHITECT System Operations Manual, Section 3.</w:t>
      </w:r>
    </w:p>
    <w:p w:rsidR="00DE1362" w:rsidRDefault="00DE1362" w:rsidP="006559EB">
      <w:pPr>
        <w:rPr>
          <w:b/>
          <w:sz w:val="28"/>
          <w:szCs w:val="28"/>
        </w:rPr>
      </w:pPr>
    </w:p>
    <w:p w:rsidR="003C5BC8" w:rsidRDefault="003C5BC8" w:rsidP="006559EB">
      <w:pPr>
        <w:rPr>
          <w:b/>
          <w:sz w:val="28"/>
          <w:szCs w:val="28"/>
        </w:rPr>
      </w:pPr>
    </w:p>
    <w:p w:rsidR="003C5BC8" w:rsidRDefault="003C5BC8" w:rsidP="006559EB">
      <w:pPr>
        <w:rPr>
          <w:b/>
          <w:sz w:val="28"/>
          <w:szCs w:val="28"/>
        </w:rPr>
      </w:pPr>
    </w:p>
    <w:p w:rsidR="003C5BC8" w:rsidRDefault="003C5BC8"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lastRenderedPageBreak/>
        <w:t>Suitable Specimens</w:t>
      </w:r>
    </w:p>
    <w:p w:rsidR="00924391" w:rsidRDefault="00BA3154" w:rsidP="00470CE6">
      <w:pPr>
        <w:autoSpaceDE w:val="0"/>
        <w:autoSpaceDN w:val="0"/>
        <w:adjustRightInd w:val="0"/>
        <w:ind w:firstLine="360"/>
        <w:rPr>
          <w:rFonts w:eastAsia="HelenPro-Regular"/>
        </w:rPr>
      </w:pPr>
      <w:r>
        <w:rPr>
          <w:noProof/>
        </w:rPr>
        <w:drawing>
          <wp:inline distT="0" distB="0" distL="0" distR="0" wp14:anchorId="62C2DAED" wp14:editId="35DE9798">
            <wp:extent cx="4229100" cy="16668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29100" cy="1666875"/>
                    </a:xfrm>
                    <a:prstGeom prst="rect">
                      <a:avLst/>
                    </a:prstGeom>
                  </pic:spPr>
                </pic:pic>
              </a:graphicData>
            </a:graphic>
          </wp:inline>
        </w:drawing>
      </w:r>
      <w:r w:rsidR="00924391" w:rsidRPr="00470CE6">
        <w:rPr>
          <w:rFonts w:eastAsia="HelenPro-Regular"/>
        </w:rPr>
        <w:t xml:space="preserve"> </w:t>
      </w:r>
    </w:p>
    <w:p w:rsidR="00924391" w:rsidRPr="00BA3154" w:rsidRDefault="00924391" w:rsidP="00BA3154">
      <w:pPr>
        <w:autoSpaceDE w:val="0"/>
        <w:autoSpaceDN w:val="0"/>
        <w:adjustRightInd w:val="0"/>
        <w:ind w:left="360"/>
        <w:rPr>
          <w:rFonts w:eastAsia="HelenPro-Regular"/>
        </w:rPr>
      </w:pPr>
      <w:r w:rsidRPr="00BA3154">
        <w:rPr>
          <w:rFonts w:eastAsia="HelenPro-Regular"/>
        </w:rPr>
        <w:t>.</w:t>
      </w:r>
      <w:r w:rsidR="00BA3154" w:rsidRPr="00BA3154">
        <w:rPr>
          <w:rFonts w:eastAsia="HelenPro-Bold"/>
          <w:b/>
          <w:bCs/>
        </w:rPr>
        <w:t xml:space="preserve"> • </w:t>
      </w:r>
      <w:r w:rsidR="00BA3154" w:rsidRPr="00BA3154">
        <w:rPr>
          <w:rFonts w:eastAsia="HelenPro-Regular"/>
        </w:rPr>
        <w:t>Liquid anticoagulants may have a dil</w:t>
      </w:r>
      <w:r w:rsidR="00BA3154">
        <w:rPr>
          <w:rFonts w:eastAsia="HelenPro-Regular"/>
        </w:rPr>
        <w:t xml:space="preserve">ution effect resulting in lower </w:t>
      </w:r>
      <w:r w:rsidR="00BA3154" w:rsidRPr="00BA3154">
        <w:rPr>
          <w:rFonts w:eastAsia="HelenPro-Regular"/>
        </w:rPr>
        <w:t>concentrations for individual patient specimens</w:t>
      </w:r>
    </w:p>
    <w:p w:rsidR="00AA7423" w:rsidRPr="00470CE6" w:rsidRDefault="00AA7423" w:rsidP="00470CE6">
      <w:pPr>
        <w:autoSpaceDE w:val="0"/>
        <w:autoSpaceDN w:val="0"/>
        <w:adjustRightInd w:val="0"/>
        <w:ind w:firstLine="360"/>
        <w:rPr>
          <w:rFonts w:eastAsia="HelenPro-Regular"/>
        </w:rPr>
      </w:pPr>
      <w:r w:rsidRPr="00470CE6">
        <w:rPr>
          <w:rFonts w:eastAsia="HelenPro-Regular"/>
        </w:rPr>
        <w:t>Do not use specimens with the following conditions:</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heat-inactivated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pooled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 xml:space="preserve">grossly </w:t>
      </w:r>
      <w:proofErr w:type="spellStart"/>
      <w:r w:rsidRPr="00AA7423">
        <w:rPr>
          <w:rFonts w:eastAsia="HelenPro-Regular"/>
        </w:rPr>
        <w:t>hemolyzed</w:t>
      </w:r>
      <w:proofErr w:type="spellEnd"/>
      <w:r w:rsidR="00924391">
        <w:rPr>
          <w:rFonts w:eastAsia="HelenPro-Regular"/>
        </w:rPr>
        <w:t xml:space="preserve"> </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obvious microbial contamination</w:t>
      </w:r>
    </w:p>
    <w:p w:rsidR="00AA7423" w:rsidRPr="00470CE6"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cadaver specimens or body fluids other than human serum or</w:t>
      </w:r>
      <w:r w:rsidR="00470CE6">
        <w:rPr>
          <w:rFonts w:eastAsia="HelenPro-Regular"/>
        </w:rPr>
        <w:t xml:space="preserve"> </w:t>
      </w:r>
      <w:r w:rsidRPr="00470CE6">
        <w:rPr>
          <w:rFonts w:eastAsia="HelenPro-Regular"/>
        </w:rPr>
        <w:t>plasma</w:t>
      </w:r>
    </w:p>
    <w:p w:rsidR="00D84ADA" w:rsidRPr="005E48EE" w:rsidRDefault="00D84ADA" w:rsidP="00D70A7B">
      <w:pPr>
        <w:autoSpaceDE w:val="0"/>
        <w:autoSpaceDN w:val="0"/>
        <w:adjustRightInd w:val="0"/>
        <w:rPr>
          <w:rFonts w:eastAsia="HelenPro-Regular"/>
        </w:rPr>
      </w:pPr>
    </w:p>
    <w:p w:rsidR="002C2F49" w:rsidRPr="005E48EE" w:rsidRDefault="002C2F49" w:rsidP="00DC16C5">
      <w:pPr>
        <w:autoSpaceDE w:val="0"/>
        <w:autoSpaceDN w:val="0"/>
        <w:adjustRightInd w:val="0"/>
        <w:rPr>
          <w:rFonts w:eastAsia="HelenPro-Regular"/>
          <w:b/>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DE1362" w:rsidRDefault="00BA3154" w:rsidP="00DE1362">
      <w:pPr>
        <w:autoSpaceDE w:val="0"/>
        <w:autoSpaceDN w:val="0"/>
        <w:adjustRightInd w:val="0"/>
        <w:rPr>
          <w:rFonts w:eastAsia="HelenPro-Bold"/>
          <w:b/>
          <w:bCs/>
        </w:rPr>
      </w:pPr>
      <w:r>
        <w:rPr>
          <w:noProof/>
        </w:rPr>
        <w:drawing>
          <wp:inline distT="0" distB="0" distL="0" distR="0" wp14:anchorId="5F85AD0F" wp14:editId="7273417B">
            <wp:extent cx="4257675" cy="9715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57675" cy="971550"/>
                    </a:xfrm>
                    <a:prstGeom prst="rect">
                      <a:avLst/>
                    </a:prstGeom>
                  </pic:spPr>
                </pic:pic>
              </a:graphicData>
            </a:graphic>
          </wp:inline>
        </w:drawing>
      </w:r>
    </w:p>
    <w:p w:rsidR="00BA3154" w:rsidRPr="00BA3154" w:rsidRDefault="00BA3154" w:rsidP="00BA3154">
      <w:pPr>
        <w:autoSpaceDE w:val="0"/>
        <w:autoSpaceDN w:val="0"/>
        <w:adjustRightInd w:val="0"/>
        <w:rPr>
          <w:rFonts w:eastAsia="HelenPro-Regular"/>
        </w:rPr>
      </w:pPr>
      <w:r w:rsidRPr="00BA3154">
        <w:rPr>
          <w:rFonts w:eastAsia="HelenPro-Regular"/>
        </w:rPr>
        <w:t>Specimens may be stored on or off the</w:t>
      </w:r>
      <w:r>
        <w:rPr>
          <w:rFonts w:eastAsia="HelenPro-Regular"/>
        </w:rPr>
        <w:t xml:space="preserve"> clot or red blood cells for up </w:t>
      </w:r>
      <w:r w:rsidRPr="00BA3154">
        <w:rPr>
          <w:rFonts w:eastAsia="HelenPro-Regular"/>
        </w:rPr>
        <w:t>to two days at room temperature.</w:t>
      </w:r>
    </w:p>
    <w:p w:rsidR="00BA3154" w:rsidRPr="00BA3154" w:rsidRDefault="00BA3154" w:rsidP="00BA3154">
      <w:pPr>
        <w:autoSpaceDE w:val="0"/>
        <w:autoSpaceDN w:val="0"/>
        <w:adjustRightInd w:val="0"/>
        <w:rPr>
          <w:rFonts w:eastAsia="HelenPro-Regular"/>
        </w:rPr>
      </w:pPr>
      <w:r w:rsidRPr="00BA3154">
        <w:rPr>
          <w:rFonts w:eastAsia="HelenPro-Regular"/>
        </w:rPr>
        <w:t>Specimens removed from the clot o</w:t>
      </w:r>
      <w:r>
        <w:rPr>
          <w:rFonts w:eastAsia="HelenPro-Regular"/>
        </w:rPr>
        <w:t xml:space="preserve">r red blood cells may be stored </w:t>
      </w:r>
      <w:r w:rsidRPr="00BA3154">
        <w:rPr>
          <w:rFonts w:eastAsia="HelenPro-Regular"/>
        </w:rPr>
        <w:t>up to eight days refrigerated at 2-8°C.</w:t>
      </w:r>
    </w:p>
    <w:p w:rsidR="00BA3154" w:rsidRPr="00BA3154" w:rsidRDefault="00BA3154" w:rsidP="00BA3154">
      <w:pPr>
        <w:autoSpaceDE w:val="0"/>
        <w:autoSpaceDN w:val="0"/>
        <w:adjustRightInd w:val="0"/>
        <w:rPr>
          <w:rFonts w:eastAsia="HelenPro-Regular"/>
        </w:rPr>
      </w:pPr>
      <w:r w:rsidRPr="00BA3154">
        <w:rPr>
          <w:rFonts w:eastAsia="HelenPro-Regular"/>
        </w:rPr>
        <w:t>Serum or plasma specimens can be s</w:t>
      </w:r>
      <w:r>
        <w:rPr>
          <w:rFonts w:eastAsia="HelenPro-Regular"/>
        </w:rPr>
        <w:t xml:space="preserve">tored up to six months at -20°C </w:t>
      </w:r>
      <w:r w:rsidRPr="00BA3154">
        <w:rPr>
          <w:rFonts w:eastAsia="HelenPro-Regular"/>
        </w:rPr>
        <w:t>or colder</w:t>
      </w:r>
      <w:r>
        <w:rPr>
          <w:rFonts w:ascii="HelenPro-Regular" w:eastAsia="HelenPro-Regular" w:cs="HelenPro-Regular"/>
          <w:sz w:val="17"/>
          <w:szCs w:val="17"/>
        </w:rPr>
        <w:t>.</w:t>
      </w:r>
    </w:p>
    <w:p w:rsidR="00BA3154" w:rsidRDefault="00BA3154" w:rsidP="00DE136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2578A2" w:rsidRDefault="002578A2" w:rsidP="00973EAF">
      <w:pPr>
        <w:ind w:firstLine="720"/>
        <w:rPr>
          <w:b/>
        </w:rPr>
      </w:pPr>
    </w:p>
    <w:p w:rsidR="002578A2" w:rsidRDefault="002578A2"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A062F7" w:rsidRPr="00BA3154" w:rsidRDefault="00BA3154" w:rsidP="00973EAF">
      <w:pPr>
        <w:ind w:firstLine="720"/>
        <w:rPr>
          <w:b/>
        </w:rPr>
      </w:pPr>
      <w:r w:rsidRPr="00BA3154">
        <w:rPr>
          <w:rFonts w:eastAsia="HelenPro-Regular"/>
        </w:rPr>
        <w:t xml:space="preserve">1P33 ARCHITECT </w:t>
      </w:r>
      <w:proofErr w:type="spellStart"/>
      <w:r w:rsidR="008F68DC" w:rsidRPr="00F43503">
        <w:rPr>
          <w:rFonts w:eastAsia="HelenPro-Regular"/>
          <w:i/>
        </w:rPr>
        <w:t>i</w:t>
      </w:r>
      <w:proofErr w:type="spellEnd"/>
      <w:r w:rsidR="008F68DC">
        <w:rPr>
          <w:rFonts w:eastAsia="HelenPro-Regular"/>
        </w:rPr>
        <w:t xml:space="preserve"> Phenobarbital </w:t>
      </w:r>
      <w:r w:rsidRPr="00BA3154">
        <w:rPr>
          <w:rFonts w:eastAsia="HelenPro-Regular"/>
        </w:rPr>
        <w:t>Reagent Kit</w:t>
      </w:r>
    </w:p>
    <w:p w:rsidR="003D1558" w:rsidRDefault="003D1558"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lastRenderedPageBreak/>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F43503" w:rsidRPr="00F43503">
        <w:rPr>
          <w:rFonts w:eastAsia="HelenPro-Regular"/>
          <w:i/>
        </w:rPr>
        <w:t>i</w:t>
      </w:r>
      <w:proofErr w:type="spellEnd"/>
      <w:r w:rsidR="00F43503">
        <w:rPr>
          <w:rFonts w:eastAsia="HelenPro-Regular"/>
        </w:rPr>
        <w:t xml:space="preserve"> Phenobarbital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835A84" w:rsidRPr="00924391" w:rsidRDefault="00835A84" w:rsidP="00835A84">
      <w:pPr>
        <w:autoSpaceDE w:val="0"/>
        <w:autoSpaceDN w:val="0"/>
        <w:adjustRightInd w:val="0"/>
        <w:rPr>
          <w:rFonts w:eastAsia="HelenPro-Regular"/>
        </w:rPr>
      </w:pPr>
      <w:r w:rsidRPr="00924391">
        <w:rPr>
          <w:rFonts w:eastAsia="HelenPro-Bold"/>
          <w:b/>
          <w:bCs/>
        </w:rPr>
        <w:t>•</w:t>
      </w:r>
      <w:r w:rsidRPr="00924391">
        <w:rPr>
          <w:rFonts w:eastAsia="HelenPro-Regular"/>
        </w:rPr>
        <w:t xml:space="preserve"> </w:t>
      </w:r>
      <w:r w:rsidR="00BA3154" w:rsidRPr="00BA3154">
        <w:rPr>
          <w:rFonts w:eastAsia="HelenPro-Regular"/>
        </w:rPr>
        <w:t xml:space="preserve">1P33-01 ARCHITECT </w:t>
      </w:r>
      <w:proofErr w:type="spellStart"/>
      <w:r w:rsidR="008F68DC" w:rsidRPr="00F43503">
        <w:rPr>
          <w:rFonts w:eastAsia="HelenPro-Regular"/>
          <w:i/>
        </w:rPr>
        <w:t>i</w:t>
      </w:r>
      <w:proofErr w:type="spellEnd"/>
      <w:r w:rsidR="008F68DC">
        <w:rPr>
          <w:rFonts w:eastAsia="HelenPro-Regular"/>
        </w:rPr>
        <w:t xml:space="preserve"> Phenobarbital </w:t>
      </w:r>
      <w:r w:rsidR="00BA3154" w:rsidRPr="00BA3154">
        <w:rPr>
          <w:rFonts w:eastAsia="HelenPro-Regular"/>
        </w:rPr>
        <w:t>Calibrators</w:t>
      </w:r>
    </w:p>
    <w:p w:rsidR="00835A84" w:rsidRPr="00835A84" w:rsidRDefault="00835A84" w:rsidP="00835A84">
      <w:pPr>
        <w:autoSpaceDE w:val="0"/>
        <w:autoSpaceDN w:val="0"/>
        <w:adjustRightInd w:val="0"/>
        <w:rPr>
          <w:rFonts w:eastAsia="HelenPro-Bold"/>
          <w:b/>
          <w:bCs/>
        </w:rPr>
      </w:pPr>
      <w:r w:rsidRPr="00835A84">
        <w:rPr>
          <w:rFonts w:eastAsia="HelenPro-Bold"/>
          <w:b/>
          <w:bCs/>
        </w:rPr>
        <w:t>•</w:t>
      </w:r>
      <w:r w:rsidRPr="00835A84">
        <w:rPr>
          <w:rFonts w:eastAsia="HelenPro-Regular"/>
        </w:rPr>
        <w:t xml:space="preserve"> Commercially available control material </w:t>
      </w:r>
    </w:p>
    <w:p w:rsidR="008036AC" w:rsidRPr="00B54C79" w:rsidRDefault="00B54C79" w:rsidP="00835A84">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38442D" w:rsidRDefault="00BA3154" w:rsidP="00DC16C5">
      <w:pPr>
        <w:autoSpaceDE w:val="0"/>
        <w:autoSpaceDN w:val="0"/>
        <w:adjustRightInd w:val="0"/>
        <w:rPr>
          <w:rFonts w:eastAsia="HelenPro-Regular"/>
        </w:rPr>
      </w:pPr>
      <w:r>
        <w:rPr>
          <w:noProof/>
        </w:rPr>
        <w:drawing>
          <wp:inline distT="0" distB="0" distL="0" distR="0" wp14:anchorId="416634A5" wp14:editId="27C4289F">
            <wp:extent cx="4219575" cy="26670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9575" cy="2667000"/>
                    </a:xfrm>
                    <a:prstGeom prst="rect">
                      <a:avLst/>
                    </a:prstGeom>
                  </pic:spPr>
                </pic:pic>
              </a:graphicData>
            </a:graphic>
          </wp:inline>
        </w:drawing>
      </w:r>
    </w:p>
    <w:p w:rsidR="00BA3154" w:rsidRDefault="00BA3154" w:rsidP="00DC16C5">
      <w:pPr>
        <w:autoSpaceDE w:val="0"/>
        <w:autoSpaceDN w:val="0"/>
        <w:adjustRightInd w:val="0"/>
        <w:rPr>
          <w:rFonts w:eastAsia="HelenPro-Regular"/>
        </w:rPr>
      </w:pPr>
      <w:r>
        <w:rPr>
          <w:noProof/>
        </w:rPr>
        <w:lastRenderedPageBreak/>
        <w:drawing>
          <wp:inline distT="0" distB="0" distL="0" distR="0" wp14:anchorId="24E5DD11" wp14:editId="483C2053">
            <wp:extent cx="4229100" cy="17811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29100" cy="1781175"/>
                    </a:xfrm>
                    <a:prstGeom prst="rect">
                      <a:avLst/>
                    </a:prstGeom>
                  </pic:spPr>
                </pic:pic>
              </a:graphicData>
            </a:graphic>
          </wp:inline>
        </w:drawing>
      </w:r>
    </w:p>
    <w:p w:rsidR="00924391" w:rsidRDefault="00924391" w:rsidP="00DC16C5">
      <w:pPr>
        <w:autoSpaceDE w:val="0"/>
        <w:autoSpaceDN w:val="0"/>
        <w:adjustRightInd w:val="0"/>
        <w:rPr>
          <w:rFonts w:eastAsia="HelenPro-Regular"/>
        </w:rPr>
      </w:pPr>
    </w:p>
    <w:p w:rsidR="00924391" w:rsidRPr="00DC16C5" w:rsidRDefault="00924391" w:rsidP="00DC16C5">
      <w:pPr>
        <w:autoSpaceDE w:val="0"/>
        <w:autoSpaceDN w:val="0"/>
        <w:adjustRightInd w:val="0"/>
        <w:rPr>
          <w:rFonts w:eastAsia="HelenPro-Regular"/>
        </w:rPr>
      </w:pPr>
      <w:r w:rsidRPr="00924391">
        <w:rPr>
          <w:noProof/>
        </w:rPr>
        <w:t xml:space="preserve"> </w:t>
      </w:r>
    </w:p>
    <w:p w:rsidR="00B54C79" w:rsidRDefault="00B54C79" w:rsidP="0038442D">
      <w:pPr>
        <w:autoSpaceDE w:val="0"/>
        <w:autoSpaceDN w:val="0"/>
        <w:adjustRightInd w:val="0"/>
        <w:rPr>
          <w:rFonts w:eastAsia="HelenPro-Bold"/>
          <w:b/>
          <w:bCs/>
        </w:rPr>
      </w:pPr>
    </w:p>
    <w:p w:rsidR="00835A84" w:rsidRDefault="00835A84"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BA3154" w:rsidRDefault="00BA3154" w:rsidP="00BA3154">
      <w:pPr>
        <w:pStyle w:val="ListParagraph"/>
        <w:autoSpaceDE w:val="0"/>
        <w:autoSpaceDN w:val="0"/>
        <w:adjustRightInd w:val="0"/>
        <w:rPr>
          <w:rFonts w:eastAsia="HelenPro-Regular"/>
        </w:rPr>
      </w:pPr>
      <w:r>
        <w:rPr>
          <w:noProof/>
        </w:rPr>
        <w:drawing>
          <wp:inline distT="0" distB="0" distL="0" distR="0" wp14:anchorId="1E4217C7" wp14:editId="6896F24D">
            <wp:extent cx="3646968" cy="231029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46584" cy="2310054"/>
                    </a:xfrm>
                    <a:prstGeom prst="rect">
                      <a:avLst/>
                    </a:prstGeom>
                  </pic:spPr>
                </pic:pic>
              </a:graphicData>
            </a:graphic>
          </wp:inline>
        </w:drawing>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lastRenderedPageBreak/>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BA3154" w:rsidP="009F648F">
      <w:pPr>
        <w:pStyle w:val="txt"/>
        <w:ind w:left="0"/>
        <w:rPr>
          <w:sz w:val="24"/>
          <w:szCs w:val="24"/>
        </w:rPr>
      </w:pPr>
      <w:r>
        <w:rPr>
          <w:noProof/>
        </w:rPr>
        <w:drawing>
          <wp:inline distT="0" distB="0" distL="0" distR="0" wp14:anchorId="4CD3A211" wp14:editId="6DFD5092">
            <wp:extent cx="3880884" cy="2317898"/>
            <wp:effectExtent l="0" t="0" r="571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83325" cy="2319356"/>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81500" cy="1590675"/>
                    </a:xfrm>
                    <a:prstGeom prst="rect">
                      <a:avLst/>
                    </a:prstGeom>
                  </pic:spPr>
                </pic:pic>
              </a:graphicData>
            </a:graphic>
          </wp:inline>
        </w:drawing>
      </w:r>
    </w:p>
    <w:p w:rsidR="00507B0C" w:rsidRPr="00BA3154" w:rsidRDefault="00B36577" w:rsidP="00BA3154">
      <w:pPr>
        <w:autoSpaceDE w:val="0"/>
        <w:autoSpaceDN w:val="0"/>
        <w:adjustRightInd w:val="0"/>
      </w:pPr>
      <w:r w:rsidRPr="00100BF8">
        <w:rPr>
          <w:b/>
        </w:rPr>
        <w:t>Calibrator:</w:t>
      </w:r>
      <w:r w:rsidRPr="00100BF8">
        <w:t xml:space="preserve">  </w:t>
      </w:r>
      <w:r w:rsidR="00BA3154" w:rsidRPr="00BA3154">
        <w:rPr>
          <w:rFonts w:eastAsia="HelenPro-Regular"/>
        </w:rPr>
        <w:t xml:space="preserve">1P33-01 ARCHITECT </w:t>
      </w:r>
      <w:proofErr w:type="spellStart"/>
      <w:r w:rsidR="008F68DC" w:rsidRPr="00F43503">
        <w:rPr>
          <w:rFonts w:eastAsia="HelenPro-Regular"/>
          <w:i/>
        </w:rPr>
        <w:t>i</w:t>
      </w:r>
      <w:proofErr w:type="spellEnd"/>
      <w:r w:rsidR="008F68DC">
        <w:rPr>
          <w:rFonts w:eastAsia="HelenPro-Regular"/>
        </w:rPr>
        <w:t xml:space="preserve"> Phenobarbital </w:t>
      </w:r>
      <w:r w:rsidR="00BA3154" w:rsidRPr="00BA3154">
        <w:rPr>
          <w:rFonts w:eastAsia="HelenPro-Regular"/>
        </w:rPr>
        <w:t>Calibrators</w:t>
      </w:r>
    </w:p>
    <w:p w:rsidR="00BA3154" w:rsidRDefault="00BA3154" w:rsidP="00973EAF">
      <w:pPr>
        <w:spacing w:after="43"/>
        <w:rPr>
          <w:b/>
        </w:rPr>
      </w:pPr>
    </w:p>
    <w:p w:rsidR="00973EAF" w:rsidRPr="00973EAF" w:rsidRDefault="00B36577" w:rsidP="00973EAF">
      <w:pPr>
        <w:spacing w:after="43"/>
        <w:rPr>
          <w:i/>
          <w:color w:val="FF0000"/>
          <w:szCs w:val="15"/>
        </w:rPr>
      </w:pPr>
      <w:r w:rsidRPr="00AA7423">
        <w:rPr>
          <w:b/>
        </w:rPr>
        <w:t>Quality Control:</w:t>
      </w:r>
      <w:r w:rsidR="00CA11D0" w:rsidRPr="00AA7423">
        <w:t xml:space="preserve">  </w:t>
      </w:r>
      <w:r w:rsidR="00835A84">
        <w:rPr>
          <w:rFonts w:eastAsia="HelenPro-Regular"/>
        </w:rPr>
        <w:t>Commercially available controls</w:t>
      </w:r>
    </w:p>
    <w:p w:rsidR="0025031C" w:rsidRPr="00162EEA" w:rsidRDefault="0025031C" w:rsidP="00470CE6">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lastRenderedPageBreak/>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DE1362" w:rsidRDefault="00BA3154" w:rsidP="004F5F8A">
      <w:pPr>
        <w:ind w:firstLine="720"/>
        <w:rPr>
          <w:b/>
        </w:rPr>
      </w:pPr>
      <w:r w:rsidRPr="00BA3154">
        <w:rPr>
          <w:rFonts w:eastAsia="HelenPro-Regular"/>
        </w:rPr>
        <w:t xml:space="preserve">1P33-01 ARCHITECT </w:t>
      </w:r>
      <w:proofErr w:type="spellStart"/>
      <w:r w:rsidR="00F43503" w:rsidRPr="00F43503">
        <w:rPr>
          <w:rFonts w:eastAsia="HelenPro-Regular"/>
          <w:i/>
        </w:rPr>
        <w:t>i</w:t>
      </w:r>
      <w:proofErr w:type="spellEnd"/>
      <w:r w:rsidR="00F43503">
        <w:rPr>
          <w:rFonts w:eastAsia="HelenPro-Regular"/>
        </w:rPr>
        <w:t xml:space="preserve"> Phenobarbital </w:t>
      </w:r>
      <w:r w:rsidRPr="00BA3154">
        <w:rPr>
          <w:rFonts w:eastAsia="HelenPro-Regular"/>
        </w:rPr>
        <w:t>Calibrators</w:t>
      </w:r>
    </w:p>
    <w:p w:rsidR="00BA3154" w:rsidRDefault="00BA3154" w:rsidP="004F5F8A">
      <w:pPr>
        <w:ind w:firstLine="720"/>
        <w:rPr>
          <w:b/>
        </w:rPr>
      </w:pPr>
    </w:p>
    <w:p w:rsidR="0025031C" w:rsidRPr="0025031C" w:rsidRDefault="0025031C" w:rsidP="004F5F8A">
      <w:pPr>
        <w:ind w:firstLine="720"/>
        <w:rPr>
          <w:b/>
        </w:rPr>
      </w:pPr>
      <w:r w:rsidRPr="0025031C">
        <w:rPr>
          <w:b/>
        </w:rPr>
        <w:t>Reagents:</w:t>
      </w:r>
    </w:p>
    <w:p w:rsidR="00941AE5" w:rsidRPr="002578A2" w:rsidRDefault="002578A2" w:rsidP="002578A2">
      <w:pPr>
        <w:autoSpaceDE w:val="0"/>
        <w:autoSpaceDN w:val="0"/>
        <w:adjustRightInd w:val="0"/>
        <w:ind w:left="720"/>
        <w:rPr>
          <w:rFonts w:eastAsia="HelenPro-Regular"/>
        </w:rPr>
      </w:pPr>
      <w:r w:rsidRPr="002578A2">
        <w:rPr>
          <w:rFonts w:eastAsia="HelenPro-Regular"/>
        </w:rPr>
        <w:t xml:space="preserve">6 Bottles (4 mL each) of ARCHITECT </w:t>
      </w:r>
      <w:proofErr w:type="spellStart"/>
      <w:r w:rsidRPr="002578A2">
        <w:rPr>
          <w:rFonts w:eastAsia="HelenPro-Regular"/>
          <w:i/>
          <w:iCs/>
        </w:rPr>
        <w:t>i</w:t>
      </w:r>
      <w:proofErr w:type="spellEnd"/>
      <w:r w:rsidRPr="002578A2">
        <w:rPr>
          <w:rFonts w:eastAsia="HelenPro-Regular"/>
          <w:i/>
          <w:iCs/>
        </w:rPr>
        <w:t xml:space="preserve"> </w:t>
      </w:r>
      <w:r w:rsidRPr="002578A2">
        <w:rPr>
          <w:rFonts w:eastAsia="HelenPro-Regular"/>
        </w:rPr>
        <w:t>Phenobarbital Calibrators. Calibrator A</w:t>
      </w:r>
      <w:r>
        <w:rPr>
          <w:rFonts w:eastAsia="HelenPro-Regular"/>
        </w:rPr>
        <w:t xml:space="preserve"> </w:t>
      </w:r>
      <w:r w:rsidRPr="002578A2">
        <w:rPr>
          <w:rFonts w:eastAsia="HelenPro-Regular"/>
        </w:rPr>
        <w:t>contains hum</w:t>
      </w:r>
      <w:r>
        <w:rPr>
          <w:rFonts w:eastAsia="HelenPro-Regular"/>
        </w:rPr>
        <w:t xml:space="preserve">an serum. Calibrators B-F </w:t>
      </w:r>
      <w:r w:rsidRPr="002578A2">
        <w:rPr>
          <w:rFonts w:eastAsia="HelenPro-Regular"/>
        </w:rPr>
        <w:t>contain</w:t>
      </w:r>
      <w:r>
        <w:rPr>
          <w:rFonts w:eastAsia="HelenPro-Regular"/>
        </w:rPr>
        <w:t xml:space="preserve"> </w:t>
      </w:r>
      <w:r w:rsidRPr="002578A2">
        <w:rPr>
          <w:rFonts w:eastAsia="HelenPro-Regular"/>
        </w:rPr>
        <w:t xml:space="preserve">phenobarbital in human serum. Preservative: sodium </w:t>
      </w:r>
      <w:proofErr w:type="spellStart"/>
      <w:r w:rsidRPr="002578A2">
        <w:rPr>
          <w:rFonts w:eastAsia="HelenPro-Regular"/>
        </w:rPr>
        <w:t>azide</w:t>
      </w:r>
      <w:proofErr w:type="spellEnd"/>
      <w:r w:rsidRPr="002578A2">
        <w:rPr>
          <w:rFonts w:eastAsia="HelenPro-Regular"/>
        </w:rPr>
        <w:t>.</w:t>
      </w:r>
    </w:p>
    <w:p w:rsidR="002578A2" w:rsidRDefault="002578A2" w:rsidP="00F3700B">
      <w:pPr>
        <w:ind w:left="720"/>
        <w:rPr>
          <w:b/>
        </w:rPr>
      </w:pPr>
    </w:p>
    <w:p w:rsidR="00F3700B" w:rsidRPr="002578A2" w:rsidRDefault="0037463A" w:rsidP="00F3700B">
      <w:pPr>
        <w:ind w:left="720"/>
        <w:rPr>
          <w:b/>
        </w:rPr>
      </w:pPr>
      <w:r w:rsidRPr="002578A2">
        <w:rPr>
          <w:b/>
        </w:rPr>
        <w:t xml:space="preserve">Calibrator Preparation: </w:t>
      </w:r>
    </w:p>
    <w:p w:rsidR="002578A2" w:rsidRPr="002578A2" w:rsidRDefault="002578A2" w:rsidP="002578A2">
      <w:pPr>
        <w:autoSpaceDE w:val="0"/>
        <w:autoSpaceDN w:val="0"/>
        <w:adjustRightInd w:val="0"/>
        <w:ind w:left="720"/>
        <w:rPr>
          <w:rFonts w:eastAsia="HelenPro-Regular"/>
        </w:rPr>
      </w:pPr>
      <w:r w:rsidRPr="002578A2">
        <w:rPr>
          <w:rFonts w:eastAsia="HelenPro-Bold"/>
          <w:b/>
          <w:bCs/>
        </w:rPr>
        <w:t xml:space="preserve">• </w:t>
      </w:r>
      <w:r w:rsidRPr="002578A2">
        <w:rPr>
          <w:rFonts w:eastAsia="HelenPro-Regular"/>
        </w:rPr>
        <w:t>Calibrators may be used immed</w:t>
      </w:r>
      <w:r>
        <w:rPr>
          <w:rFonts w:eastAsia="HelenPro-Regular"/>
        </w:rPr>
        <w:t xml:space="preserve">iately after removal from 2-8°C </w:t>
      </w:r>
      <w:r w:rsidRPr="002578A2">
        <w:rPr>
          <w:rFonts w:eastAsia="HelenPro-Regular"/>
        </w:rPr>
        <w:t>storage.</w:t>
      </w:r>
    </w:p>
    <w:p w:rsidR="00887473" w:rsidRPr="002578A2" w:rsidRDefault="002578A2" w:rsidP="002578A2">
      <w:pPr>
        <w:autoSpaceDE w:val="0"/>
        <w:autoSpaceDN w:val="0"/>
        <w:adjustRightInd w:val="0"/>
        <w:ind w:left="720"/>
        <w:rPr>
          <w:rFonts w:eastAsia="HelenPro-Regular"/>
        </w:rPr>
      </w:pPr>
      <w:r w:rsidRPr="002578A2">
        <w:rPr>
          <w:rFonts w:eastAsia="HelenPro-Bold"/>
          <w:b/>
          <w:bCs/>
        </w:rPr>
        <w:t xml:space="preserve">• </w:t>
      </w:r>
      <w:r w:rsidRPr="002578A2">
        <w:rPr>
          <w:rFonts w:eastAsia="HelenPro-Regular"/>
        </w:rPr>
        <w:t>Prior to use, mix by gentle inversion (5-10 times). After each use, tightly</w:t>
      </w:r>
      <w:r>
        <w:rPr>
          <w:rFonts w:eastAsia="HelenPro-Regular"/>
        </w:rPr>
        <w:t xml:space="preserve"> </w:t>
      </w:r>
      <w:r w:rsidRPr="002578A2">
        <w:rPr>
          <w:rFonts w:eastAsia="HelenPro-Regular"/>
        </w:rPr>
        <w:t>close the caps and return the calibrators to 2-8°C storage.</w:t>
      </w:r>
    </w:p>
    <w:p w:rsidR="002578A2" w:rsidRDefault="002578A2" w:rsidP="00AD402C">
      <w:pPr>
        <w:ind w:firstLine="720"/>
        <w:rPr>
          <w:b/>
        </w:rPr>
      </w:pPr>
    </w:p>
    <w:p w:rsidR="004F5F8A" w:rsidRPr="002578A2" w:rsidRDefault="0025031C" w:rsidP="00AD402C">
      <w:pPr>
        <w:ind w:firstLine="720"/>
        <w:rPr>
          <w:b/>
        </w:rPr>
      </w:pPr>
      <w:r w:rsidRPr="002578A2">
        <w:rPr>
          <w:b/>
        </w:rPr>
        <w:t>Calibration Procedure:</w:t>
      </w:r>
      <w:r w:rsidR="0006502B" w:rsidRPr="002578A2">
        <w:rPr>
          <w:b/>
        </w:rPr>
        <w:t xml:space="preserve"> </w:t>
      </w:r>
    </w:p>
    <w:p w:rsidR="0050716A" w:rsidRPr="002578A2" w:rsidRDefault="0050716A" w:rsidP="002578A2">
      <w:pPr>
        <w:autoSpaceDE w:val="0"/>
        <w:autoSpaceDN w:val="0"/>
        <w:adjustRightInd w:val="0"/>
        <w:ind w:left="720"/>
        <w:rPr>
          <w:rFonts w:eastAsia="HelenPro-Regular"/>
        </w:rPr>
      </w:pPr>
      <w:r w:rsidRPr="002578A2">
        <w:rPr>
          <w:rFonts w:eastAsia="HelenPro-Bold"/>
          <w:b/>
          <w:bCs/>
        </w:rPr>
        <w:t xml:space="preserve">• </w:t>
      </w:r>
      <w:r w:rsidRPr="002578A2">
        <w:rPr>
          <w:rFonts w:eastAsia="HelenPro-Regular"/>
        </w:rPr>
        <w:t>Test Calibrators A-F in duplicate. The calibrators should be</w:t>
      </w:r>
      <w:r w:rsidR="002578A2">
        <w:rPr>
          <w:rFonts w:eastAsia="HelenPro-Regular"/>
        </w:rPr>
        <w:t xml:space="preserve"> </w:t>
      </w:r>
      <w:r w:rsidRPr="002578A2">
        <w:rPr>
          <w:rFonts w:eastAsia="HelenPro-Regular"/>
        </w:rPr>
        <w:t>priority loaded.</w:t>
      </w:r>
    </w:p>
    <w:p w:rsidR="0050716A" w:rsidRPr="002578A2" w:rsidRDefault="0050716A" w:rsidP="002578A2">
      <w:pPr>
        <w:autoSpaceDE w:val="0"/>
        <w:autoSpaceDN w:val="0"/>
        <w:adjustRightInd w:val="0"/>
        <w:ind w:left="720"/>
        <w:rPr>
          <w:rFonts w:eastAsia="HelenPro-Regular"/>
        </w:rPr>
      </w:pPr>
      <w:r w:rsidRPr="002578A2">
        <w:rPr>
          <w:rFonts w:eastAsia="HelenPro-Regular"/>
        </w:rPr>
        <w:t>A single sample of each control level must be tested to evaluate</w:t>
      </w:r>
      <w:r w:rsidR="002578A2">
        <w:rPr>
          <w:rFonts w:eastAsia="HelenPro-Regular"/>
        </w:rPr>
        <w:t xml:space="preserve"> </w:t>
      </w:r>
      <w:r w:rsidRPr="002578A2">
        <w:rPr>
          <w:rFonts w:eastAsia="HelenPro-Regular"/>
        </w:rPr>
        <w:t>the assay calibration. Ensure that assay control values are within</w:t>
      </w:r>
      <w:r w:rsidR="002578A2">
        <w:rPr>
          <w:rFonts w:eastAsia="HelenPro-Regular"/>
        </w:rPr>
        <w:t xml:space="preserve"> </w:t>
      </w:r>
      <w:r w:rsidRPr="002578A2">
        <w:rPr>
          <w:rFonts w:eastAsia="HelenPro-Regular"/>
        </w:rPr>
        <w:t>the ranges specified in the respective control package insert.</w:t>
      </w:r>
    </w:p>
    <w:p w:rsidR="0050716A" w:rsidRPr="002578A2" w:rsidRDefault="0050716A" w:rsidP="002578A2">
      <w:pPr>
        <w:autoSpaceDE w:val="0"/>
        <w:autoSpaceDN w:val="0"/>
        <w:adjustRightInd w:val="0"/>
        <w:ind w:left="720" w:firstLine="720"/>
        <w:rPr>
          <w:rFonts w:eastAsia="HelenPro-Regular"/>
        </w:rPr>
      </w:pPr>
      <w:r w:rsidRPr="002578A2">
        <w:rPr>
          <w:rFonts w:eastAsia="HelenPro-Bold"/>
          <w:b/>
          <w:bCs/>
        </w:rPr>
        <w:t xml:space="preserve">• </w:t>
      </w:r>
      <w:r w:rsidRPr="002578A2">
        <w:rPr>
          <w:rFonts w:eastAsia="HelenPro-Regular"/>
        </w:rPr>
        <w:t xml:space="preserve">Calibration Range: 0.0 - 80.00 </w:t>
      </w:r>
      <w:proofErr w:type="spellStart"/>
      <w:r w:rsidRPr="002578A2">
        <w:rPr>
          <w:rFonts w:eastAsia="HelenPro-Regular"/>
        </w:rPr>
        <w:t>μg</w:t>
      </w:r>
      <w:proofErr w:type="spellEnd"/>
      <w:r w:rsidRPr="002578A2">
        <w:rPr>
          <w:rFonts w:eastAsia="HelenPro-Regular"/>
        </w:rPr>
        <w:t>/</w:t>
      </w:r>
      <w:proofErr w:type="spellStart"/>
      <w:r w:rsidRPr="002578A2">
        <w:rPr>
          <w:rFonts w:eastAsia="HelenPro-Regular"/>
        </w:rPr>
        <w:t>mL.</w:t>
      </w:r>
      <w:proofErr w:type="spellEnd"/>
    </w:p>
    <w:p w:rsidR="00470CE6" w:rsidRDefault="0050716A" w:rsidP="0050716A">
      <w:pPr>
        <w:ind w:left="720"/>
        <w:rPr>
          <w:b/>
          <w:bCs/>
        </w:rPr>
      </w:pPr>
      <w:r>
        <w:rPr>
          <w:rFonts w:ascii="HelenPro-Regular" w:eastAsia="HelenPro-Regular" w:cs="HelenPro-Regular"/>
          <w:sz w:val="17"/>
          <w:szCs w:val="17"/>
        </w:rPr>
        <w:t>.</w:t>
      </w: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w:t>
      </w:r>
      <w:r w:rsidR="008F68DC">
        <w:rPr>
          <w:rFonts w:eastAsia="HelenPro-Regular"/>
        </w:rPr>
        <w:t>is</w:t>
      </w:r>
      <w:r w:rsidRPr="006A13AB">
        <w:rPr>
          <w:rFonts w:eastAsia="HelenPro-Regular"/>
        </w:rPr>
        <w:t xml:space="preserv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proofErr w:type="spellStart"/>
      <w:r w:rsidR="00F43503" w:rsidRPr="00F43503">
        <w:rPr>
          <w:rFonts w:eastAsia="HelenPro-Regular"/>
          <w:i/>
        </w:rPr>
        <w:t>i</w:t>
      </w:r>
      <w:proofErr w:type="spellEnd"/>
      <w:r w:rsidR="00F43503">
        <w:rPr>
          <w:rFonts w:eastAsia="HelenPro-Regular"/>
        </w:rPr>
        <w:t xml:space="preserve"> Phenobarbital </w:t>
      </w:r>
      <w:r w:rsidRPr="003356DF">
        <w:rPr>
          <w:rFonts w:eastAsia="HelenPro-Regular"/>
        </w:rPr>
        <w:t xml:space="preserve">assay is designed for use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System.</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proofErr w:type="spellStart"/>
      <w:r w:rsidR="00F43503" w:rsidRPr="00F43503">
        <w:rPr>
          <w:rFonts w:eastAsia="HelenPro-Regular"/>
          <w:i/>
        </w:rPr>
        <w:t>i</w:t>
      </w:r>
      <w:proofErr w:type="spellEnd"/>
      <w:r w:rsidR="00F43503">
        <w:rPr>
          <w:rFonts w:eastAsia="HelenPro-Regular"/>
        </w:rPr>
        <w:t xml:space="preserve"> Phenobarbital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 xml:space="preserve">System Assay CD-ROM prior to performing the assay. For detailed </w:t>
      </w:r>
      <w:r w:rsidR="00470CE6" w:rsidRPr="00470CE6">
        <w:rPr>
          <w:rFonts w:eastAsia="HelenPro-Regular"/>
        </w:rPr>
        <w:lastRenderedPageBreak/>
        <w:t>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BA3154" w:rsidP="002C7FD5">
      <w:pPr>
        <w:rPr>
          <w:b/>
        </w:rPr>
      </w:pPr>
      <w:r>
        <w:rPr>
          <w:noProof/>
        </w:rPr>
        <w:drawing>
          <wp:inline distT="0" distB="0" distL="0" distR="0" wp14:anchorId="389611E4" wp14:editId="5E4FD1FD">
            <wp:extent cx="4286250" cy="34004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86250" cy="3400425"/>
                    </a:xfrm>
                    <a:prstGeom prst="rect">
                      <a:avLst/>
                    </a:prstGeom>
                  </pic:spPr>
                </pic:pic>
              </a:graphicData>
            </a:graphic>
          </wp:inline>
        </w:drawing>
      </w:r>
    </w:p>
    <w:p w:rsidR="003356DF" w:rsidRDefault="003356DF" w:rsidP="002C7FD5">
      <w:pPr>
        <w:rPr>
          <w:b/>
        </w:rPr>
      </w:pPr>
      <w:r>
        <w:rPr>
          <w:noProof/>
        </w:rPr>
        <w:drawing>
          <wp:inline distT="0" distB="0" distL="0" distR="0" wp14:anchorId="235BE292" wp14:editId="50D1C22D">
            <wp:extent cx="4253024" cy="116958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b="41464"/>
                    <a:stretch/>
                  </pic:blipFill>
                  <pic:spPr bwMode="auto">
                    <a:xfrm>
                      <a:off x="0" y="0"/>
                      <a:ext cx="4257675" cy="1170860"/>
                    </a:xfrm>
                    <a:prstGeom prst="rect">
                      <a:avLst/>
                    </a:prstGeom>
                    <a:ln>
                      <a:noFill/>
                    </a:ln>
                    <a:extLst>
                      <a:ext uri="{53640926-AAD7-44D8-BBD7-CCE9431645EC}">
                        <a14:shadowObscured xmlns:a14="http://schemas.microsoft.com/office/drawing/2010/main"/>
                      </a:ext>
                    </a:extLst>
                  </pic:spPr>
                </pic:pic>
              </a:graphicData>
            </a:graphic>
          </wp:inline>
        </w:drawing>
      </w:r>
    </w:p>
    <w:p w:rsidR="00FA706C" w:rsidRDefault="00BA3154" w:rsidP="002C7FD5">
      <w:pPr>
        <w:rPr>
          <w:b/>
        </w:rPr>
      </w:pPr>
      <w:r>
        <w:rPr>
          <w:noProof/>
        </w:rPr>
        <w:lastRenderedPageBreak/>
        <w:drawing>
          <wp:inline distT="0" distB="0" distL="0" distR="0" wp14:anchorId="241B6FD8" wp14:editId="1B2834D3">
            <wp:extent cx="3997842" cy="4242391"/>
            <wp:effectExtent l="0" t="0" r="317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02214" cy="4247031"/>
                    </a:xfrm>
                    <a:prstGeom prst="rect">
                      <a:avLst/>
                    </a:prstGeom>
                  </pic:spPr>
                </pic:pic>
              </a:graphicData>
            </a:graphic>
          </wp:inline>
        </w:drawing>
      </w:r>
    </w:p>
    <w:p w:rsidR="005B1BF7" w:rsidRDefault="005B1BF7" w:rsidP="002C7FD5">
      <w:pPr>
        <w:rPr>
          <w:b/>
        </w:rPr>
      </w:pPr>
      <w:r>
        <w:rPr>
          <w:noProof/>
        </w:rPr>
        <w:drawing>
          <wp:inline distT="0" distB="0" distL="0" distR="0" wp14:anchorId="23670DB3" wp14:editId="6E995337">
            <wp:extent cx="42576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57675" cy="1657350"/>
                    </a:xfrm>
                    <a:prstGeom prst="rect">
                      <a:avLst/>
                    </a:prstGeom>
                  </pic:spPr>
                </pic:pic>
              </a:graphicData>
            </a:graphic>
          </wp:inline>
        </w:drawing>
      </w:r>
    </w:p>
    <w:p w:rsidR="00F92520" w:rsidRDefault="00F92520" w:rsidP="00A554D4">
      <w:pPr>
        <w:ind w:left="1530"/>
        <w:rPr>
          <w:rFonts w:eastAsia="HelenPro-Regular"/>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3700B" w:rsidRDefault="003356DF" w:rsidP="003356DF">
      <w:pPr>
        <w:autoSpaceDE w:val="0"/>
        <w:autoSpaceDN w:val="0"/>
        <w:adjustRightInd w:val="0"/>
        <w:rPr>
          <w:rFonts w:eastAsia="HelenPro-Regular"/>
        </w:rPr>
      </w:pPr>
      <w:r w:rsidRPr="003356DF">
        <w:rPr>
          <w:rFonts w:eastAsia="HelenPro-Regular"/>
        </w:rPr>
        <w:t>The default result unit for the A</w:t>
      </w:r>
      <w:r>
        <w:rPr>
          <w:rFonts w:eastAsia="HelenPro-Regular"/>
        </w:rPr>
        <w:t>RCHITECT</w:t>
      </w:r>
      <w:r w:rsidR="00F43503" w:rsidRPr="00F43503">
        <w:rPr>
          <w:rFonts w:eastAsia="HelenPro-Regular"/>
          <w:i/>
        </w:rPr>
        <w:t xml:space="preserve"> </w:t>
      </w:r>
      <w:proofErr w:type="spellStart"/>
      <w:r w:rsidR="00F43503" w:rsidRPr="00F43503">
        <w:rPr>
          <w:rFonts w:eastAsia="HelenPro-Regular"/>
          <w:i/>
        </w:rPr>
        <w:t>i</w:t>
      </w:r>
      <w:proofErr w:type="spellEnd"/>
      <w:r w:rsidR="00F43503">
        <w:rPr>
          <w:rFonts w:eastAsia="HelenPro-Regular"/>
        </w:rPr>
        <w:t xml:space="preserve"> </w:t>
      </w:r>
      <w:r w:rsidR="00BA3154">
        <w:rPr>
          <w:rFonts w:eastAsia="HelenPro-Regular"/>
        </w:rPr>
        <w:t>Phenobarbital</w:t>
      </w:r>
      <w:r>
        <w:rPr>
          <w:rFonts w:eastAsia="HelenPro-Regular"/>
        </w:rPr>
        <w:t xml:space="preserve"> assay is </w:t>
      </w:r>
      <w:proofErr w:type="spellStart"/>
      <w:r w:rsidR="00BA3154" w:rsidRPr="00BA3154">
        <w:rPr>
          <w:rFonts w:eastAsia="HelenPro-Regular"/>
        </w:rPr>
        <w:t>μg</w:t>
      </w:r>
      <w:proofErr w:type="spellEnd"/>
      <w:r w:rsidR="00BA3154" w:rsidRPr="00BA3154">
        <w:rPr>
          <w:rFonts w:eastAsia="HelenPro-Regular"/>
        </w:rPr>
        <w:t>/mL</w:t>
      </w:r>
      <w:r w:rsidR="00BA3154">
        <w:rPr>
          <w:rFonts w:eastAsia="HelenPro-Regular"/>
        </w:rPr>
        <w:t xml:space="preserve"> or </w:t>
      </w:r>
      <w:proofErr w:type="spellStart"/>
      <w:r w:rsidR="00BA3154" w:rsidRPr="00BA3154">
        <w:rPr>
          <w:rFonts w:eastAsia="HelenPro-Regular"/>
        </w:rPr>
        <w:t>μ</w:t>
      </w:r>
      <w:r w:rsidR="00BA3154">
        <w:rPr>
          <w:rFonts w:eastAsia="HelenPro-Regular"/>
        </w:rPr>
        <w:t>mol</w:t>
      </w:r>
      <w:proofErr w:type="spellEnd"/>
      <w:r w:rsidR="00BA3154">
        <w:rPr>
          <w:rFonts w:eastAsia="HelenPro-Regular"/>
        </w:rPr>
        <w:t>/L</w:t>
      </w:r>
    </w:p>
    <w:p w:rsidR="002648A6" w:rsidRDefault="002648A6" w:rsidP="00C3571A">
      <w:pPr>
        <w:autoSpaceDE w:val="0"/>
        <w:autoSpaceDN w:val="0"/>
        <w:adjustRightInd w:val="0"/>
        <w:rPr>
          <w:rFonts w:eastAsia="HelenPro-Regular"/>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FA706C" w:rsidRPr="00E94355" w:rsidRDefault="00FA706C" w:rsidP="002648A6">
      <w:pPr>
        <w:autoSpaceDE w:val="0"/>
        <w:autoSpaceDN w:val="0"/>
        <w:adjustRightInd w:val="0"/>
        <w:rPr>
          <w:rFonts w:eastAsia="HelenPro-Regular"/>
        </w:rPr>
      </w:pPr>
    </w:p>
    <w:p w:rsidR="00FA706C" w:rsidRPr="00E94355" w:rsidRDefault="00FA706C" w:rsidP="00887473">
      <w:pPr>
        <w:autoSpaceDE w:val="0"/>
        <w:autoSpaceDN w:val="0"/>
        <w:adjustRightInd w:val="0"/>
        <w:ind w:left="720"/>
        <w:rPr>
          <w:rFonts w:eastAsia="HelenPro-Bold"/>
          <w:b/>
          <w:bCs/>
        </w:rPr>
      </w:pPr>
      <w:r w:rsidRPr="00E94355">
        <w:rPr>
          <w:rFonts w:eastAsia="HelenPro-Regular"/>
        </w:rPr>
        <w:t>:</w:t>
      </w:r>
    </w:p>
    <w:p w:rsidR="00912FE4" w:rsidRPr="00E94355" w:rsidRDefault="00912FE4" w:rsidP="00AB793D">
      <w:pPr>
        <w:rPr>
          <w:b/>
          <w:bCs/>
          <w:sz w:val="28"/>
          <w:szCs w:val="28"/>
        </w:rPr>
      </w:pPr>
      <w:r w:rsidRPr="00E94355">
        <w:rPr>
          <w:b/>
          <w:bCs/>
          <w:sz w:val="28"/>
          <w:szCs w:val="28"/>
        </w:rPr>
        <w:t>Specific Performance Characteristics</w:t>
      </w:r>
      <w:r w:rsidR="00D60AFA" w:rsidRPr="00E94355">
        <w:rPr>
          <w:b/>
          <w:bCs/>
          <w:sz w:val="28"/>
          <w:szCs w:val="28"/>
        </w:rPr>
        <w:t xml:space="preserve"> </w:t>
      </w:r>
    </w:p>
    <w:p w:rsidR="00CE2DC7" w:rsidRPr="00E94355" w:rsidRDefault="002648A6" w:rsidP="00AB793D">
      <w:pPr>
        <w:rPr>
          <w:b/>
          <w:bCs/>
        </w:rPr>
      </w:pPr>
      <w:r w:rsidRPr="00E94355">
        <w:rPr>
          <w:b/>
          <w:bCs/>
        </w:rPr>
        <w:t>Expected Values</w:t>
      </w:r>
      <w:r w:rsidR="00D60AFA" w:rsidRPr="00E94355">
        <w:rPr>
          <w:b/>
          <w:bCs/>
        </w:rPr>
        <w:t xml:space="preserve"> </w:t>
      </w:r>
    </w:p>
    <w:p w:rsidR="0055619E" w:rsidRPr="00E94355" w:rsidRDefault="006D40ED" w:rsidP="006D40ED">
      <w:pPr>
        <w:autoSpaceDE w:val="0"/>
        <w:autoSpaceDN w:val="0"/>
        <w:adjustRightInd w:val="0"/>
        <w:rPr>
          <w:rFonts w:eastAsia="HelenPro-Regular"/>
        </w:rPr>
      </w:pPr>
      <w:r w:rsidRPr="00E94355">
        <w:rPr>
          <w:rFonts w:eastAsia="HelenPro-Regular"/>
        </w:rPr>
        <w:lastRenderedPageBreak/>
        <w:t>It is recommended that each laboratory determine its own reference range based upon its particular locale and population characteristics.</w:t>
      </w:r>
    </w:p>
    <w:p w:rsidR="00317056" w:rsidRPr="00E94355" w:rsidRDefault="00317056" w:rsidP="00AB793D">
      <w:pPr>
        <w:rPr>
          <w:b/>
          <w:bCs/>
        </w:rPr>
      </w:pPr>
    </w:p>
    <w:p w:rsidR="00A554D4" w:rsidRDefault="00A554D4" w:rsidP="00AB793D">
      <w:pPr>
        <w:rPr>
          <w:rFonts w:eastAsia="HelenPro-Regular"/>
        </w:rPr>
      </w:pPr>
      <w:r w:rsidRPr="00E94355">
        <w:rPr>
          <w:b/>
          <w:bCs/>
        </w:rPr>
        <w:t>Serum/Plasma</w:t>
      </w:r>
      <w:r w:rsidR="00E94355">
        <w:rPr>
          <w:b/>
          <w:bCs/>
        </w:rPr>
        <w:t xml:space="preserve">: </w:t>
      </w:r>
      <w:r w:rsidR="00E94355" w:rsidRPr="00E94355">
        <w:rPr>
          <w:bCs/>
        </w:rPr>
        <w:t>15 – 40</w:t>
      </w:r>
      <w:r w:rsidR="00E94355" w:rsidRPr="00E94355">
        <w:rPr>
          <w:b/>
          <w:bCs/>
        </w:rPr>
        <w:t xml:space="preserve"> </w:t>
      </w:r>
      <w:proofErr w:type="spellStart"/>
      <w:r w:rsidR="00E94355" w:rsidRPr="00E94355">
        <w:rPr>
          <w:rFonts w:eastAsia="HelenPro-Regular"/>
        </w:rPr>
        <w:t>μg</w:t>
      </w:r>
      <w:proofErr w:type="spellEnd"/>
      <w:r w:rsidR="00E94355" w:rsidRPr="00E94355">
        <w:rPr>
          <w:rFonts w:eastAsia="HelenPro-Regular"/>
        </w:rPr>
        <w:t>/</w:t>
      </w:r>
      <w:proofErr w:type="spellStart"/>
      <w:r w:rsidR="00E94355" w:rsidRPr="00E94355">
        <w:rPr>
          <w:rFonts w:eastAsia="HelenPro-Regular"/>
        </w:rPr>
        <w:t>mL.</w:t>
      </w:r>
      <w:proofErr w:type="spellEnd"/>
    </w:p>
    <w:p w:rsidR="00E94355" w:rsidRPr="00E94355" w:rsidRDefault="00E94355" w:rsidP="00AB793D">
      <w:pPr>
        <w:rPr>
          <w:b/>
          <w:bCs/>
        </w:rPr>
      </w:pPr>
      <w:bookmarkStart w:id="0" w:name="_GoBack"/>
      <w:bookmarkEnd w:id="0"/>
    </w:p>
    <w:p w:rsidR="0050716A" w:rsidRPr="00E94355" w:rsidRDefault="0050716A" w:rsidP="0050716A">
      <w:pPr>
        <w:autoSpaceDE w:val="0"/>
        <w:autoSpaceDN w:val="0"/>
        <w:adjustRightInd w:val="0"/>
        <w:rPr>
          <w:rFonts w:eastAsia="HelenPro-Regular"/>
        </w:rPr>
      </w:pPr>
      <w:r w:rsidRPr="00E94355">
        <w:rPr>
          <w:rFonts w:eastAsia="HelenPro-Bold"/>
          <w:b/>
          <w:bCs/>
        </w:rPr>
        <w:t xml:space="preserve">CAUTION: </w:t>
      </w:r>
      <w:r w:rsidRPr="00E94355">
        <w:rPr>
          <w:rFonts w:eastAsia="HelenPro-Regular"/>
        </w:rPr>
        <w:t>Values obtained with diff</w:t>
      </w:r>
      <w:r w:rsidR="002578A2" w:rsidRPr="00E94355">
        <w:rPr>
          <w:rFonts w:eastAsia="HelenPro-Regular"/>
        </w:rPr>
        <w:t xml:space="preserve">erent assay methods should not </w:t>
      </w:r>
      <w:r w:rsidRPr="00E94355">
        <w:rPr>
          <w:rFonts w:eastAsia="HelenPro-Regular"/>
        </w:rPr>
        <w:t>be used interchangeably due to differences in assay methods and</w:t>
      </w:r>
      <w:r w:rsidR="002578A2" w:rsidRPr="00E94355">
        <w:rPr>
          <w:rFonts w:eastAsia="HelenPro-Regular"/>
        </w:rPr>
        <w:t xml:space="preserve"> </w:t>
      </w:r>
      <w:r w:rsidRPr="00E94355">
        <w:rPr>
          <w:rFonts w:eastAsia="HelenPro-Regular"/>
        </w:rPr>
        <w:t>cross-reactivity with metabolites, nor should correction factors be</w:t>
      </w:r>
      <w:r w:rsidR="002578A2" w:rsidRPr="00E94355">
        <w:rPr>
          <w:rFonts w:eastAsia="HelenPro-Regular"/>
        </w:rPr>
        <w:t xml:space="preserve"> </w:t>
      </w:r>
      <w:r w:rsidRPr="00E94355">
        <w:rPr>
          <w:rFonts w:eastAsia="HelenPro-Regular"/>
        </w:rPr>
        <w:t>applied. Therefore, consistent use of one assay for individual patients</w:t>
      </w:r>
      <w:r w:rsidR="002578A2" w:rsidRPr="00E94355">
        <w:rPr>
          <w:rFonts w:eastAsia="HelenPro-Regular"/>
        </w:rPr>
        <w:t xml:space="preserve"> </w:t>
      </w:r>
      <w:r w:rsidRPr="00E94355">
        <w:rPr>
          <w:rFonts w:eastAsia="HelenPro-Regular"/>
        </w:rPr>
        <w:t>is recommended. Each user should verify their own Expected Values</w:t>
      </w:r>
      <w:r w:rsidR="002578A2" w:rsidRPr="00E94355">
        <w:rPr>
          <w:rFonts w:eastAsia="HelenPro-Regular"/>
        </w:rPr>
        <w:t xml:space="preserve"> </w:t>
      </w:r>
      <w:r w:rsidRPr="00E94355">
        <w:rPr>
          <w:rFonts w:eastAsia="HelenPro-Regular"/>
        </w:rPr>
        <w:t>range based on clinical experience.</w:t>
      </w:r>
    </w:p>
    <w:p w:rsidR="0050716A" w:rsidRPr="00E94355" w:rsidRDefault="0050716A" w:rsidP="0050716A">
      <w:pPr>
        <w:autoSpaceDE w:val="0"/>
        <w:autoSpaceDN w:val="0"/>
        <w:adjustRightInd w:val="0"/>
        <w:rPr>
          <w:rFonts w:eastAsia="HelenPro-Regular"/>
        </w:rPr>
      </w:pPr>
      <w:r w:rsidRPr="00E94355">
        <w:rPr>
          <w:rFonts w:eastAsia="HelenPro-Regular"/>
        </w:rPr>
        <w:t>Strong correlations have bee</w:t>
      </w:r>
      <w:r w:rsidR="002578A2" w:rsidRPr="00E94355">
        <w:rPr>
          <w:rFonts w:eastAsia="HelenPro-Regular"/>
        </w:rPr>
        <w:t xml:space="preserve">n shown between serum levels of </w:t>
      </w:r>
      <w:r w:rsidRPr="00E94355">
        <w:rPr>
          <w:rFonts w:eastAsia="HelenPro-Regular"/>
        </w:rPr>
        <w:t>phenobarbital and both therapeutic effect and toxicity. Clinical</w:t>
      </w:r>
      <w:r w:rsidR="002578A2" w:rsidRPr="00E94355">
        <w:rPr>
          <w:rFonts w:eastAsia="HelenPro-Regular"/>
        </w:rPr>
        <w:t xml:space="preserve"> </w:t>
      </w:r>
      <w:r w:rsidRPr="00E94355">
        <w:rPr>
          <w:rFonts w:eastAsia="HelenPro-Regular"/>
        </w:rPr>
        <w:t>observations indicate that toxicity of phenobarbital is increased</w:t>
      </w:r>
      <w:r w:rsidR="002578A2" w:rsidRPr="00E94355">
        <w:rPr>
          <w:rFonts w:eastAsia="HelenPro-Regular"/>
        </w:rPr>
        <w:t xml:space="preserve"> </w:t>
      </w:r>
      <w:r w:rsidRPr="00E94355">
        <w:rPr>
          <w:rFonts w:eastAsia="HelenPro-Regular"/>
        </w:rPr>
        <w:t>in patients with renal disease. P</w:t>
      </w:r>
      <w:r w:rsidR="002578A2" w:rsidRPr="00E94355">
        <w:rPr>
          <w:rFonts w:eastAsia="HelenPro-Regular"/>
        </w:rPr>
        <w:t xml:space="preserve">henobarbital toxicity primarily </w:t>
      </w:r>
      <w:r w:rsidRPr="00E94355">
        <w:rPr>
          <w:rFonts w:eastAsia="HelenPro-Regular"/>
        </w:rPr>
        <w:t>affects the central nervous system. Toxic levels can lead to</w:t>
      </w:r>
      <w:r w:rsidR="002578A2" w:rsidRPr="00E94355">
        <w:rPr>
          <w:rFonts w:eastAsia="HelenPro-Regular"/>
        </w:rPr>
        <w:t xml:space="preserve"> </w:t>
      </w:r>
      <w:proofErr w:type="spellStart"/>
      <w:r w:rsidRPr="00E94355">
        <w:rPr>
          <w:rFonts w:eastAsia="HelenPro-Regular"/>
        </w:rPr>
        <w:t>nystagmus</w:t>
      </w:r>
      <w:proofErr w:type="spellEnd"/>
      <w:r w:rsidRPr="00E94355">
        <w:rPr>
          <w:rFonts w:eastAsia="HelenPro-Regular"/>
        </w:rPr>
        <w:t>, vertigo, and ataxia. A small number of patients develop</w:t>
      </w:r>
      <w:r w:rsidR="002578A2" w:rsidRPr="00E94355">
        <w:rPr>
          <w:rFonts w:eastAsia="HelenPro-Regular"/>
        </w:rPr>
        <w:t xml:space="preserve"> </w:t>
      </w:r>
      <w:r w:rsidRPr="00E94355">
        <w:rPr>
          <w:rFonts w:eastAsia="HelenPro-Regular"/>
        </w:rPr>
        <w:t>hypersensitivity to the drug. Some patients under chronic</w:t>
      </w:r>
      <w:r w:rsidR="002578A2" w:rsidRPr="00E94355">
        <w:rPr>
          <w:rFonts w:eastAsia="HelenPro-Regular"/>
        </w:rPr>
        <w:t xml:space="preserve"> </w:t>
      </w:r>
      <w:r w:rsidRPr="00E94355">
        <w:rPr>
          <w:rFonts w:eastAsia="HelenPro-Regular"/>
        </w:rPr>
        <w:t xml:space="preserve">treatment develop </w:t>
      </w:r>
      <w:proofErr w:type="spellStart"/>
      <w:r w:rsidRPr="00E94355">
        <w:rPr>
          <w:rFonts w:eastAsia="HelenPro-Regular"/>
        </w:rPr>
        <w:t>macrocytosis</w:t>
      </w:r>
      <w:proofErr w:type="spellEnd"/>
      <w:r w:rsidRPr="00E94355">
        <w:rPr>
          <w:rFonts w:eastAsia="HelenPro-Regular"/>
        </w:rPr>
        <w:t xml:space="preserve"> and </w:t>
      </w:r>
      <w:proofErr w:type="spellStart"/>
      <w:r w:rsidRPr="00E94355">
        <w:rPr>
          <w:rFonts w:eastAsia="HelenPro-Regular"/>
        </w:rPr>
        <w:t>megaloblastic</w:t>
      </w:r>
      <w:proofErr w:type="spellEnd"/>
      <w:r w:rsidRPr="00E94355">
        <w:rPr>
          <w:rFonts w:eastAsia="HelenPro-Regular"/>
        </w:rPr>
        <w:t xml:space="preserve"> anemia as well</w:t>
      </w:r>
      <w:r w:rsidR="002578A2" w:rsidRPr="00E94355">
        <w:rPr>
          <w:rFonts w:eastAsia="HelenPro-Regular"/>
        </w:rPr>
        <w:t xml:space="preserve"> </w:t>
      </w:r>
      <w:r w:rsidRPr="00E94355">
        <w:rPr>
          <w:rFonts w:eastAsia="HelenPro-Regular"/>
        </w:rPr>
        <w:t xml:space="preserve">as </w:t>
      </w:r>
      <w:proofErr w:type="spellStart"/>
      <w:r w:rsidRPr="00E94355">
        <w:rPr>
          <w:rFonts w:eastAsia="HelenPro-Regular"/>
        </w:rPr>
        <w:t>osteomalacia</w:t>
      </w:r>
      <w:proofErr w:type="spellEnd"/>
      <w:r w:rsidRPr="00E94355">
        <w:rPr>
          <w:rFonts w:eastAsia="HelenPro-Regular"/>
        </w:rPr>
        <w:t>. Most patients will receive maximum seizure</w:t>
      </w:r>
      <w:r w:rsidR="002578A2" w:rsidRPr="00E94355">
        <w:rPr>
          <w:rFonts w:eastAsia="HelenPro-Regular"/>
        </w:rPr>
        <w:t xml:space="preserve"> </w:t>
      </w:r>
      <w:r w:rsidRPr="00E94355">
        <w:rPr>
          <w:rFonts w:eastAsia="HelenPro-Regular"/>
        </w:rPr>
        <w:t>control when serum levels of phenobarbital are in the range of</w:t>
      </w:r>
      <w:r w:rsidR="002578A2" w:rsidRPr="00E94355">
        <w:rPr>
          <w:rFonts w:eastAsia="HelenPro-Regular"/>
        </w:rPr>
        <w:t xml:space="preserve"> </w:t>
      </w:r>
      <w:r w:rsidRPr="00E94355">
        <w:rPr>
          <w:rFonts w:eastAsia="HelenPro-Regular"/>
        </w:rPr>
        <w:t xml:space="preserve">15-40 </w:t>
      </w:r>
      <w:proofErr w:type="spellStart"/>
      <w:r w:rsidRPr="00E94355">
        <w:rPr>
          <w:rFonts w:eastAsia="HelenPro-Regular"/>
        </w:rPr>
        <w:t>μg</w:t>
      </w:r>
      <w:proofErr w:type="spellEnd"/>
      <w:r w:rsidRPr="00E94355">
        <w:rPr>
          <w:rFonts w:eastAsia="HelenPro-Regular"/>
        </w:rPr>
        <w:t>/</w:t>
      </w:r>
      <w:proofErr w:type="spellStart"/>
      <w:r w:rsidRPr="00E94355">
        <w:rPr>
          <w:rFonts w:eastAsia="HelenPro-Regular"/>
        </w:rPr>
        <w:t>mL.</w:t>
      </w:r>
      <w:proofErr w:type="spellEnd"/>
    </w:p>
    <w:p w:rsidR="00DA6C6A" w:rsidRPr="00E94355" w:rsidRDefault="0050716A" w:rsidP="0050716A">
      <w:pPr>
        <w:autoSpaceDE w:val="0"/>
        <w:autoSpaceDN w:val="0"/>
        <w:adjustRightInd w:val="0"/>
        <w:rPr>
          <w:rFonts w:eastAsia="HelenPro-Regular"/>
        </w:rPr>
      </w:pPr>
      <w:r w:rsidRPr="00E94355">
        <w:rPr>
          <w:rFonts w:eastAsia="HelenPro-Regular"/>
        </w:rPr>
        <w:t>Refer to the drug manufacturer’s package insert or the Physicians’</w:t>
      </w:r>
      <w:r w:rsidR="002578A2" w:rsidRPr="00E94355">
        <w:rPr>
          <w:rFonts w:eastAsia="HelenPro-Regular"/>
        </w:rPr>
        <w:t xml:space="preserve"> </w:t>
      </w:r>
      <w:r w:rsidRPr="00E94355">
        <w:rPr>
          <w:rFonts w:eastAsia="HelenPro-Regular"/>
        </w:rPr>
        <w:t>Desk Reference (PDR) for proper drug dosage and for phenobarbital</w:t>
      </w:r>
      <w:r w:rsidR="002578A2" w:rsidRPr="00E94355">
        <w:rPr>
          <w:rFonts w:eastAsia="HelenPro-Regular"/>
        </w:rPr>
        <w:t xml:space="preserve"> </w:t>
      </w:r>
      <w:r w:rsidRPr="00E94355">
        <w:rPr>
          <w:rFonts w:eastAsia="HelenPro-Regular"/>
        </w:rPr>
        <w:t>measurement sampling time</w:t>
      </w:r>
      <w:r w:rsidRPr="00E94355">
        <w:rPr>
          <w:rFonts w:eastAsia="HelenPro-Regular"/>
          <w:sz w:val="17"/>
          <w:szCs w:val="17"/>
        </w:rPr>
        <w:t>.</w:t>
      </w:r>
    </w:p>
    <w:p w:rsidR="00A06293" w:rsidRPr="00E94355" w:rsidRDefault="00A06293" w:rsidP="00AB793D">
      <w:pPr>
        <w:rPr>
          <w:b/>
          <w:bCs/>
        </w:rPr>
      </w:pPr>
    </w:p>
    <w:p w:rsidR="00B63E8F" w:rsidRPr="00E94355" w:rsidRDefault="00B63E8F" w:rsidP="00623EFB">
      <w:pPr>
        <w:ind w:right="720"/>
        <w:jc w:val="both"/>
        <w:rPr>
          <w:b/>
        </w:rPr>
      </w:pPr>
      <w:r w:rsidRPr="00E94355">
        <w:rPr>
          <w:b/>
        </w:rPr>
        <w:t>Critical Values</w:t>
      </w:r>
      <w:r w:rsidR="00E94355" w:rsidRPr="00E94355">
        <w:rPr>
          <w:b/>
        </w:rPr>
        <w:t>: N/A</w:t>
      </w:r>
    </w:p>
    <w:p w:rsidR="0038442D" w:rsidRPr="00E94355" w:rsidRDefault="0038442D" w:rsidP="00AB793D">
      <w:pPr>
        <w:rPr>
          <w:b/>
        </w:rPr>
      </w:pPr>
    </w:p>
    <w:p w:rsidR="00D5211B" w:rsidRPr="00E94355" w:rsidRDefault="005E3D52" w:rsidP="00AB793D">
      <w:pPr>
        <w:rPr>
          <w:i/>
          <w:color w:val="FF0000"/>
          <w:sz w:val="28"/>
          <w:szCs w:val="28"/>
        </w:rPr>
      </w:pPr>
      <w:r w:rsidRPr="00E94355">
        <w:rPr>
          <w:b/>
          <w:sz w:val="28"/>
          <w:szCs w:val="28"/>
        </w:rPr>
        <w:t>Performance Characteristics</w:t>
      </w:r>
      <w:r w:rsidR="00973EAF" w:rsidRPr="00E94355">
        <w:rPr>
          <w:b/>
          <w:sz w:val="28"/>
          <w:szCs w:val="28"/>
        </w:rPr>
        <w:t xml:space="preserve"> </w:t>
      </w:r>
    </w:p>
    <w:p w:rsidR="00FA706C" w:rsidRPr="00E94355" w:rsidRDefault="00FA706C" w:rsidP="00FA706C">
      <w:pPr>
        <w:autoSpaceDE w:val="0"/>
        <w:autoSpaceDN w:val="0"/>
        <w:adjustRightInd w:val="0"/>
        <w:rPr>
          <w:rFonts w:eastAsia="HelenPro-Bold"/>
          <w:b/>
          <w:bCs/>
        </w:rPr>
      </w:pPr>
      <w:r w:rsidRPr="00E94355">
        <w:rPr>
          <w:rFonts w:eastAsia="HelenPro-Bold"/>
          <w:b/>
          <w:bCs/>
        </w:rPr>
        <w:t>Measuring Interval (Reportable Range)</w:t>
      </w:r>
    </w:p>
    <w:p w:rsidR="00B45FE2" w:rsidRPr="00E94355" w:rsidRDefault="0050716A" w:rsidP="0050716A">
      <w:pPr>
        <w:autoSpaceDE w:val="0"/>
        <w:autoSpaceDN w:val="0"/>
        <w:adjustRightInd w:val="0"/>
        <w:rPr>
          <w:rFonts w:eastAsia="HelenPro-Regular"/>
        </w:rPr>
      </w:pPr>
      <w:r w:rsidRPr="00E94355">
        <w:rPr>
          <w:rFonts w:eastAsia="HelenPro-Regular"/>
        </w:rPr>
        <w:t>The measurement range for the AR</w:t>
      </w:r>
      <w:r w:rsidR="002578A2" w:rsidRPr="00E94355">
        <w:rPr>
          <w:rFonts w:eastAsia="HelenPro-Regular"/>
        </w:rPr>
        <w:t xml:space="preserve">CHITECT </w:t>
      </w:r>
      <w:proofErr w:type="spellStart"/>
      <w:r w:rsidR="00F43503" w:rsidRPr="00E94355">
        <w:rPr>
          <w:rFonts w:eastAsia="HelenPro-Regular"/>
          <w:i/>
        </w:rPr>
        <w:t>i</w:t>
      </w:r>
      <w:proofErr w:type="spellEnd"/>
      <w:r w:rsidR="00F43503" w:rsidRPr="00E94355">
        <w:rPr>
          <w:rFonts w:eastAsia="HelenPro-Regular"/>
        </w:rPr>
        <w:t xml:space="preserve"> Phenobarbital </w:t>
      </w:r>
      <w:r w:rsidR="002578A2" w:rsidRPr="00E94355">
        <w:rPr>
          <w:rFonts w:eastAsia="HelenPro-Regular"/>
        </w:rPr>
        <w:t xml:space="preserve">assay is </w:t>
      </w:r>
      <w:r w:rsidRPr="00E94355">
        <w:rPr>
          <w:rFonts w:eastAsia="HelenPro-Regular"/>
        </w:rPr>
        <w:t xml:space="preserve">1.10 </w:t>
      </w:r>
      <w:proofErr w:type="spellStart"/>
      <w:r w:rsidRPr="00E94355">
        <w:rPr>
          <w:rFonts w:eastAsia="HelenPro-Regular"/>
        </w:rPr>
        <w:t>μg</w:t>
      </w:r>
      <w:proofErr w:type="spellEnd"/>
      <w:r w:rsidRPr="00E94355">
        <w:rPr>
          <w:rFonts w:eastAsia="HelenPro-Regular"/>
        </w:rPr>
        <w:t xml:space="preserve">/mL to 80.00 </w:t>
      </w:r>
      <w:proofErr w:type="spellStart"/>
      <w:r w:rsidRPr="00E94355">
        <w:rPr>
          <w:rFonts w:eastAsia="HelenPro-Regular"/>
        </w:rPr>
        <w:t>μg</w:t>
      </w:r>
      <w:proofErr w:type="spellEnd"/>
      <w:r w:rsidRPr="00E94355">
        <w:rPr>
          <w:rFonts w:eastAsia="HelenPro-Regular"/>
        </w:rPr>
        <w:t>/</w:t>
      </w:r>
      <w:proofErr w:type="spellStart"/>
      <w:r w:rsidRPr="00E94355">
        <w:rPr>
          <w:rFonts w:eastAsia="HelenPro-Regular"/>
        </w:rPr>
        <w:t>mL.</w:t>
      </w:r>
      <w:proofErr w:type="spellEnd"/>
    </w:p>
    <w:p w:rsidR="00FA706C" w:rsidRPr="00E94355" w:rsidRDefault="00FA706C" w:rsidP="00B45FE2">
      <w:pPr>
        <w:autoSpaceDE w:val="0"/>
        <w:autoSpaceDN w:val="0"/>
        <w:adjustRightInd w:val="0"/>
        <w:rPr>
          <w:rFonts w:eastAsia="HelenPro-Bold"/>
          <w:b/>
          <w:bCs/>
        </w:rPr>
      </w:pPr>
    </w:p>
    <w:p w:rsidR="00835A84" w:rsidRPr="00E94355" w:rsidRDefault="002648A6" w:rsidP="00835A84">
      <w:pPr>
        <w:autoSpaceDE w:val="0"/>
        <w:autoSpaceDN w:val="0"/>
        <w:adjustRightInd w:val="0"/>
        <w:rPr>
          <w:rFonts w:eastAsia="HelenPro-Bold"/>
          <w:b/>
          <w:bCs/>
        </w:rPr>
      </w:pPr>
      <w:r w:rsidRPr="00E94355">
        <w:rPr>
          <w:rFonts w:eastAsia="HelenPro-Bold"/>
          <w:b/>
          <w:bCs/>
        </w:rPr>
        <w:t>Linearity</w:t>
      </w:r>
    </w:p>
    <w:p w:rsidR="00835A84" w:rsidRPr="00E94355" w:rsidRDefault="0050716A" w:rsidP="003C5BC8">
      <w:pPr>
        <w:autoSpaceDE w:val="0"/>
        <w:autoSpaceDN w:val="0"/>
        <w:adjustRightInd w:val="0"/>
        <w:rPr>
          <w:rFonts w:eastAsia="HelenPro-Regular"/>
        </w:rPr>
      </w:pPr>
      <w:r w:rsidRPr="00E94355">
        <w:rPr>
          <w:rFonts w:eastAsia="HelenPro-Regular"/>
        </w:rPr>
        <w:t>See reagent package insert for information</w:t>
      </w:r>
      <w:r w:rsidR="003C5BC8" w:rsidRPr="00E94355">
        <w:rPr>
          <w:rFonts w:eastAsia="HelenPro-Regular"/>
        </w:rPr>
        <w:t>.</w:t>
      </w:r>
    </w:p>
    <w:p w:rsidR="00A06293" w:rsidRPr="00E94355" w:rsidRDefault="00A06293" w:rsidP="002648A6">
      <w:pPr>
        <w:autoSpaceDE w:val="0"/>
        <w:autoSpaceDN w:val="0"/>
        <w:adjustRightInd w:val="0"/>
        <w:rPr>
          <w:rFonts w:eastAsia="HelenPro-Regular"/>
          <w:b/>
        </w:rPr>
      </w:pPr>
    </w:p>
    <w:p w:rsidR="002648A6" w:rsidRPr="00E94355" w:rsidRDefault="00835A84" w:rsidP="002648A6">
      <w:pPr>
        <w:autoSpaceDE w:val="0"/>
        <w:autoSpaceDN w:val="0"/>
        <w:adjustRightInd w:val="0"/>
        <w:rPr>
          <w:rFonts w:eastAsia="HelenPro-Regular"/>
          <w:b/>
        </w:rPr>
      </w:pPr>
      <w:r w:rsidRPr="00E94355">
        <w:rPr>
          <w:rFonts w:eastAsia="HelenPro-Regular"/>
          <w:b/>
        </w:rPr>
        <w:t>Sensitivity</w:t>
      </w:r>
    </w:p>
    <w:p w:rsidR="00835A84" w:rsidRPr="00E94355" w:rsidRDefault="0050716A" w:rsidP="0050716A">
      <w:pPr>
        <w:autoSpaceDE w:val="0"/>
        <w:autoSpaceDN w:val="0"/>
        <w:adjustRightInd w:val="0"/>
        <w:rPr>
          <w:rFonts w:eastAsia="HelenPro-Regular"/>
        </w:rPr>
      </w:pPr>
      <w:r w:rsidRPr="00E94355">
        <w:rPr>
          <w:rFonts w:eastAsia="HelenPro-Regular"/>
        </w:rPr>
        <w:t xml:space="preserve">The </w:t>
      </w:r>
      <w:r w:rsidR="002578A2" w:rsidRPr="00E94355">
        <w:rPr>
          <w:rFonts w:eastAsia="HelenPro-Regular"/>
        </w:rPr>
        <w:t xml:space="preserve">ARCHITECT </w:t>
      </w:r>
      <w:proofErr w:type="spellStart"/>
      <w:r w:rsidR="00F43503" w:rsidRPr="00E94355">
        <w:rPr>
          <w:rFonts w:eastAsia="HelenPro-Regular"/>
          <w:i/>
        </w:rPr>
        <w:t>i</w:t>
      </w:r>
      <w:proofErr w:type="spellEnd"/>
      <w:r w:rsidR="00F43503" w:rsidRPr="00E94355">
        <w:rPr>
          <w:rFonts w:eastAsia="HelenPro-Regular"/>
        </w:rPr>
        <w:t xml:space="preserve"> Phenobarbital </w:t>
      </w:r>
      <w:r w:rsidR="002578A2" w:rsidRPr="00E94355">
        <w:rPr>
          <w:rFonts w:eastAsia="HelenPro-Regular"/>
        </w:rPr>
        <w:t xml:space="preserve">assay </w:t>
      </w:r>
      <w:r w:rsidRPr="00E94355">
        <w:rPr>
          <w:rFonts w:eastAsia="HelenPro-Regular"/>
        </w:rPr>
        <w:t xml:space="preserve">is designed to have a sensitivity of ≤ 1.10 </w:t>
      </w:r>
      <w:proofErr w:type="spellStart"/>
      <w:r w:rsidRPr="00E94355">
        <w:rPr>
          <w:rFonts w:eastAsia="HelenPro-Regular"/>
        </w:rPr>
        <w:t>μg</w:t>
      </w:r>
      <w:proofErr w:type="spellEnd"/>
      <w:r w:rsidRPr="00E94355">
        <w:rPr>
          <w:rFonts w:eastAsia="HelenPro-Regular"/>
        </w:rPr>
        <w:t>/</w:t>
      </w:r>
      <w:proofErr w:type="spellStart"/>
      <w:r w:rsidRPr="00E94355">
        <w:rPr>
          <w:rFonts w:eastAsia="HelenPro-Regular"/>
        </w:rPr>
        <w:t>mL.</w:t>
      </w:r>
      <w:proofErr w:type="spellEnd"/>
    </w:p>
    <w:p w:rsidR="003C5BC8" w:rsidRPr="00E94355" w:rsidRDefault="003C5BC8" w:rsidP="003C5BC8">
      <w:pPr>
        <w:autoSpaceDE w:val="0"/>
        <w:autoSpaceDN w:val="0"/>
        <w:adjustRightInd w:val="0"/>
        <w:rPr>
          <w:rFonts w:eastAsia="HelenPro-Regular"/>
          <w:u w:val="single"/>
        </w:rPr>
      </w:pPr>
      <w:r w:rsidRPr="00E94355">
        <w:rPr>
          <w:rFonts w:eastAsia="HelenPro-Regular"/>
          <w:u w:val="single"/>
        </w:rPr>
        <w:t>Limit of Blank and Limit of Detection</w:t>
      </w:r>
    </w:p>
    <w:p w:rsidR="003C5BC8" w:rsidRPr="00E94355" w:rsidRDefault="0050716A" w:rsidP="003C5BC8">
      <w:pPr>
        <w:autoSpaceDE w:val="0"/>
        <w:autoSpaceDN w:val="0"/>
        <w:adjustRightInd w:val="0"/>
        <w:rPr>
          <w:rFonts w:eastAsia="HelenPro-Regular"/>
        </w:rPr>
      </w:pPr>
      <w:r w:rsidRPr="00E94355">
        <w:rPr>
          <w:rFonts w:eastAsia="HelenPro-Regular"/>
        </w:rPr>
        <w:t>See Reagent Package insert</w:t>
      </w:r>
    </w:p>
    <w:p w:rsidR="00835A84" w:rsidRPr="00E94355" w:rsidRDefault="00835A84" w:rsidP="00835A84">
      <w:pPr>
        <w:rPr>
          <w:rFonts w:eastAsia="HelenPro-Bold"/>
          <w:b/>
          <w:bCs/>
        </w:rPr>
      </w:pPr>
    </w:p>
    <w:p w:rsidR="00912FE4" w:rsidRPr="00E94355" w:rsidRDefault="00912FE4" w:rsidP="002C2F49">
      <w:pPr>
        <w:rPr>
          <w:rFonts w:eastAsia="HelenPro-Bold"/>
          <w:b/>
          <w:bCs/>
        </w:rPr>
      </w:pPr>
      <w:r w:rsidRPr="00E94355">
        <w:rPr>
          <w:rFonts w:eastAsia="HelenPro-Bold"/>
          <w:b/>
          <w:bCs/>
        </w:rPr>
        <w:t>Dilution:</w:t>
      </w:r>
      <w:r w:rsidR="00973EAF" w:rsidRPr="00E94355">
        <w:rPr>
          <w:rFonts w:eastAsia="HelenPro-Bold"/>
          <w:b/>
          <w:bCs/>
        </w:rPr>
        <w:t xml:space="preserve"> </w:t>
      </w:r>
    </w:p>
    <w:p w:rsidR="00DA0D83" w:rsidRPr="00E94355" w:rsidRDefault="00BA3154" w:rsidP="00BA3154">
      <w:pPr>
        <w:autoSpaceDE w:val="0"/>
        <w:autoSpaceDN w:val="0"/>
        <w:adjustRightInd w:val="0"/>
        <w:rPr>
          <w:rFonts w:eastAsia="HelenPro-Regular"/>
        </w:rPr>
      </w:pPr>
      <w:r w:rsidRPr="00E94355">
        <w:rPr>
          <w:rFonts w:eastAsia="HelenPro-Regular"/>
        </w:rPr>
        <w:t xml:space="preserve">Specimens with a phenobarbital value exceeding 80.00 </w:t>
      </w:r>
      <w:proofErr w:type="spellStart"/>
      <w:r w:rsidRPr="00E94355">
        <w:rPr>
          <w:rFonts w:eastAsia="HelenPro-Regular"/>
        </w:rPr>
        <w:t>μ</w:t>
      </w:r>
      <w:r w:rsidR="002578A2" w:rsidRPr="00E94355">
        <w:rPr>
          <w:rFonts w:eastAsia="HelenPro-Regular"/>
        </w:rPr>
        <w:t>g</w:t>
      </w:r>
      <w:proofErr w:type="spellEnd"/>
      <w:r w:rsidR="002578A2" w:rsidRPr="00E94355">
        <w:rPr>
          <w:rFonts w:eastAsia="HelenPro-Regular"/>
        </w:rPr>
        <w:t xml:space="preserve">/mL </w:t>
      </w:r>
      <w:r w:rsidRPr="00E94355">
        <w:rPr>
          <w:rFonts w:eastAsia="HelenPro-Regular"/>
        </w:rPr>
        <w:t>are flagged with the code “&gt; 80.00” and may be diluted using the</w:t>
      </w:r>
      <w:r w:rsidR="002578A2" w:rsidRPr="00E94355">
        <w:rPr>
          <w:rFonts w:eastAsia="HelenPro-Regular"/>
        </w:rPr>
        <w:t xml:space="preserve"> </w:t>
      </w:r>
      <w:r w:rsidRPr="00E94355">
        <w:rPr>
          <w:rFonts w:eastAsia="HelenPro-Regular"/>
        </w:rPr>
        <w:t>Manual Dilution Procedure.</w:t>
      </w:r>
    </w:p>
    <w:p w:rsidR="00BA3154" w:rsidRPr="00E94355" w:rsidRDefault="00BA3154" w:rsidP="00BA3154">
      <w:pPr>
        <w:autoSpaceDE w:val="0"/>
        <w:autoSpaceDN w:val="0"/>
        <w:adjustRightInd w:val="0"/>
        <w:rPr>
          <w:rFonts w:eastAsia="HelenPro-Bold"/>
          <w:b/>
          <w:bCs/>
        </w:rPr>
      </w:pPr>
      <w:r w:rsidRPr="00E94355">
        <w:rPr>
          <w:rFonts w:eastAsia="HelenPro-Bold"/>
          <w:b/>
          <w:bCs/>
        </w:rPr>
        <w:t>Manual Dilution Procedure</w:t>
      </w:r>
    </w:p>
    <w:p w:rsidR="00BA3154" w:rsidRPr="00E94355" w:rsidRDefault="00BA3154" w:rsidP="00BA3154">
      <w:pPr>
        <w:autoSpaceDE w:val="0"/>
        <w:autoSpaceDN w:val="0"/>
        <w:adjustRightInd w:val="0"/>
        <w:rPr>
          <w:rFonts w:eastAsia="HelenPro-Regular"/>
        </w:rPr>
      </w:pPr>
      <w:r w:rsidRPr="00E94355">
        <w:rPr>
          <w:rFonts w:eastAsia="HelenPro-Regular"/>
        </w:rPr>
        <w:t>Suggested dilution: 1:10</w:t>
      </w:r>
    </w:p>
    <w:p w:rsidR="00BA3154" w:rsidRPr="00E94355" w:rsidRDefault="00BA3154" w:rsidP="00BA3154">
      <w:pPr>
        <w:autoSpaceDE w:val="0"/>
        <w:autoSpaceDN w:val="0"/>
        <w:adjustRightInd w:val="0"/>
        <w:rPr>
          <w:rFonts w:eastAsia="HelenPro-Regular"/>
        </w:rPr>
      </w:pPr>
      <w:r w:rsidRPr="00E94355">
        <w:rPr>
          <w:rFonts w:eastAsia="HelenPro-Regular"/>
        </w:rPr>
        <w:t xml:space="preserve">1. Add 10 </w:t>
      </w:r>
      <w:proofErr w:type="spellStart"/>
      <w:r w:rsidRPr="00E94355">
        <w:rPr>
          <w:rFonts w:eastAsia="HelenPro-Regular"/>
        </w:rPr>
        <w:t>μL</w:t>
      </w:r>
      <w:proofErr w:type="spellEnd"/>
      <w:r w:rsidRPr="00E94355">
        <w:rPr>
          <w:rFonts w:eastAsia="HelenPro-Regular"/>
        </w:rPr>
        <w:t xml:space="preserve"> of the patient specimen to 90 </w:t>
      </w:r>
      <w:proofErr w:type="spellStart"/>
      <w:r w:rsidRPr="00E94355">
        <w:rPr>
          <w:rFonts w:eastAsia="HelenPro-Regular"/>
        </w:rPr>
        <w:t>μ</w:t>
      </w:r>
      <w:r w:rsidR="002578A2" w:rsidRPr="00E94355">
        <w:rPr>
          <w:rFonts w:eastAsia="HelenPro-Regular"/>
        </w:rPr>
        <w:t>L</w:t>
      </w:r>
      <w:proofErr w:type="spellEnd"/>
      <w:r w:rsidR="002578A2" w:rsidRPr="00E94355">
        <w:rPr>
          <w:rFonts w:eastAsia="HelenPro-Regular"/>
        </w:rPr>
        <w:t xml:space="preserve"> of ARCHITECT </w:t>
      </w:r>
      <w:proofErr w:type="spellStart"/>
      <w:r w:rsidR="00F43503" w:rsidRPr="00E94355">
        <w:rPr>
          <w:rFonts w:eastAsia="HelenPro-Regular"/>
          <w:i/>
        </w:rPr>
        <w:t>i</w:t>
      </w:r>
      <w:proofErr w:type="spellEnd"/>
      <w:r w:rsidR="00F43503" w:rsidRPr="00E94355">
        <w:rPr>
          <w:rFonts w:eastAsia="HelenPro-Regular"/>
        </w:rPr>
        <w:t xml:space="preserve"> Phenobarbital </w:t>
      </w:r>
      <w:r w:rsidRPr="00E94355">
        <w:rPr>
          <w:rFonts w:eastAsia="HelenPro-Regular"/>
        </w:rPr>
        <w:t>Calibrator A.</w:t>
      </w:r>
    </w:p>
    <w:p w:rsidR="00BA3154" w:rsidRPr="00E94355" w:rsidRDefault="00BA3154" w:rsidP="00BA3154">
      <w:pPr>
        <w:autoSpaceDE w:val="0"/>
        <w:autoSpaceDN w:val="0"/>
        <w:adjustRightInd w:val="0"/>
        <w:rPr>
          <w:rFonts w:eastAsia="HelenPro-Regular"/>
        </w:rPr>
      </w:pPr>
      <w:r w:rsidRPr="00E94355">
        <w:rPr>
          <w:rFonts w:eastAsia="HelenPro-Regular"/>
        </w:rPr>
        <w:t>2. The operator must enter the di</w:t>
      </w:r>
      <w:r w:rsidR="002578A2" w:rsidRPr="00E94355">
        <w:rPr>
          <w:rFonts w:eastAsia="HelenPro-Regular"/>
        </w:rPr>
        <w:t xml:space="preserve">lution factor in the Patient or </w:t>
      </w:r>
      <w:r w:rsidRPr="00E94355">
        <w:rPr>
          <w:rFonts w:eastAsia="HelenPro-Regular"/>
        </w:rPr>
        <w:t>Control order screen. The system will use this dilution factor to</w:t>
      </w:r>
      <w:r w:rsidR="002578A2" w:rsidRPr="00E94355">
        <w:rPr>
          <w:rFonts w:eastAsia="HelenPro-Regular"/>
        </w:rPr>
        <w:t xml:space="preserve"> </w:t>
      </w:r>
      <w:r w:rsidRPr="00E94355">
        <w:rPr>
          <w:rFonts w:eastAsia="HelenPro-Regular"/>
        </w:rPr>
        <w:t>automatically calculate the concentration of the sample before</w:t>
      </w:r>
      <w:r w:rsidR="002578A2" w:rsidRPr="00E94355">
        <w:rPr>
          <w:rFonts w:eastAsia="HelenPro-Regular"/>
        </w:rPr>
        <w:t xml:space="preserve"> </w:t>
      </w:r>
      <w:r w:rsidRPr="00E94355">
        <w:rPr>
          <w:rFonts w:eastAsia="HelenPro-Regular"/>
        </w:rPr>
        <w:t>dilution and report the result.</w:t>
      </w:r>
    </w:p>
    <w:p w:rsidR="00BA3154" w:rsidRPr="00E94355" w:rsidRDefault="00BA3154" w:rsidP="00BA3154">
      <w:pPr>
        <w:autoSpaceDE w:val="0"/>
        <w:autoSpaceDN w:val="0"/>
        <w:adjustRightInd w:val="0"/>
        <w:rPr>
          <w:rFonts w:eastAsia="HelenPro-Regular"/>
        </w:rPr>
      </w:pPr>
      <w:r w:rsidRPr="00E94355">
        <w:rPr>
          <w:rFonts w:eastAsia="HelenPro-Regular"/>
        </w:rPr>
        <w:t>For detailed information on ordering di</w:t>
      </w:r>
      <w:r w:rsidR="002578A2" w:rsidRPr="00E94355">
        <w:rPr>
          <w:rFonts w:eastAsia="HelenPro-Regular"/>
        </w:rPr>
        <w:t xml:space="preserve">lutions, refer to the ARCHITECT </w:t>
      </w:r>
      <w:r w:rsidRPr="00E94355">
        <w:rPr>
          <w:rFonts w:eastAsia="HelenPro-Regular"/>
        </w:rPr>
        <w:t>System Operations Manual, Section 5.</w:t>
      </w:r>
    </w:p>
    <w:p w:rsidR="00DA0D83" w:rsidRPr="00E94355" w:rsidRDefault="00DA0D83" w:rsidP="00F95946">
      <w:pPr>
        <w:rPr>
          <w:b/>
          <w:color w:val="000000"/>
        </w:rPr>
      </w:pPr>
    </w:p>
    <w:p w:rsidR="00912FE4" w:rsidRPr="00E94355" w:rsidRDefault="00912FE4" w:rsidP="00F95946">
      <w:pPr>
        <w:rPr>
          <w:rFonts w:eastAsia="HelenPro-Regular"/>
        </w:rPr>
      </w:pPr>
      <w:r w:rsidRPr="00E94355">
        <w:rPr>
          <w:b/>
          <w:color w:val="000000"/>
        </w:rPr>
        <w:lastRenderedPageBreak/>
        <w:t>Precision:</w:t>
      </w:r>
      <w:r w:rsidR="0038442D" w:rsidRPr="00E94355">
        <w:rPr>
          <w:b/>
          <w:color w:val="000000"/>
        </w:rPr>
        <w:t xml:space="preserve"> </w:t>
      </w:r>
    </w:p>
    <w:p w:rsidR="00A06293" w:rsidRPr="00E94355" w:rsidRDefault="0050716A" w:rsidP="0050716A">
      <w:pPr>
        <w:autoSpaceDE w:val="0"/>
        <w:autoSpaceDN w:val="0"/>
        <w:adjustRightInd w:val="0"/>
        <w:rPr>
          <w:rFonts w:eastAsia="HelenPro-Regular"/>
        </w:rPr>
      </w:pPr>
      <w:r w:rsidRPr="00E94355">
        <w:rPr>
          <w:rFonts w:eastAsia="HelenPro-Regular"/>
        </w:rPr>
        <w:t xml:space="preserve">The ARCHITECT </w:t>
      </w:r>
      <w:proofErr w:type="spellStart"/>
      <w:r w:rsidR="00F43503" w:rsidRPr="00E94355">
        <w:rPr>
          <w:rFonts w:eastAsia="HelenPro-Regular"/>
          <w:i/>
        </w:rPr>
        <w:t>i</w:t>
      </w:r>
      <w:proofErr w:type="spellEnd"/>
      <w:r w:rsidR="00F43503" w:rsidRPr="00E94355">
        <w:rPr>
          <w:rFonts w:eastAsia="HelenPro-Regular"/>
        </w:rPr>
        <w:t xml:space="preserve"> Phenobarbital </w:t>
      </w:r>
      <w:r w:rsidRPr="00E94355">
        <w:rPr>
          <w:rFonts w:eastAsia="HelenPro-Regular"/>
        </w:rPr>
        <w:t>assay is designed to have an assay</w:t>
      </w:r>
      <w:r w:rsidR="002578A2" w:rsidRPr="00E94355">
        <w:rPr>
          <w:rFonts w:eastAsia="HelenPro-Regular"/>
        </w:rPr>
        <w:t xml:space="preserve"> </w:t>
      </w:r>
      <w:r w:rsidRPr="00E94355">
        <w:rPr>
          <w:rFonts w:eastAsia="HelenPro-Regular"/>
        </w:rPr>
        <w:t>precision of ≤ 10% total CV.</w:t>
      </w:r>
      <w:r w:rsidR="003C5BC8" w:rsidRPr="00E94355">
        <w:rPr>
          <w:rFonts w:eastAsia="HelenPro-Regular"/>
        </w:rPr>
        <w:t xml:space="preserve">  </w:t>
      </w:r>
    </w:p>
    <w:p w:rsidR="0050716A" w:rsidRPr="00E94355" w:rsidRDefault="0050716A" w:rsidP="0050716A">
      <w:pPr>
        <w:autoSpaceDE w:val="0"/>
        <w:autoSpaceDN w:val="0"/>
        <w:adjustRightInd w:val="0"/>
        <w:rPr>
          <w:rFonts w:eastAsia="HelenPro-Regular"/>
        </w:rPr>
      </w:pPr>
      <w:r w:rsidRPr="00E94355">
        <w:rPr>
          <w:noProof/>
        </w:rPr>
        <w:drawing>
          <wp:inline distT="0" distB="0" distL="0" distR="0" wp14:anchorId="087044B3" wp14:editId="56083E40">
            <wp:extent cx="3073231" cy="2796363"/>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72524" cy="2795719"/>
                    </a:xfrm>
                    <a:prstGeom prst="rect">
                      <a:avLst/>
                    </a:prstGeom>
                  </pic:spPr>
                </pic:pic>
              </a:graphicData>
            </a:graphic>
          </wp:inline>
        </w:drawing>
      </w:r>
    </w:p>
    <w:p w:rsidR="00C53E37" w:rsidRPr="00E94355" w:rsidRDefault="00C53E37" w:rsidP="00C53E37">
      <w:pPr>
        <w:pStyle w:val="Heading4"/>
        <w:rPr>
          <w:sz w:val="24"/>
          <w:szCs w:val="24"/>
        </w:rPr>
      </w:pPr>
      <w:r w:rsidRPr="00E94355">
        <w:rPr>
          <w:sz w:val="24"/>
          <w:szCs w:val="24"/>
        </w:rPr>
        <w:t>Limitations of Procedure</w:t>
      </w:r>
      <w:r w:rsidR="00973EAF" w:rsidRPr="00E94355">
        <w:rPr>
          <w:sz w:val="24"/>
          <w:szCs w:val="24"/>
        </w:rPr>
        <w:t xml:space="preserve"> </w:t>
      </w:r>
    </w:p>
    <w:p w:rsidR="005B1BF7" w:rsidRPr="00E94355" w:rsidRDefault="005B1BF7" w:rsidP="005B1BF7">
      <w:pPr>
        <w:pStyle w:val="ListParagraph"/>
        <w:numPr>
          <w:ilvl w:val="0"/>
          <w:numId w:val="20"/>
        </w:numPr>
        <w:autoSpaceDE w:val="0"/>
        <w:autoSpaceDN w:val="0"/>
        <w:adjustRightInd w:val="0"/>
        <w:rPr>
          <w:rFonts w:eastAsia="HelenPro-Regular"/>
        </w:rPr>
      </w:pPr>
      <w:r w:rsidRPr="00E94355">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50716A" w:rsidRPr="00E94355" w:rsidRDefault="005B1BF7" w:rsidP="0050716A">
      <w:pPr>
        <w:pStyle w:val="ListParagraph"/>
        <w:numPr>
          <w:ilvl w:val="0"/>
          <w:numId w:val="20"/>
        </w:numPr>
        <w:autoSpaceDE w:val="0"/>
        <w:autoSpaceDN w:val="0"/>
        <w:adjustRightInd w:val="0"/>
        <w:rPr>
          <w:rFonts w:eastAsia="HelenPro-Regular"/>
        </w:rPr>
      </w:pPr>
      <w:proofErr w:type="spellStart"/>
      <w:r w:rsidRPr="00E94355">
        <w:rPr>
          <w:rFonts w:eastAsia="HelenPro-Regular"/>
        </w:rPr>
        <w:t>Heterophilic</w:t>
      </w:r>
      <w:proofErr w:type="spellEnd"/>
      <w:r w:rsidRPr="00E94355">
        <w:rPr>
          <w:rFonts w:eastAsia="HelenPro-Regular"/>
        </w:rPr>
        <w:t xml:space="preserve"> antibodies in human serum can react with reagent </w:t>
      </w:r>
      <w:proofErr w:type="spellStart"/>
      <w:r w:rsidRPr="00E94355">
        <w:rPr>
          <w:rFonts w:eastAsia="HelenPro-Regular"/>
        </w:rPr>
        <w:t>immunoglobulins</w:t>
      </w:r>
      <w:proofErr w:type="spellEnd"/>
      <w:r w:rsidRPr="00E94355">
        <w:rPr>
          <w:rFonts w:eastAsia="HelenPro-Regular"/>
        </w:rPr>
        <w:t xml:space="preserve">, interfering with </w:t>
      </w:r>
      <w:r w:rsidRPr="00E94355">
        <w:rPr>
          <w:rFonts w:eastAsia="HelenPro-Bold"/>
          <w:i/>
          <w:iCs/>
        </w:rPr>
        <w:t xml:space="preserve">in vitro </w:t>
      </w:r>
      <w:r w:rsidRPr="00E94355">
        <w:rPr>
          <w:rFonts w:eastAsia="HelenPro-Regular"/>
        </w:rPr>
        <w:t>immunoassays. Patients routinely exposed to animals or to animal serum products can be prone to this interference and anomalous results may be observed. Additional information may be required for diagnosis.</w:t>
      </w:r>
      <w:r w:rsidR="00A06293" w:rsidRPr="00E94355">
        <w:rPr>
          <w:rFonts w:eastAsia="HelenPro-Regular"/>
        </w:rPr>
        <w:t xml:space="preserve"> </w:t>
      </w:r>
    </w:p>
    <w:p w:rsidR="003C5BC8" w:rsidRPr="00E94355" w:rsidRDefault="0050716A" w:rsidP="0050716A">
      <w:pPr>
        <w:pStyle w:val="ListParagraph"/>
        <w:numPr>
          <w:ilvl w:val="0"/>
          <w:numId w:val="20"/>
        </w:numPr>
        <w:autoSpaceDE w:val="0"/>
        <w:autoSpaceDN w:val="0"/>
        <w:adjustRightInd w:val="0"/>
        <w:rPr>
          <w:rFonts w:eastAsia="HelenPro-Regular"/>
        </w:rPr>
      </w:pPr>
      <w:proofErr w:type="spellStart"/>
      <w:r w:rsidRPr="00E94355">
        <w:rPr>
          <w:rFonts w:eastAsia="HelenPro-Regular"/>
        </w:rPr>
        <w:t>Amobarbital</w:t>
      </w:r>
      <w:proofErr w:type="spellEnd"/>
      <w:r w:rsidRPr="00E94355">
        <w:rPr>
          <w:rFonts w:eastAsia="HelenPro-Regular"/>
        </w:rPr>
        <w:t xml:space="preserve"> and </w:t>
      </w:r>
      <w:proofErr w:type="spellStart"/>
      <w:r w:rsidRPr="00E94355">
        <w:rPr>
          <w:rFonts w:eastAsia="HelenPro-Regular"/>
        </w:rPr>
        <w:t>mephobarbital</w:t>
      </w:r>
      <w:proofErr w:type="spellEnd"/>
      <w:r w:rsidRPr="00E94355">
        <w:rPr>
          <w:rFonts w:eastAsia="HelenPro-Regular"/>
        </w:rPr>
        <w:t xml:space="preserve"> are drugs structurally similar to phenobarbital. These drugs may interfere with the ARCHITECT </w:t>
      </w:r>
      <w:proofErr w:type="spellStart"/>
      <w:r w:rsidR="00F43503" w:rsidRPr="00E94355">
        <w:rPr>
          <w:rFonts w:eastAsia="HelenPro-Regular"/>
          <w:i/>
        </w:rPr>
        <w:t>i</w:t>
      </w:r>
      <w:proofErr w:type="spellEnd"/>
      <w:r w:rsidR="00F43503" w:rsidRPr="00E94355">
        <w:rPr>
          <w:rFonts w:eastAsia="HelenPro-Regular"/>
        </w:rPr>
        <w:t xml:space="preserve"> Phenobarbital </w:t>
      </w:r>
      <w:r w:rsidRPr="00E94355">
        <w:rPr>
          <w:rFonts w:eastAsia="HelenPro-Regular"/>
        </w:rPr>
        <w:t>assay</w:t>
      </w:r>
      <w:r w:rsidRPr="00E94355">
        <w:rPr>
          <w:rFonts w:eastAsia="HelenPro-Regular"/>
          <w:sz w:val="17"/>
          <w:szCs w:val="17"/>
        </w:rPr>
        <w:t>.</w:t>
      </w:r>
    </w:p>
    <w:p w:rsidR="0050716A" w:rsidRPr="00E94355" w:rsidRDefault="0050716A" w:rsidP="003C5BC8">
      <w:pPr>
        <w:autoSpaceDE w:val="0"/>
        <w:autoSpaceDN w:val="0"/>
        <w:adjustRightInd w:val="0"/>
        <w:ind w:left="270"/>
        <w:rPr>
          <w:rFonts w:eastAsia="HelenPro-Bold"/>
          <w:b/>
          <w:bCs/>
        </w:rPr>
      </w:pPr>
    </w:p>
    <w:p w:rsidR="00F95946" w:rsidRPr="00E94355" w:rsidRDefault="00F95946" w:rsidP="003C5BC8">
      <w:pPr>
        <w:autoSpaceDE w:val="0"/>
        <w:autoSpaceDN w:val="0"/>
        <w:adjustRightInd w:val="0"/>
        <w:ind w:left="270"/>
        <w:rPr>
          <w:rFonts w:eastAsia="HelenPro-Bold"/>
          <w:b/>
          <w:bCs/>
        </w:rPr>
      </w:pPr>
      <w:r w:rsidRPr="00E94355">
        <w:rPr>
          <w:rFonts w:eastAsia="HelenPro-Bold"/>
          <w:b/>
          <w:bCs/>
        </w:rPr>
        <w:t>Interfering Substances</w:t>
      </w:r>
    </w:p>
    <w:p w:rsidR="003C5BC8" w:rsidRPr="00E94355" w:rsidRDefault="002578A2" w:rsidP="002578A2">
      <w:pPr>
        <w:autoSpaceDE w:val="0"/>
        <w:autoSpaceDN w:val="0"/>
        <w:adjustRightInd w:val="0"/>
        <w:rPr>
          <w:rFonts w:eastAsia="HelenPro-Regular"/>
        </w:rPr>
      </w:pPr>
      <w:r w:rsidRPr="00E94355">
        <w:rPr>
          <w:rFonts w:eastAsia="HelenPro-Regular"/>
        </w:rPr>
        <w:t xml:space="preserve">Potential interference in the ARCHITECT </w:t>
      </w:r>
      <w:proofErr w:type="spellStart"/>
      <w:r w:rsidR="00F43503" w:rsidRPr="00E94355">
        <w:rPr>
          <w:rFonts w:eastAsia="HelenPro-Regular"/>
          <w:i/>
        </w:rPr>
        <w:t>i</w:t>
      </w:r>
      <w:proofErr w:type="spellEnd"/>
      <w:r w:rsidR="00F43503" w:rsidRPr="00E94355">
        <w:rPr>
          <w:rFonts w:eastAsia="HelenPro-Regular"/>
        </w:rPr>
        <w:t xml:space="preserve"> Phenobarbital </w:t>
      </w:r>
      <w:r w:rsidRPr="00E94355">
        <w:rPr>
          <w:rFonts w:eastAsia="HelenPro-Regular"/>
        </w:rPr>
        <w:t>assay from the following compounds is designed to have a mean recovery of 100 +/- 10% of the control results at the levels indicated.</w:t>
      </w:r>
    </w:p>
    <w:p w:rsidR="002578A2" w:rsidRPr="00E94355" w:rsidRDefault="002578A2" w:rsidP="002578A2">
      <w:pPr>
        <w:autoSpaceDE w:val="0"/>
        <w:autoSpaceDN w:val="0"/>
        <w:adjustRightInd w:val="0"/>
        <w:ind w:left="720"/>
        <w:rPr>
          <w:rFonts w:eastAsia="HelenPro-Regular"/>
        </w:rPr>
      </w:pPr>
      <w:r w:rsidRPr="00E94355">
        <w:rPr>
          <w:noProof/>
        </w:rPr>
        <w:drawing>
          <wp:inline distT="0" distB="0" distL="0" distR="0" wp14:anchorId="1548F212" wp14:editId="2A7B67B2">
            <wp:extent cx="4229100" cy="1219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229100" cy="1219200"/>
                    </a:xfrm>
                    <a:prstGeom prst="rect">
                      <a:avLst/>
                    </a:prstGeom>
                  </pic:spPr>
                </pic:pic>
              </a:graphicData>
            </a:graphic>
          </wp:inline>
        </w:drawing>
      </w:r>
    </w:p>
    <w:p w:rsidR="002578A2" w:rsidRPr="00E94355" w:rsidRDefault="002578A2" w:rsidP="002578A2">
      <w:pPr>
        <w:autoSpaceDE w:val="0"/>
        <w:autoSpaceDN w:val="0"/>
        <w:adjustRightInd w:val="0"/>
        <w:ind w:left="720"/>
        <w:rPr>
          <w:rFonts w:eastAsia="HelenPro-Regular"/>
        </w:rPr>
      </w:pPr>
    </w:p>
    <w:p w:rsidR="002578A2" w:rsidRPr="00E94355" w:rsidRDefault="002578A2" w:rsidP="002578A2">
      <w:pPr>
        <w:autoSpaceDE w:val="0"/>
        <w:autoSpaceDN w:val="0"/>
        <w:adjustRightInd w:val="0"/>
        <w:ind w:left="720"/>
        <w:rPr>
          <w:rFonts w:eastAsia="HelenPro-Regular"/>
        </w:rPr>
      </w:pPr>
      <w:r w:rsidRPr="00E94355">
        <w:rPr>
          <w:rFonts w:eastAsia="HelenPro-Regular"/>
        </w:rPr>
        <w:t>See the reagent package insert for further information on other potentially interfering substances.</w:t>
      </w:r>
    </w:p>
    <w:p w:rsidR="002578A2" w:rsidRPr="00E94355" w:rsidRDefault="002578A2" w:rsidP="002578A2">
      <w:pPr>
        <w:autoSpaceDE w:val="0"/>
        <w:autoSpaceDN w:val="0"/>
        <w:adjustRightInd w:val="0"/>
        <w:ind w:left="720"/>
        <w:rPr>
          <w:rFonts w:eastAsia="HelenPro-Regular"/>
        </w:rPr>
      </w:pPr>
    </w:p>
    <w:p w:rsidR="00887473" w:rsidRPr="00E94355" w:rsidRDefault="002578A2" w:rsidP="002578A2">
      <w:pPr>
        <w:autoSpaceDE w:val="0"/>
        <w:autoSpaceDN w:val="0"/>
        <w:adjustRightInd w:val="0"/>
        <w:rPr>
          <w:rFonts w:eastAsia="HelenPro-Regular"/>
          <w:b/>
        </w:rPr>
      </w:pPr>
      <w:r w:rsidRPr="00E94355">
        <w:rPr>
          <w:rFonts w:eastAsia="HelenPro-Regular"/>
          <w:b/>
        </w:rPr>
        <w:t xml:space="preserve">     Specificity</w:t>
      </w:r>
    </w:p>
    <w:p w:rsidR="002578A2" w:rsidRPr="00E94355" w:rsidRDefault="002578A2" w:rsidP="002578A2">
      <w:pPr>
        <w:autoSpaceDE w:val="0"/>
        <w:autoSpaceDN w:val="0"/>
        <w:adjustRightInd w:val="0"/>
        <w:rPr>
          <w:rFonts w:eastAsia="HelenPro-Regular"/>
        </w:rPr>
      </w:pPr>
      <w:r w:rsidRPr="00E94355">
        <w:rPr>
          <w:noProof/>
        </w:rPr>
        <w:lastRenderedPageBreak/>
        <w:drawing>
          <wp:inline distT="0" distB="0" distL="0" distR="0" wp14:anchorId="5B45D242" wp14:editId="20A00977">
            <wp:extent cx="4248150" cy="413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248150" cy="4133850"/>
                    </a:xfrm>
                    <a:prstGeom prst="rect">
                      <a:avLst/>
                    </a:prstGeom>
                  </pic:spPr>
                </pic:pic>
              </a:graphicData>
            </a:graphic>
          </wp:inline>
        </w:drawing>
      </w:r>
    </w:p>
    <w:p w:rsidR="00887473" w:rsidRPr="00E94355" w:rsidRDefault="00887473" w:rsidP="00041A33">
      <w:pPr>
        <w:autoSpaceDE w:val="0"/>
        <w:autoSpaceDN w:val="0"/>
        <w:adjustRightInd w:val="0"/>
        <w:ind w:left="720"/>
        <w:rPr>
          <w:rFonts w:eastAsia="HelenPro-Regular"/>
        </w:rPr>
      </w:pPr>
    </w:p>
    <w:p w:rsidR="00887473" w:rsidRPr="00E94355" w:rsidRDefault="00887473" w:rsidP="00041A33">
      <w:pPr>
        <w:autoSpaceDE w:val="0"/>
        <w:autoSpaceDN w:val="0"/>
        <w:adjustRightInd w:val="0"/>
        <w:ind w:left="720"/>
        <w:rPr>
          <w:rFonts w:eastAsia="HelenPro-Regular"/>
        </w:rPr>
      </w:pPr>
    </w:p>
    <w:p w:rsidR="00887473" w:rsidRPr="00E94355" w:rsidRDefault="00887473" w:rsidP="00041A33">
      <w:pPr>
        <w:autoSpaceDE w:val="0"/>
        <w:autoSpaceDN w:val="0"/>
        <w:adjustRightInd w:val="0"/>
        <w:ind w:left="720"/>
        <w:rPr>
          <w:rFonts w:eastAsia="HelenPro-Regular"/>
        </w:rPr>
      </w:pPr>
    </w:p>
    <w:p w:rsidR="00887473" w:rsidRPr="00E94355" w:rsidRDefault="00887473" w:rsidP="00041A33">
      <w:pPr>
        <w:autoSpaceDE w:val="0"/>
        <w:autoSpaceDN w:val="0"/>
        <w:adjustRightInd w:val="0"/>
        <w:ind w:left="720"/>
        <w:rPr>
          <w:rFonts w:eastAsia="HelenPro-Regular"/>
        </w:rPr>
      </w:pPr>
    </w:p>
    <w:p w:rsidR="00887473" w:rsidRPr="00E94355" w:rsidRDefault="00887473" w:rsidP="00041A33">
      <w:pPr>
        <w:autoSpaceDE w:val="0"/>
        <w:autoSpaceDN w:val="0"/>
        <w:adjustRightInd w:val="0"/>
        <w:ind w:left="720"/>
        <w:rPr>
          <w:rFonts w:eastAsia="HelenPro-Regular"/>
        </w:rPr>
      </w:pPr>
    </w:p>
    <w:p w:rsidR="00D16B69" w:rsidRPr="00E94355" w:rsidRDefault="00D16B69" w:rsidP="00D16B69">
      <w:pPr>
        <w:jc w:val="both"/>
        <w:rPr>
          <w:b/>
        </w:rPr>
      </w:pPr>
      <w:r w:rsidRPr="00E94355">
        <w:rPr>
          <w:b/>
        </w:rPr>
        <w:t>References:</w:t>
      </w:r>
      <w:r w:rsidR="00973EAF" w:rsidRPr="00E94355">
        <w:rPr>
          <w:b/>
        </w:rPr>
        <w:t xml:space="preserve"> </w:t>
      </w:r>
    </w:p>
    <w:p w:rsidR="000A13F2" w:rsidRPr="00E94355" w:rsidRDefault="000A13F2" w:rsidP="00030CDD">
      <w:pPr>
        <w:pStyle w:val="ListParagraph"/>
        <w:numPr>
          <w:ilvl w:val="0"/>
          <w:numId w:val="4"/>
        </w:numPr>
        <w:rPr>
          <w:sz w:val="22"/>
          <w:szCs w:val="22"/>
        </w:rPr>
      </w:pPr>
      <w:r w:rsidRPr="00E94355">
        <w:rPr>
          <w:sz w:val="22"/>
          <w:szCs w:val="22"/>
        </w:rPr>
        <w:t xml:space="preserve">ABBOTT ARCHITECT </w:t>
      </w:r>
      <w:proofErr w:type="spellStart"/>
      <w:r w:rsidR="00F43503" w:rsidRPr="00E94355">
        <w:rPr>
          <w:rFonts w:eastAsia="HelenPro-Regular"/>
          <w:i/>
        </w:rPr>
        <w:t>i</w:t>
      </w:r>
      <w:proofErr w:type="spellEnd"/>
      <w:r w:rsidR="00F43503" w:rsidRPr="00E94355">
        <w:rPr>
          <w:rFonts w:eastAsia="HelenPro-Regular"/>
        </w:rPr>
        <w:t xml:space="preserve"> Phenobarbital </w:t>
      </w:r>
      <w:r w:rsidRPr="00E94355">
        <w:rPr>
          <w:sz w:val="22"/>
          <w:szCs w:val="22"/>
        </w:rPr>
        <w:t>package insert</w:t>
      </w:r>
    </w:p>
    <w:p w:rsidR="000A13F2" w:rsidRPr="00E94355" w:rsidRDefault="000A13F2" w:rsidP="000A13F2">
      <w:pPr>
        <w:pStyle w:val="ListParagraph"/>
        <w:rPr>
          <w:sz w:val="22"/>
          <w:szCs w:val="22"/>
        </w:rPr>
      </w:pPr>
      <w:r w:rsidRPr="00E94355">
        <w:rPr>
          <w:sz w:val="22"/>
          <w:szCs w:val="22"/>
        </w:rPr>
        <w:t>Abbott Laboratories</w:t>
      </w:r>
    </w:p>
    <w:p w:rsidR="000A13F2" w:rsidRPr="00E94355" w:rsidRDefault="000A13F2" w:rsidP="000A13F2">
      <w:pPr>
        <w:pStyle w:val="ListParagraph"/>
        <w:rPr>
          <w:sz w:val="22"/>
          <w:szCs w:val="22"/>
        </w:rPr>
      </w:pPr>
      <w:r w:rsidRPr="00E94355">
        <w:rPr>
          <w:sz w:val="22"/>
          <w:szCs w:val="22"/>
        </w:rPr>
        <w:t>Diagnostics Division</w:t>
      </w:r>
    </w:p>
    <w:p w:rsidR="000A13F2" w:rsidRPr="00E94355" w:rsidRDefault="000A13F2" w:rsidP="000A13F2">
      <w:pPr>
        <w:pStyle w:val="ListParagraph"/>
        <w:rPr>
          <w:sz w:val="22"/>
          <w:szCs w:val="22"/>
        </w:rPr>
      </w:pPr>
      <w:r w:rsidRPr="00E94355">
        <w:rPr>
          <w:sz w:val="22"/>
          <w:szCs w:val="22"/>
        </w:rPr>
        <w:t>Abbott Park, IL  60064</w:t>
      </w:r>
    </w:p>
    <w:p w:rsidR="00425BA0" w:rsidRPr="00E94355" w:rsidRDefault="001318C3" w:rsidP="00425BA0">
      <w:pPr>
        <w:pStyle w:val="ListParagraph"/>
        <w:rPr>
          <w:rFonts w:eastAsia="HelenPro-Bold"/>
          <w:b/>
          <w:bCs/>
          <w:sz w:val="20"/>
          <w:szCs w:val="20"/>
        </w:rPr>
      </w:pPr>
      <w:r w:rsidRPr="00E94355">
        <w:rPr>
          <w:bCs/>
          <w:sz w:val="22"/>
          <w:szCs w:val="22"/>
        </w:rPr>
        <w:t>Jan</w:t>
      </w:r>
      <w:r w:rsidR="0074336C" w:rsidRPr="00E94355">
        <w:rPr>
          <w:bCs/>
          <w:sz w:val="22"/>
          <w:szCs w:val="22"/>
        </w:rPr>
        <w:t xml:space="preserve"> 201</w:t>
      </w:r>
      <w:r w:rsidRPr="00E94355">
        <w:rPr>
          <w:bCs/>
          <w:sz w:val="22"/>
          <w:szCs w:val="22"/>
        </w:rPr>
        <w:t>5</w:t>
      </w:r>
      <w:r w:rsidR="000A13F2" w:rsidRPr="00E94355">
        <w:rPr>
          <w:bCs/>
          <w:sz w:val="22"/>
          <w:szCs w:val="22"/>
        </w:rPr>
        <w:t xml:space="preserve"> </w:t>
      </w:r>
      <w:r w:rsidRPr="00E94355">
        <w:rPr>
          <w:sz w:val="22"/>
          <w:szCs w:val="22"/>
        </w:rPr>
        <w:t>F5-Y304-2/R04</w:t>
      </w:r>
    </w:p>
    <w:p w:rsidR="000A13F2" w:rsidRPr="00E94355" w:rsidRDefault="000A13F2" w:rsidP="00425BA0">
      <w:pPr>
        <w:pStyle w:val="ListParagraph"/>
        <w:numPr>
          <w:ilvl w:val="0"/>
          <w:numId w:val="4"/>
        </w:numPr>
        <w:rPr>
          <w:rFonts w:eastAsia="HelenPro-Bold"/>
          <w:b/>
          <w:bCs/>
          <w:sz w:val="20"/>
          <w:szCs w:val="20"/>
        </w:rPr>
      </w:pPr>
      <w:r w:rsidRPr="00E94355">
        <w:rPr>
          <w:sz w:val="22"/>
          <w:szCs w:val="22"/>
        </w:rPr>
        <w:t xml:space="preserve">ABBOTT ARCHITECT </w:t>
      </w:r>
      <w:proofErr w:type="spellStart"/>
      <w:r w:rsidR="00F43503" w:rsidRPr="00E94355">
        <w:rPr>
          <w:rFonts w:eastAsia="HelenPro-Regular"/>
          <w:i/>
        </w:rPr>
        <w:t>i</w:t>
      </w:r>
      <w:proofErr w:type="spellEnd"/>
      <w:r w:rsidR="00F43503" w:rsidRPr="00E94355">
        <w:rPr>
          <w:rFonts w:eastAsia="HelenPro-Regular"/>
        </w:rPr>
        <w:t xml:space="preserve"> Phenobarbital </w:t>
      </w:r>
      <w:r w:rsidRPr="00E94355">
        <w:rPr>
          <w:sz w:val="22"/>
          <w:szCs w:val="22"/>
        </w:rPr>
        <w:t>Calibrator package insert</w:t>
      </w:r>
    </w:p>
    <w:p w:rsidR="000A13F2" w:rsidRPr="00E94355" w:rsidRDefault="000A13F2" w:rsidP="000A13F2">
      <w:pPr>
        <w:pStyle w:val="ListParagraph"/>
        <w:rPr>
          <w:sz w:val="22"/>
          <w:szCs w:val="22"/>
        </w:rPr>
      </w:pPr>
      <w:r w:rsidRPr="00E94355">
        <w:rPr>
          <w:sz w:val="22"/>
          <w:szCs w:val="22"/>
        </w:rPr>
        <w:t>Abbott Laboratories</w:t>
      </w:r>
    </w:p>
    <w:p w:rsidR="000A13F2" w:rsidRPr="00E94355" w:rsidRDefault="000A13F2" w:rsidP="000A13F2">
      <w:pPr>
        <w:pStyle w:val="ListParagraph"/>
        <w:rPr>
          <w:sz w:val="22"/>
          <w:szCs w:val="22"/>
        </w:rPr>
      </w:pPr>
      <w:r w:rsidRPr="00E94355">
        <w:rPr>
          <w:sz w:val="22"/>
          <w:szCs w:val="22"/>
        </w:rPr>
        <w:t>Diagnostics Division</w:t>
      </w:r>
    </w:p>
    <w:p w:rsidR="000A13F2" w:rsidRPr="00E94355" w:rsidRDefault="000A13F2" w:rsidP="000A13F2">
      <w:pPr>
        <w:pStyle w:val="ListParagraph"/>
        <w:rPr>
          <w:sz w:val="22"/>
          <w:szCs w:val="22"/>
        </w:rPr>
      </w:pPr>
      <w:r w:rsidRPr="00E94355">
        <w:rPr>
          <w:sz w:val="22"/>
          <w:szCs w:val="22"/>
        </w:rPr>
        <w:t>Abbott Park, IL  60064</w:t>
      </w:r>
    </w:p>
    <w:p w:rsidR="00173EA4" w:rsidRPr="00E94355" w:rsidRDefault="000A13F2" w:rsidP="00246FA8">
      <w:pPr>
        <w:pStyle w:val="ListParagraph"/>
        <w:numPr>
          <w:ilvl w:val="0"/>
          <w:numId w:val="4"/>
        </w:numPr>
        <w:spacing w:after="72"/>
        <w:jc w:val="both"/>
      </w:pPr>
      <w:r w:rsidRPr="00E94355">
        <w:t>Abbott ARCHITECT</w:t>
      </w:r>
      <w:r w:rsidR="00941AE5" w:rsidRPr="00E94355">
        <w:rPr>
          <w:lang w:val="ru-RU"/>
        </w:rPr>
        <w:t xml:space="preserve"> Operator’s Guid</w:t>
      </w:r>
      <w:r w:rsidR="00941AE5" w:rsidRPr="00E94355">
        <w:t>e</w:t>
      </w:r>
    </w:p>
    <w:p w:rsidR="00941AE5" w:rsidRPr="00E94355" w:rsidRDefault="00941AE5" w:rsidP="00941AE5">
      <w:pPr>
        <w:spacing w:after="72"/>
        <w:jc w:val="both"/>
      </w:pPr>
    </w:p>
    <w:p w:rsidR="00941AE5" w:rsidRPr="00E94355" w:rsidRDefault="00941AE5" w:rsidP="00941AE5">
      <w:pPr>
        <w:spacing w:after="72"/>
        <w:jc w:val="both"/>
      </w:pPr>
    </w:p>
    <w:p w:rsidR="00173EA4" w:rsidRPr="00E94355" w:rsidRDefault="00173EA4" w:rsidP="00246FA8">
      <w:pPr>
        <w:rPr>
          <w:b/>
        </w:rPr>
      </w:pPr>
    </w:p>
    <w:p w:rsidR="00881923" w:rsidRPr="00E94355" w:rsidRDefault="002D18CA" w:rsidP="00246FA8">
      <w:pPr>
        <w:rPr>
          <w:i/>
          <w:sz w:val="20"/>
          <w:szCs w:val="20"/>
        </w:rPr>
      </w:pPr>
      <w:r w:rsidRPr="00E94355">
        <w:rPr>
          <w:b/>
        </w:rPr>
        <w:t>R</w:t>
      </w:r>
      <w:r w:rsidR="0009322F" w:rsidRPr="00E94355">
        <w:rPr>
          <w:b/>
        </w:rPr>
        <w:t xml:space="preserve">elated Documents: </w:t>
      </w:r>
    </w:p>
    <w:p w:rsidR="00E94355" w:rsidRPr="00E94355" w:rsidRDefault="00157696" w:rsidP="00E94355">
      <w:r w:rsidRPr="00E94355">
        <w:rPr>
          <w:b/>
        </w:rPr>
        <w:t>Attachments:</w:t>
      </w:r>
      <w:r w:rsidR="00973EAF" w:rsidRPr="00E94355">
        <w:rPr>
          <w:b/>
        </w:rPr>
        <w:t xml:space="preserve"> </w:t>
      </w:r>
    </w:p>
    <w:sectPr w:rsidR="00E94355" w:rsidRPr="00E94355" w:rsidSect="00507B0C">
      <w:headerReference w:type="even" r:id="rId24"/>
      <w:headerReference w:type="default" r:id="rId25"/>
      <w:footerReference w:type="even" r:id="rId26"/>
      <w:footerReference w:type="default" r:id="rId27"/>
      <w:headerReference w:type="first" r:id="rId28"/>
      <w:footerReference w:type="first" r:id="rId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41" w:rsidRDefault="00611B41">
      <w:r>
        <w:separator/>
      </w:r>
    </w:p>
  </w:endnote>
  <w:endnote w:type="continuationSeparator" w:id="0">
    <w:p w:rsidR="00611B41" w:rsidRDefault="0061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84" w:rsidRDefault="002C5C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E94355">
      <w:rPr>
        <w:noProof/>
        <w:sz w:val="20"/>
        <w:szCs w:val="20"/>
      </w:rPr>
      <w:t>11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E94355">
      <w:rPr>
        <w:noProof/>
        <w:sz w:val="20"/>
        <w:szCs w:val="20"/>
      </w:rPr>
      <w:t>11</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84" w:rsidRDefault="002C5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41" w:rsidRDefault="00611B41">
      <w:r>
        <w:separator/>
      </w:r>
    </w:p>
  </w:footnote>
  <w:footnote w:type="continuationSeparator" w:id="0">
    <w:p w:rsidR="00611B41" w:rsidRDefault="00611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84" w:rsidRDefault="002C5C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proofErr w:type="spellStart"/>
    <w:r w:rsidR="002C5C84" w:rsidRPr="002C5C84">
      <w:t>Pr</w:t>
    </w:r>
    <w:r>
      <w:rPr>
        <w:b/>
        <w:sz w:val="20"/>
        <w:szCs w:val="20"/>
      </w:rPr>
      <w:t>oc</w:t>
    </w:r>
    <w:proofErr w:type="spellEnd"/>
    <w:r>
      <w:rPr>
        <w:b/>
        <w:sz w:val="20"/>
        <w:szCs w:val="20"/>
      </w:rPr>
      <w:t>#</w:t>
    </w:r>
    <w:r w:rsidR="002C5C84">
      <w:rPr>
        <w:b/>
        <w:sz w:val="20"/>
        <w:szCs w:val="20"/>
      </w:rPr>
      <w:t xml:space="preserve"> 4840-</w:t>
    </w:r>
    <w:r w:rsidR="002C5C84" w:rsidRPr="002C5C84">
      <w:rPr>
        <w:sz w:val="20"/>
        <w:szCs w:val="20"/>
      </w:rPr>
      <w:t>CH</w:t>
    </w:r>
    <w:r w:rsidR="002C5C84">
      <w:rPr>
        <w:b/>
        <w:sz w:val="20"/>
        <w:szCs w:val="20"/>
      </w:rPr>
      <w:t>-201</w:t>
    </w:r>
  </w:p>
  <w:p w:rsidR="00B54C79" w:rsidRDefault="00B54C79" w:rsidP="00100BF8">
    <w:pPr>
      <w:jc w:val="right"/>
      <w:rPr>
        <w:sz w:val="20"/>
        <w:szCs w:val="20"/>
      </w:rPr>
    </w:pPr>
    <w:r>
      <w:rPr>
        <w:sz w:val="20"/>
        <w:szCs w:val="20"/>
      </w:rPr>
      <w:t xml:space="preserve">ARCHITECT </w:t>
    </w:r>
    <w:proofErr w:type="spellStart"/>
    <w:r w:rsidR="00E4458F">
      <w:rPr>
        <w:sz w:val="20"/>
        <w:szCs w:val="20"/>
      </w:rPr>
      <w:t>i</w:t>
    </w:r>
    <w:r w:rsidR="00B94EE2">
      <w:rPr>
        <w:sz w:val="20"/>
        <w:szCs w:val="20"/>
      </w:rPr>
      <w:t>Phenobarb</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84" w:rsidRDefault="002C5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9">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5"/>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6"/>
  </w:num>
  <w:num w:numId="8">
    <w:abstractNumId w:val="0"/>
  </w:num>
  <w:num w:numId="9">
    <w:abstractNumId w:val="18"/>
  </w:num>
  <w:num w:numId="10">
    <w:abstractNumId w:val="14"/>
  </w:num>
  <w:num w:numId="11">
    <w:abstractNumId w:val="17"/>
  </w:num>
  <w:num w:numId="12">
    <w:abstractNumId w:val="1"/>
  </w:num>
  <w:num w:numId="13">
    <w:abstractNumId w:val="7"/>
  </w:num>
  <w:num w:numId="14">
    <w:abstractNumId w:val="11"/>
  </w:num>
  <w:num w:numId="15">
    <w:abstractNumId w:val="26"/>
  </w:num>
  <w:num w:numId="16">
    <w:abstractNumId w:val="15"/>
  </w:num>
  <w:num w:numId="17">
    <w:abstractNumId w:val="3"/>
  </w:num>
  <w:num w:numId="18">
    <w:abstractNumId w:val="19"/>
  </w:num>
  <w:num w:numId="19">
    <w:abstractNumId w:val="5"/>
  </w:num>
  <w:num w:numId="20">
    <w:abstractNumId w:val="8"/>
  </w:num>
  <w:num w:numId="21">
    <w:abstractNumId w:val="4"/>
  </w:num>
  <w:num w:numId="22">
    <w:abstractNumId w:val="16"/>
  </w:num>
  <w:num w:numId="23">
    <w:abstractNumId w:val="2"/>
  </w:num>
  <w:num w:numId="24">
    <w:abstractNumId w:val="20"/>
  </w:num>
  <w:num w:numId="25">
    <w:abstractNumId w:val="23"/>
  </w:num>
  <w:num w:numId="26">
    <w:abstractNumId w:val="10"/>
  </w:num>
  <w:num w:numId="27">
    <w:abstractNumId w:val="24"/>
  </w:num>
  <w:num w:numId="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9B2"/>
    <w:rsid w:val="00100BF8"/>
    <w:rsid w:val="0010358F"/>
    <w:rsid w:val="00107444"/>
    <w:rsid w:val="001318C3"/>
    <w:rsid w:val="00132081"/>
    <w:rsid w:val="00133F38"/>
    <w:rsid w:val="0014554C"/>
    <w:rsid w:val="00155687"/>
    <w:rsid w:val="00157696"/>
    <w:rsid w:val="0016247C"/>
    <w:rsid w:val="00167572"/>
    <w:rsid w:val="00172CF7"/>
    <w:rsid w:val="00173EA4"/>
    <w:rsid w:val="001756AB"/>
    <w:rsid w:val="0019760C"/>
    <w:rsid w:val="001A639E"/>
    <w:rsid w:val="001B29A7"/>
    <w:rsid w:val="001B4267"/>
    <w:rsid w:val="001C48DA"/>
    <w:rsid w:val="001D3841"/>
    <w:rsid w:val="001D6AE0"/>
    <w:rsid w:val="001E079E"/>
    <w:rsid w:val="001F32A9"/>
    <w:rsid w:val="001F6B7B"/>
    <w:rsid w:val="00211DD8"/>
    <w:rsid w:val="00246FA8"/>
    <w:rsid w:val="0025031C"/>
    <w:rsid w:val="00253C1F"/>
    <w:rsid w:val="00255C54"/>
    <w:rsid w:val="002578A2"/>
    <w:rsid w:val="002648A6"/>
    <w:rsid w:val="002649AA"/>
    <w:rsid w:val="002746A8"/>
    <w:rsid w:val="00294A08"/>
    <w:rsid w:val="002B0D2A"/>
    <w:rsid w:val="002B1993"/>
    <w:rsid w:val="002C0E55"/>
    <w:rsid w:val="002C2F49"/>
    <w:rsid w:val="002C5C84"/>
    <w:rsid w:val="002C7FD5"/>
    <w:rsid w:val="002D18CA"/>
    <w:rsid w:val="002D2075"/>
    <w:rsid w:val="002D370D"/>
    <w:rsid w:val="002D38DF"/>
    <w:rsid w:val="002D70E2"/>
    <w:rsid w:val="002E679B"/>
    <w:rsid w:val="002F52E0"/>
    <w:rsid w:val="003056A7"/>
    <w:rsid w:val="00317056"/>
    <w:rsid w:val="003356DF"/>
    <w:rsid w:val="00347BEC"/>
    <w:rsid w:val="00353FD5"/>
    <w:rsid w:val="0037463A"/>
    <w:rsid w:val="00380D60"/>
    <w:rsid w:val="0038442D"/>
    <w:rsid w:val="00386807"/>
    <w:rsid w:val="00396C4A"/>
    <w:rsid w:val="003B2E62"/>
    <w:rsid w:val="003B40E1"/>
    <w:rsid w:val="003C2522"/>
    <w:rsid w:val="003C596F"/>
    <w:rsid w:val="003C5BC8"/>
    <w:rsid w:val="003D09E1"/>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C23"/>
    <w:rsid w:val="004C37CB"/>
    <w:rsid w:val="004C73AF"/>
    <w:rsid w:val="004E0AFF"/>
    <w:rsid w:val="004F5F8A"/>
    <w:rsid w:val="0050716A"/>
    <w:rsid w:val="00507B0C"/>
    <w:rsid w:val="005169F4"/>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E3AB5"/>
    <w:rsid w:val="005E3D52"/>
    <w:rsid w:val="005E48EE"/>
    <w:rsid w:val="005F3E81"/>
    <w:rsid w:val="00607638"/>
    <w:rsid w:val="00610572"/>
    <w:rsid w:val="006107A2"/>
    <w:rsid w:val="00611B41"/>
    <w:rsid w:val="0061553C"/>
    <w:rsid w:val="00621ABB"/>
    <w:rsid w:val="00623EFB"/>
    <w:rsid w:val="0063150E"/>
    <w:rsid w:val="00644800"/>
    <w:rsid w:val="006559EB"/>
    <w:rsid w:val="00656BB9"/>
    <w:rsid w:val="00674186"/>
    <w:rsid w:val="00682038"/>
    <w:rsid w:val="00687C2F"/>
    <w:rsid w:val="006A15AE"/>
    <w:rsid w:val="006A5AAE"/>
    <w:rsid w:val="006B0A70"/>
    <w:rsid w:val="006B3C65"/>
    <w:rsid w:val="006D28ED"/>
    <w:rsid w:val="006D40ED"/>
    <w:rsid w:val="006E5155"/>
    <w:rsid w:val="006F7F4F"/>
    <w:rsid w:val="00714B7D"/>
    <w:rsid w:val="00714F24"/>
    <w:rsid w:val="00715D55"/>
    <w:rsid w:val="00742830"/>
    <w:rsid w:val="0074336C"/>
    <w:rsid w:val="007703C0"/>
    <w:rsid w:val="007840DD"/>
    <w:rsid w:val="00794A6F"/>
    <w:rsid w:val="007B09E3"/>
    <w:rsid w:val="007B0CCE"/>
    <w:rsid w:val="007B247B"/>
    <w:rsid w:val="007E4CE6"/>
    <w:rsid w:val="007E6C3C"/>
    <w:rsid w:val="0080146D"/>
    <w:rsid w:val="00802014"/>
    <w:rsid w:val="008036AC"/>
    <w:rsid w:val="00804822"/>
    <w:rsid w:val="00812CCF"/>
    <w:rsid w:val="00816ACE"/>
    <w:rsid w:val="00833E15"/>
    <w:rsid w:val="00835A84"/>
    <w:rsid w:val="00841397"/>
    <w:rsid w:val="00846F9F"/>
    <w:rsid w:val="00847607"/>
    <w:rsid w:val="00861504"/>
    <w:rsid w:val="00863AA4"/>
    <w:rsid w:val="00864220"/>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F68DC"/>
    <w:rsid w:val="008F7947"/>
    <w:rsid w:val="008F794A"/>
    <w:rsid w:val="0091292B"/>
    <w:rsid w:val="00912BAD"/>
    <w:rsid w:val="00912FE4"/>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81234"/>
    <w:rsid w:val="00A82E30"/>
    <w:rsid w:val="00A92E30"/>
    <w:rsid w:val="00AA271B"/>
    <w:rsid w:val="00AA7423"/>
    <w:rsid w:val="00AA7B6F"/>
    <w:rsid w:val="00AB5354"/>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94EE2"/>
    <w:rsid w:val="00BA0054"/>
    <w:rsid w:val="00BA3154"/>
    <w:rsid w:val="00BC1EC4"/>
    <w:rsid w:val="00BC76E2"/>
    <w:rsid w:val="00BE40A6"/>
    <w:rsid w:val="00BF32B2"/>
    <w:rsid w:val="00C32412"/>
    <w:rsid w:val="00C3571A"/>
    <w:rsid w:val="00C44099"/>
    <w:rsid w:val="00C46D5D"/>
    <w:rsid w:val="00C53E37"/>
    <w:rsid w:val="00C63D0C"/>
    <w:rsid w:val="00C63D9F"/>
    <w:rsid w:val="00C90E57"/>
    <w:rsid w:val="00C912E2"/>
    <w:rsid w:val="00C967D5"/>
    <w:rsid w:val="00CA11D0"/>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E1362"/>
    <w:rsid w:val="00DE6C4E"/>
    <w:rsid w:val="00DF01DC"/>
    <w:rsid w:val="00DF022C"/>
    <w:rsid w:val="00E03B3D"/>
    <w:rsid w:val="00E07C43"/>
    <w:rsid w:val="00E12522"/>
    <w:rsid w:val="00E12AF4"/>
    <w:rsid w:val="00E30C56"/>
    <w:rsid w:val="00E36B73"/>
    <w:rsid w:val="00E40388"/>
    <w:rsid w:val="00E438CD"/>
    <w:rsid w:val="00E4458F"/>
    <w:rsid w:val="00E44BED"/>
    <w:rsid w:val="00E4787B"/>
    <w:rsid w:val="00E50643"/>
    <w:rsid w:val="00E94355"/>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43503"/>
    <w:rsid w:val="00F61480"/>
    <w:rsid w:val="00F66836"/>
    <w:rsid w:val="00F7103F"/>
    <w:rsid w:val="00F7630F"/>
    <w:rsid w:val="00F80AD3"/>
    <w:rsid w:val="00F82D85"/>
    <w:rsid w:val="00F84979"/>
    <w:rsid w:val="00F91000"/>
    <w:rsid w:val="00F92520"/>
    <w:rsid w:val="00F92947"/>
    <w:rsid w:val="00F95946"/>
    <w:rsid w:val="00FA706C"/>
    <w:rsid w:val="00FB49F4"/>
    <w:rsid w:val="00FB7839"/>
    <w:rsid w:val="00FB7CB7"/>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07EA-C1FF-45BC-8420-BD961B8A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1891</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13209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3</cp:revision>
  <cp:lastPrinted>2012-02-10T12:42:00Z</cp:lastPrinted>
  <dcterms:created xsi:type="dcterms:W3CDTF">2018-08-22T16:57:00Z</dcterms:created>
  <dcterms:modified xsi:type="dcterms:W3CDTF">2018-10-22T20:28:00Z</dcterms:modified>
</cp:coreProperties>
</file>