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Pr="00267D3D" w:rsidRDefault="006B5A13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95500" cy="571500"/>
            <wp:effectExtent l="0" t="0" r="0" b="0"/>
            <wp:wrapSquare wrapText="bothSides"/>
            <wp:docPr id="7" name="Picture 7" descr="RUSH logo for em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H logo for emai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br w:type="textWrapping" w:clear="all"/>
      </w:r>
    </w:p>
    <w:p w:rsidR="00267D3D" w:rsidRPr="001705E7" w:rsidRDefault="00860C1E" w:rsidP="006107A2">
      <w:pPr>
        <w:jc w:val="center"/>
        <w:rPr>
          <w:b/>
          <w:sz w:val="28"/>
          <w:szCs w:val="28"/>
        </w:rPr>
      </w:pPr>
      <w:r w:rsidRPr="001705E7">
        <w:rPr>
          <w:rFonts w:eastAsia="HelenPro-Regular"/>
          <w:b/>
          <w:sz w:val="28"/>
          <w:szCs w:val="28"/>
        </w:rPr>
        <w:t xml:space="preserve">DIRECT </w:t>
      </w:r>
      <w:r w:rsidR="00B81E9E" w:rsidRPr="001705E7">
        <w:rPr>
          <w:rFonts w:eastAsia="HelenPro-Regular"/>
          <w:b/>
          <w:sz w:val="28"/>
          <w:szCs w:val="28"/>
        </w:rPr>
        <w:t>BILIRUBIN</w:t>
      </w:r>
    </w:p>
    <w:p w:rsidR="0056023B" w:rsidRPr="001705E7" w:rsidRDefault="004A2AA3" w:rsidP="006107A2">
      <w:pPr>
        <w:jc w:val="center"/>
        <w:rPr>
          <w:b/>
          <w:sz w:val="28"/>
          <w:szCs w:val="28"/>
        </w:rPr>
      </w:pPr>
      <w:r w:rsidRPr="001705E7">
        <w:rPr>
          <w:b/>
          <w:sz w:val="28"/>
          <w:szCs w:val="28"/>
        </w:rPr>
        <w:t>SERUM</w:t>
      </w:r>
      <w:r w:rsidR="00C32412" w:rsidRPr="001705E7">
        <w:rPr>
          <w:b/>
          <w:sz w:val="28"/>
          <w:szCs w:val="28"/>
        </w:rPr>
        <w:t xml:space="preserve"> OR PLASMA</w:t>
      </w:r>
    </w:p>
    <w:p w:rsidR="006107A2" w:rsidRPr="001705E7" w:rsidRDefault="0088112F" w:rsidP="006107A2">
      <w:pPr>
        <w:jc w:val="center"/>
        <w:rPr>
          <w:b/>
          <w:caps/>
          <w:sz w:val="28"/>
          <w:szCs w:val="28"/>
        </w:rPr>
      </w:pPr>
      <w:r w:rsidRPr="001705E7">
        <w:rPr>
          <w:b/>
          <w:caps/>
          <w:sz w:val="28"/>
          <w:szCs w:val="28"/>
        </w:rPr>
        <w:t>ABBOTT ARCHITECT</w:t>
      </w:r>
    </w:p>
    <w:p w:rsidR="006559EB" w:rsidRPr="001705E7" w:rsidRDefault="006559EB" w:rsidP="006559EB">
      <w:pPr>
        <w:rPr>
          <w:b/>
          <w:sz w:val="28"/>
          <w:szCs w:val="28"/>
        </w:rPr>
      </w:pPr>
    </w:p>
    <w:p w:rsidR="008A7F96" w:rsidRPr="001705E7" w:rsidRDefault="008A7F96" w:rsidP="008A7F96">
      <w:pPr>
        <w:rPr>
          <w:b/>
          <w:color w:val="FF0000"/>
          <w:sz w:val="28"/>
          <w:szCs w:val="28"/>
        </w:rPr>
      </w:pPr>
      <w:r w:rsidRPr="001705E7">
        <w:rPr>
          <w:b/>
          <w:sz w:val="28"/>
          <w:szCs w:val="28"/>
        </w:rPr>
        <w:t xml:space="preserve">Intended Use </w:t>
      </w:r>
    </w:p>
    <w:p w:rsidR="00DC16C5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 xml:space="preserve">The Direct Bilirubin assay is used for the </w:t>
      </w:r>
      <w:r w:rsidR="0012178C" w:rsidRPr="001705E7">
        <w:rPr>
          <w:rFonts w:eastAsia="HelenPro-Regular"/>
        </w:rPr>
        <w:t xml:space="preserve">quantitative analysis of direct </w:t>
      </w:r>
      <w:r w:rsidRPr="001705E7">
        <w:rPr>
          <w:rFonts w:eastAsia="HelenPro-Regular"/>
        </w:rPr>
        <w:t>bilirubin in human serum or plasma.</w:t>
      </w:r>
    </w:p>
    <w:p w:rsidR="0060509E" w:rsidRPr="001705E7" w:rsidRDefault="0060509E" w:rsidP="006107A2">
      <w:pPr>
        <w:jc w:val="both"/>
        <w:rPr>
          <w:b/>
          <w:sz w:val="28"/>
          <w:szCs w:val="28"/>
        </w:rPr>
      </w:pPr>
    </w:p>
    <w:p w:rsidR="0009322F" w:rsidRPr="001705E7" w:rsidRDefault="006559EB" w:rsidP="006107A2">
      <w:pPr>
        <w:jc w:val="both"/>
        <w:rPr>
          <w:sz w:val="28"/>
          <w:szCs w:val="28"/>
        </w:rPr>
      </w:pPr>
      <w:r w:rsidRPr="001705E7">
        <w:rPr>
          <w:b/>
          <w:sz w:val="28"/>
          <w:szCs w:val="28"/>
        </w:rPr>
        <w:t>Clinical Significance</w:t>
      </w:r>
      <w:r w:rsidR="006107A2" w:rsidRPr="001705E7">
        <w:rPr>
          <w:sz w:val="28"/>
          <w:szCs w:val="28"/>
        </w:rPr>
        <w:t xml:space="preserve"> </w:t>
      </w: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>Red blood cells at the end of their circ</w:t>
      </w:r>
      <w:r w:rsidR="0012178C" w:rsidRPr="001705E7">
        <w:rPr>
          <w:rFonts w:eastAsia="HelenPro-Regular"/>
        </w:rPr>
        <w:t xml:space="preserve">ulating life are broken down in </w:t>
      </w:r>
      <w:r w:rsidRPr="001705E7">
        <w:rPr>
          <w:rFonts w:eastAsia="HelenPro-Regular"/>
        </w:rPr>
        <w:t xml:space="preserve">the </w:t>
      </w:r>
      <w:proofErr w:type="spellStart"/>
      <w:r w:rsidRPr="001705E7">
        <w:rPr>
          <w:rFonts w:eastAsia="HelenPro-Regular"/>
        </w:rPr>
        <w:t>reticuloendothelial</w:t>
      </w:r>
      <w:proofErr w:type="spellEnd"/>
      <w:r w:rsidRPr="001705E7">
        <w:rPr>
          <w:rFonts w:eastAsia="HelenPro-Regular"/>
        </w:rPr>
        <w:t xml:space="preserve"> system, mainly the spleen. The resulting </w:t>
      </w:r>
      <w:proofErr w:type="spellStart"/>
      <w:r w:rsidRPr="001705E7">
        <w:rPr>
          <w:rFonts w:eastAsia="HelenPro-Regular"/>
        </w:rPr>
        <w:t>heme</w:t>
      </w:r>
      <w:proofErr w:type="spellEnd"/>
      <w:r w:rsidRPr="001705E7">
        <w:rPr>
          <w:rFonts w:eastAsia="HelenPro-Regular"/>
        </w:rPr>
        <w:t>,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once the iron is removed, is then converted to bilirubin. This process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 xml:space="preserve">accounts for about 80% of the 500 </w:t>
      </w:r>
      <w:proofErr w:type="spellStart"/>
      <w:r w:rsidRPr="001705E7">
        <w:rPr>
          <w:rFonts w:eastAsia="HelenPro-Regular"/>
        </w:rPr>
        <w:t>μmol</w:t>
      </w:r>
      <w:proofErr w:type="spellEnd"/>
      <w:r w:rsidRPr="001705E7">
        <w:rPr>
          <w:rFonts w:eastAsia="HelenPro-Regular"/>
        </w:rPr>
        <w:t xml:space="preserve"> (300 mg) of bilirubin formed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daily. Other sources of bilirubin include the breakdown of myoglobin and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cytochromes and the catabolism of immature red blood cells in the bone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marrow.</w:t>
      </w: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>Once formed, bilirubin is transported to t</w:t>
      </w:r>
      <w:r w:rsidR="0012178C" w:rsidRPr="001705E7">
        <w:rPr>
          <w:rFonts w:eastAsia="HelenPro-Regular"/>
        </w:rPr>
        <w:t xml:space="preserve">he liver bound to albumin. This </w:t>
      </w:r>
      <w:r w:rsidRPr="001705E7">
        <w:rPr>
          <w:rFonts w:eastAsia="HelenPro-Regular"/>
        </w:rPr>
        <w:t>fraction of bilirubin is referred to as indirect or unconjugated bilirubin.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 xml:space="preserve">In the liver, bilirubin is conjugated to </w:t>
      </w:r>
      <w:proofErr w:type="spellStart"/>
      <w:r w:rsidRPr="001705E7">
        <w:rPr>
          <w:rFonts w:eastAsia="HelenPro-Regular"/>
        </w:rPr>
        <w:t>glucuronic</w:t>
      </w:r>
      <w:proofErr w:type="spellEnd"/>
      <w:r w:rsidRPr="001705E7">
        <w:rPr>
          <w:rFonts w:eastAsia="HelenPro-Regular"/>
        </w:rPr>
        <w:t xml:space="preserve"> acid (mono- and</w:t>
      </w:r>
      <w:r w:rsidR="0012178C" w:rsidRPr="001705E7">
        <w:rPr>
          <w:rFonts w:eastAsia="HelenPro-Regular"/>
        </w:rPr>
        <w:t xml:space="preserve"> </w:t>
      </w:r>
      <w:proofErr w:type="spellStart"/>
      <w:r w:rsidRPr="001705E7">
        <w:rPr>
          <w:rFonts w:eastAsia="HelenPro-Regular"/>
        </w:rPr>
        <w:t>diglucuronides</w:t>
      </w:r>
      <w:proofErr w:type="spellEnd"/>
      <w:r w:rsidRPr="001705E7">
        <w:rPr>
          <w:rFonts w:eastAsia="HelenPro-Regular"/>
        </w:rPr>
        <w:t xml:space="preserve">) to form conjugated bilirubin by the enzyme </w:t>
      </w:r>
      <w:proofErr w:type="spellStart"/>
      <w:r w:rsidRPr="001705E7">
        <w:rPr>
          <w:rFonts w:eastAsia="HelenPro-Regular"/>
        </w:rPr>
        <w:t>uridyl</w:t>
      </w:r>
      <w:proofErr w:type="spellEnd"/>
      <w:r w:rsidR="0012178C" w:rsidRPr="001705E7">
        <w:rPr>
          <w:rFonts w:eastAsia="HelenPro-Regular"/>
        </w:rPr>
        <w:t xml:space="preserve"> </w:t>
      </w:r>
      <w:proofErr w:type="spellStart"/>
      <w:r w:rsidRPr="001705E7">
        <w:rPr>
          <w:rFonts w:eastAsia="HelenPro-Regular"/>
        </w:rPr>
        <w:t>diphosphate</w:t>
      </w:r>
      <w:proofErr w:type="spellEnd"/>
      <w:r w:rsidRPr="001705E7">
        <w:rPr>
          <w:rFonts w:eastAsia="HelenPro-Regular"/>
        </w:rPr>
        <w:t xml:space="preserve"> </w:t>
      </w:r>
      <w:proofErr w:type="spellStart"/>
      <w:r w:rsidRPr="001705E7">
        <w:rPr>
          <w:rFonts w:eastAsia="HelenPro-Regular"/>
        </w:rPr>
        <w:t>glucuronyl</w:t>
      </w:r>
      <w:proofErr w:type="spellEnd"/>
      <w:r w:rsidRPr="001705E7">
        <w:rPr>
          <w:rFonts w:eastAsia="HelenPro-Regular"/>
        </w:rPr>
        <w:t xml:space="preserve"> </w:t>
      </w:r>
      <w:proofErr w:type="spellStart"/>
      <w:r w:rsidRPr="001705E7">
        <w:rPr>
          <w:rFonts w:eastAsia="HelenPro-Regular"/>
        </w:rPr>
        <w:t>transferase</w:t>
      </w:r>
      <w:proofErr w:type="spellEnd"/>
      <w:r w:rsidRPr="001705E7">
        <w:rPr>
          <w:rFonts w:eastAsia="HelenPro-Regular"/>
        </w:rPr>
        <w:t>. Conjugated bilirubin or direct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bilirubin is excreted via the biliary system into the intestine, where it is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metabolized by bacteria to a group of products known collectively as</w:t>
      </w:r>
      <w:r w:rsidR="0012178C" w:rsidRPr="001705E7">
        <w:rPr>
          <w:rFonts w:eastAsia="HelenPro-Regular"/>
        </w:rPr>
        <w:t xml:space="preserve"> </w:t>
      </w:r>
      <w:proofErr w:type="spellStart"/>
      <w:r w:rsidRPr="001705E7">
        <w:rPr>
          <w:rFonts w:eastAsia="HelenPro-Regular"/>
        </w:rPr>
        <w:t>stercobilinogen</w:t>
      </w:r>
      <w:proofErr w:type="spellEnd"/>
      <w:r w:rsidRPr="001705E7">
        <w:rPr>
          <w:rFonts w:eastAsia="HelenPro-Regular"/>
        </w:rPr>
        <w:t>. Elimination is almost complete and serum levels are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normally negligible.</w:t>
      </w:r>
    </w:p>
    <w:p w:rsidR="00A062F7" w:rsidRPr="001705E7" w:rsidRDefault="00B81E9E" w:rsidP="0012178C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>Direct bilirubin is the sum of the conjugated</w:t>
      </w:r>
      <w:r w:rsidR="0012178C" w:rsidRPr="001705E7">
        <w:rPr>
          <w:rFonts w:eastAsia="HelenPro-Regular"/>
        </w:rPr>
        <w:t xml:space="preserve"> fractions. Direct bilirubin is </w:t>
      </w:r>
      <w:r w:rsidRPr="001705E7">
        <w:rPr>
          <w:rFonts w:eastAsia="HelenPro-Regular"/>
        </w:rPr>
        <w:t>elevated in conditions causing hepatic obstruction, hepatitis, cirrhosis,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several inherited enzyme deficiencies, and inherited defects in</w:t>
      </w:r>
      <w:r w:rsidR="0012178C" w:rsidRPr="001705E7">
        <w:rPr>
          <w:rFonts w:eastAsia="HelenPro-Regular"/>
        </w:rPr>
        <w:t xml:space="preserve"> </w:t>
      </w:r>
      <w:proofErr w:type="spellStart"/>
      <w:r w:rsidRPr="001705E7">
        <w:rPr>
          <w:rFonts w:eastAsia="HelenPro-Regular"/>
        </w:rPr>
        <w:t>canalicular</w:t>
      </w:r>
      <w:proofErr w:type="spellEnd"/>
      <w:r w:rsidRPr="001705E7">
        <w:rPr>
          <w:rFonts w:eastAsia="HelenPro-Regular"/>
        </w:rPr>
        <w:t xml:space="preserve"> excretion.</w:t>
      </w:r>
    </w:p>
    <w:p w:rsidR="00B81E9E" w:rsidRPr="001705E7" w:rsidRDefault="00B81E9E" w:rsidP="008A7F96">
      <w:pPr>
        <w:jc w:val="both"/>
        <w:rPr>
          <w:b/>
          <w:sz w:val="28"/>
          <w:szCs w:val="28"/>
        </w:rPr>
      </w:pPr>
    </w:p>
    <w:p w:rsidR="008A7F96" w:rsidRPr="001705E7" w:rsidRDefault="008A7F96" w:rsidP="008A7F96">
      <w:pPr>
        <w:jc w:val="both"/>
        <w:rPr>
          <w:color w:val="FF0000"/>
          <w:sz w:val="28"/>
          <w:szCs w:val="28"/>
        </w:rPr>
      </w:pPr>
      <w:r w:rsidRPr="001705E7">
        <w:rPr>
          <w:b/>
          <w:sz w:val="28"/>
          <w:szCs w:val="28"/>
        </w:rPr>
        <w:t>Principle</w:t>
      </w:r>
      <w:r w:rsidRPr="001705E7">
        <w:rPr>
          <w:sz w:val="28"/>
          <w:szCs w:val="28"/>
        </w:rPr>
        <w:t xml:space="preserve"> </w:t>
      </w:r>
    </w:p>
    <w:p w:rsidR="008A7F96" w:rsidRPr="001705E7" w:rsidRDefault="008A7F96" w:rsidP="008A7F96">
      <w:pPr>
        <w:jc w:val="both"/>
      </w:pP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>Bilirubin determination is generally based on</w:t>
      </w:r>
      <w:r w:rsidR="0012178C" w:rsidRPr="001705E7">
        <w:rPr>
          <w:rFonts w:eastAsia="HelenPro-Regular"/>
        </w:rPr>
        <w:t xml:space="preserve"> the reaction of bilirubin with </w:t>
      </w:r>
      <w:r w:rsidRPr="001705E7">
        <w:rPr>
          <w:rFonts w:eastAsia="HelenPro-Regular"/>
        </w:rPr>
        <w:t xml:space="preserve">a diazotized </w:t>
      </w:r>
      <w:proofErr w:type="spellStart"/>
      <w:r w:rsidRPr="001705E7">
        <w:rPr>
          <w:rFonts w:eastAsia="HelenPro-Regular"/>
        </w:rPr>
        <w:t>sulfanilic</w:t>
      </w:r>
      <w:proofErr w:type="spellEnd"/>
      <w:r w:rsidRPr="001705E7">
        <w:rPr>
          <w:rFonts w:eastAsia="HelenPro-Regular"/>
        </w:rPr>
        <w:t xml:space="preserve"> acid, described by Ehrlich.1 In this method, direct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 xml:space="preserve">(conjugated fractions) bilirubin couples with a </w:t>
      </w:r>
      <w:proofErr w:type="spellStart"/>
      <w:r w:rsidRPr="001705E7">
        <w:rPr>
          <w:rFonts w:eastAsia="HelenPro-Regular"/>
        </w:rPr>
        <w:t>diazonium</w:t>
      </w:r>
      <w:proofErr w:type="spellEnd"/>
      <w:r w:rsidRPr="001705E7">
        <w:rPr>
          <w:rFonts w:eastAsia="HelenPro-Regular"/>
        </w:rPr>
        <w:t xml:space="preserve"> salt in the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 xml:space="preserve">presence of </w:t>
      </w:r>
      <w:proofErr w:type="spellStart"/>
      <w:r w:rsidRPr="001705E7">
        <w:rPr>
          <w:rFonts w:eastAsia="HelenPro-Regular"/>
        </w:rPr>
        <w:t>sulfamic</w:t>
      </w:r>
      <w:proofErr w:type="spellEnd"/>
      <w:r w:rsidRPr="001705E7">
        <w:rPr>
          <w:rFonts w:eastAsia="HelenPro-Regular"/>
        </w:rPr>
        <w:t xml:space="preserve"> acid to form the colored compound </w:t>
      </w:r>
      <w:proofErr w:type="spellStart"/>
      <w:r w:rsidRPr="001705E7">
        <w:rPr>
          <w:rFonts w:eastAsia="HelenPro-Regular"/>
        </w:rPr>
        <w:t>azobilirubin</w:t>
      </w:r>
      <w:proofErr w:type="spellEnd"/>
      <w:r w:rsidRPr="001705E7">
        <w:rPr>
          <w:rFonts w:eastAsia="HelenPro-Regular"/>
        </w:rPr>
        <w:t>.</w:t>
      </w: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 xml:space="preserve">The increase in absorbance at 548 nm due </w:t>
      </w:r>
      <w:r w:rsidR="0012178C" w:rsidRPr="001705E7">
        <w:rPr>
          <w:rFonts w:eastAsia="HelenPro-Regular"/>
        </w:rPr>
        <w:t xml:space="preserve">to </w:t>
      </w:r>
      <w:proofErr w:type="spellStart"/>
      <w:r w:rsidR="0012178C" w:rsidRPr="001705E7">
        <w:rPr>
          <w:rFonts w:eastAsia="HelenPro-Regular"/>
        </w:rPr>
        <w:t>azobilirubin</w:t>
      </w:r>
      <w:proofErr w:type="spellEnd"/>
      <w:r w:rsidR="0012178C" w:rsidRPr="001705E7">
        <w:rPr>
          <w:rFonts w:eastAsia="HelenPro-Regular"/>
        </w:rPr>
        <w:t xml:space="preserve"> is proportional </w:t>
      </w:r>
      <w:r w:rsidRPr="001705E7">
        <w:rPr>
          <w:rFonts w:eastAsia="HelenPro-Regular"/>
        </w:rPr>
        <w:t>to the direct bilirubin concentration.</w:t>
      </w:r>
    </w:p>
    <w:p w:rsidR="0012178C" w:rsidRPr="001705E7" w:rsidRDefault="0012178C" w:rsidP="00B81E9E">
      <w:pPr>
        <w:rPr>
          <w:rFonts w:eastAsia="HelenPro-Bold"/>
          <w:b/>
          <w:bCs/>
        </w:rPr>
      </w:pPr>
    </w:p>
    <w:p w:rsidR="00DB7BA9" w:rsidRPr="001705E7" w:rsidRDefault="00B81E9E" w:rsidP="00B81E9E">
      <w:pPr>
        <w:rPr>
          <w:b/>
        </w:rPr>
      </w:pPr>
      <w:r w:rsidRPr="001705E7">
        <w:rPr>
          <w:rFonts w:eastAsia="HelenPro-Bold"/>
          <w:b/>
          <w:bCs/>
        </w:rPr>
        <w:t xml:space="preserve">Methodology: </w:t>
      </w:r>
      <w:proofErr w:type="spellStart"/>
      <w:r w:rsidRPr="001705E7">
        <w:rPr>
          <w:rFonts w:eastAsia="HelenPro-Regular"/>
        </w:rPr>
        <w:t>Diazo</w:t>
      </w:r>
      <w:proofErr w:type="spellEnd"/>
      <w:r w:rsidRPr="001705E7">
        <w:rPr>
          <w:rFonts w:eastAsia="HelenPro-Regular"/>
        </w:rPr>
        <w:t xml:space="preserve"> Reaction</w:t>
      </w:r>
    </w:p>
    <w:p w:rsidR="00CF2F62" w:rsidRPr="001705E7" w:rsidRDefault="00CF2F62" w:rsidP="006559EB">
      <w:pPr>
        <w:rPr>
          <w:b/>
        </w:rPr>
      </w:pPr>
    </w:p>
    <w:p w:rsidR="001A41B0" w:rsidRPr="001705E7" w:rsidRDefault="001A41B0" w:rsidP="006559EB">
      <w:pPr>
        <w:rPr>
          <w:b/>
          <w:sz w:val="28"/>
          <w:szCs w:val="28"/>
        </w:rPr>
      </w:pPr>
    </w:p>
    <w:p w:rsidR="006E1C94" w:rsidRDefault="006E1C94" w:rsidP="006559EB">
      <w:pPr>
        <w:rPr>
          <w:b/>
          <w:sz w:val="28"/>
          <w:szCs w:val="28"/>
        </w:rPr>
      </w:pPr>
    </w:p>
    <w:p w:rsidR="006E1C94" w:rsidRDefault="006E1C94" w:rsidP="006559EB">
      <w:pPr>
        <w:rPr>
          <w:b/>
          <w:sz w:val="28"/>
          <w:szCs w:val="28"/>
        </w:rPr>
      </w:pPr>
    </w:p>
    <w:p w:rsidR="006E1C94" w:rsidRDefault="006E1C94" w:rsidP="006559EB">
      <w:pPr>
        <w:rPr>
          <w:b/>
          <w:sz w:val="28"/>
          <w:szCs w:val="28"/>
        </w:rPr>
      </w:pPr>
    </w:p>
    <w:p w:rsidR="006E1C94" w:rsidRDefault="006E1C94" w:rsidP="006559EB">
      <w:pPr>
        <w:rPr>
          <w:b/>
          <w:sz w:val="28"/>
          <w:szCs w:val="28"/>
        </w:rPr>
      </w:pPr>
    </w:p>
    <w:p w:rsidR="006559EB" w:rsidRPr="001705E7" w:rsidRDefault="006559EB" w:rsidP="006559EB">
      <w:pPr>
        <w:rPr>
          <w:b/>
          <w:sz w:val="28"/>
          <w:szCs w:val="28"/>
        </w:rPr>
      </w:pPr>
      <w:r w:rsidRPr="001705E7">
        <w:rPr>
          <w:b/>
          <w:sz w:val="28"/>
          <w:szCs w:val="28"/>
        </w:rPr>
        <w:lastRenderedPageBreak/>
        <w:t>Specimen Collection and Handling</w:t>
      </w:r>
      <w:r w:rsidR="00D60AFA" w:rsidRPr="001705E7">
        <w:rPr>
          <w:b/>
          <w:sz w:val="28"/>
          <w:szCs w:val="28"/>
        </w:rPr>
        <w:t xml:space="preserve"> </w:t>
      </w:r>
    </w:p>
    <w:p w:rsidR="004A03BD" w:rsidRPr="001705E7" w:rsidRDefault="004A03BD" w:rsidP="006559EB">
      <w:pPr>
        <w:rPr>
          <w:b/>
        </w:rPr>
      </w:pP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>Use serum or plasma specimens without visible hemolysis or lipemia.</w:t>
      </w: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>.</w:t>
      </w: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>Abbott Laboratories has not</w:t>
      </w:r>
      <w:r w:rsidR="0012178C" w:rsidRPr="001705E7">
        <w:rPr>
          <w:rFonts w:eastAsia="HelenPro-Regular"/>
        </w:rPr>
        <w:t xml:space="preserve"> verified the assay performance </w:t>
      </w:r>
      <w:r w:rsidRPr="001705E7">
        <w:rPr>
          <w:rFonts w:eastAsia="HelenPro-Regular"/>
        </w:rPr>
        <w:t>characteristics with neonatal specimens.</w:t>
      </w: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Bold"/>
          <w:b/>
          <w:bCs/>
        </w:rPr>
        <w:t xml:space="preserve">NOTE: </w:t>
      </w:r>
      <w:r w:rsidRPr="001705E7">
        <w:rPr>
          <w:rFonts w:eastAsia="HelenPro-Regular"/>
        </w:rPr>
        <w:t>Abbott Laboratories recommends</w:t>
      </w:r>
      <w:r w:rsidR="0012178C" w:rsidRPr="001705E7">
        <w:rPr>
          <w:rFonts w:eastAsia="HelenPro-Regular"/>
        </w:rPr>
        <w:t xml:space="preserve"> the use of sample interference </w:t>
      </w:r>
      <w:r w:rsidRPr="001705E7">
        <w:rPr>
          <w:rFonts w:eastAsia="HelenPro-Regular"/>
        </w:rPr>
        <w:t>indices in the semi-quantitative mode to assist in the determination of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sample integrity for all specimens. Refer to the Sample Interference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Indices (HIL) application sheets.</w:t>
      </w: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 xml:space="preserve">• </w:t>
      </w:r>
      <w:r w:rsidRPr="001705E7">
        <w:rPr>
          <w:rFonts w:eastAsia="HelenPro-Bold"/>
          <w:b/>
          <w:bCs/>
        </w:rPr>
        <w:t xml:space="preserve">Serum: </w:t>
      </w:r>
      <w:r w:rsidRPr="001705E7">
        <w:rPr>
          <w:rFonts w:eastAsia="HelenPro-Regular"/>
        </w:rPr>
        <w:t>Use serum collected by s</w:t>
      </w:r>
      <w:r w:rsidR="0012178C" w:rsidRPr="001705E7">
        <w:rPr>
          <w:rFonts w:eastAsia="HelenPro-Regular"/>
        </w:rPr>
        <w:t xml:space="preserve">tandard venipuncture techniques </w:t>
      </w:r>
      <w:r w:rsidRPr="001705E7">
        <w:rPr>
          <w:rFonts w:eastAsia="HelenPro-Regular"/>
        </w:rPr>
        <w:t>into glass or plastic tubes with or without gel barriers. Ensure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complete clot formation has taken place prior to centrifugation.</w:t>
      </w: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>Centrifuge according to tube manufacturer’</w:t>
      </w:r>
      <w:r w:rsidR="0012178C" w:rsidRPr="001705E7">
        <w:rPr>
          <w:rFonts w:eastAsia="HelenPro-Regular"/>
        </w:rPr>
        <w:t xml:space="preserve">s instructions to ensure </w:t>
      </w:r>
      <w:r w:rsidRPr="001705E7">
        <w:rPr>
          <w:rFonts w:eastAsia="HelenPro-Regular"/>
        </w:rPr>
        <w:t>proper separation of serum from blood cells.</w:t>
      </w: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>Some specimens, especiall</w:t>
      </w:r>
      <w:r w:rsidR="0012178C" w:rsidRPr="001705E7">
        <w:rPr>
          <w:rFonts w:eastAsia="HelenPro-Regular"/>
        </w:rPr>
        <w:t xml:space="preserve">y those from patients receiving </w:t>
      </w:r>
      <w:r w:rsidRPr="001705E7">
        <w:rPr>
          <w:rFonts w:eastAsia="HelenPro-Regular"/>
        </w:rPr>
        <w:t>anticoagulant or thrombolytic therapy, may take longer to complete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their clotting processes. Fibrin clots may subsequently form in these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sera and the clots could cause erroneous test results.</w:t>
      </w: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 xml:space="preserve">• </w:t>
      </w:r>
      <w:r w:rsidRPr="001705E7">
        <w:rPr>
          <w:rFonts w:eastAsia="HelenPro-Bold"/>
          <w:b/>
          <w:bCs/>
        </w:rPr>
        <w:t xml:space="preserve">Plasma: </w:t>
      </w:r>
      <w:r w:rsidRPr="001705E7">
        <w:rPr>
          <w:rFonts w:eastAsia="HelenPro-Regular"/>
        </w:rPr>
        <w:t>Use plasma collected by s</w:t>
      </w:r>
      <w:r w:rsidR="0012178C" w:rsidRPr="001705E7">
        <w:rPr>
          <w:rFonts w:eastAsia="HelenPro-Regular"/>
        </w:rPr>
        <w:t xml:space="preserve">tandard venipuncture techniques </w:t>
      </w:r>
      <w:r w:rsidRPr="001705E7">
        <w:rPr>
          <w:rFonts w:eastAsia="HelenPro-Regular"/>
        </w:rPr>
        <w:t>into glass or plastic tubes. Acceptable anticoagulants are lithium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heparin (with or without gel barrier), sodium heparin, and EDTA. The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use of tubes containing sodium fluoride/potassium oxalate is not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recommended due to the potential of hemolysis formation with this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anticoagulant. Ensure centrifugation is adequate to remove platelets.</w:t>
      </w:r>
    </w:p>
    <w:p w:rsidR="00DC16C5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>Centrifuge according to tube manufacturer’</w:t>
      </w:r>
      <w:r w:rsidR="0012178C" w:rsidRPr="001705E7">
        <w:rPr>
          <w:rFonts w:eastAsia="HelenPro-Regular"/>
        </w:rPr>
        <w:t xml:space="preserve">s instructions to ensure </w:t>
      </w:r>
      <w:r w:rsidRPr="001705E7">
        <w:rPr>
          <w:rFonts w:eastAsia="HelenPro-Regular"/>
        </w:rPr>
        <w:t>proper separation of plasma from blood cells.</w:t>
      </w:r>
    </w:p>
    <w:p w:rsidR="000448CF" w:rsidRPr="001705E7" w:rsidRDefault="000448CF" w:rsidP="00DC16C5">
      <w:pPr>
        <w:autoSpaceDE w:val="0"/>
        <w:autoSpaceDN w:val="0"/>
        <w:adjustRightInd w:val="0"/>
        <w:rPr>
          <w:rFonts w:eastAsia="HelenPro-Regular"/>
          <w:b/>
        </w:rPr>
      </w:pPr>
    </w:p>
    <w:p w:rsidR="00DC16C5" w:rsidRPr="001705E7" w:rsidRDefault="00DC16C5" w:rsidP="00DC16C5">
      <w:pPr>
        <w:autoSpaceDE w:val="0"/>
        <w:autoSpaceDN w:val="0"/>
        <w:adjustRightInd w:val="0"/>
        <w:rPr>
          <w:rFonts w:eastAsia="HelenPro-Regular"/>
          <w:b/>
        </w:rPr>
      </w:pPr>
      <w:r w:rsidRPr="001705E7">
        <w:rPr>
          <w:rFonts w:eastAsia="HelenPro-Regular"/>
          <w:b/>
        </w:rPr>
        <w:t>Specimen Storage</w:t>
      </w:r>
    </w:p>
    <w:p w:rsidR="00880899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Bold"/>
          <w:b/>
          <w:bCs/>
        </w:rPr>
        <w:t xml:space="preserve">Serum and Plasma: </w:t>
      </w:r>
      <w:r w:rsidRPr="001705E7">
        <w:rPr>
          <w:rFonts w:eastAsia="HelenPro-Regular"/>
        </w:rPr>
        <w:t>Specimens should be</w:t>
      </w:r>
      <w:r w:rsidR="0012178C" w:rsidRPr="001705E7">
        <w:rPr>
          <w:rFonts w:eastAsia="HelenPro-Regular"/>
        </w:rPr>
        <w:t xml:space="preserve"> protected from bright light as </w:t>
      </w:r>
      <w:r w:rsidRPr="001705E7">
        <w:rPr>
          <w:rFonts w:eastAsia="HelenPro-Regular"/>
        </w:rPr>
        <w:t>bilirubin is photolabile.6 Direct bilirubin is stable in serum and plasma as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follows:</w:t>
      </w:r>
    </w:p>
    <w:p w:rsidR="000448CF" w:rsidRPr="001705E7" w:rsidRDefault="00B81E9E" w:rsidP="000448CF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noProof/>
        </w:rPr>
        <w:drawing>
          <wp:inline distT="0" distB="0" distL="0" distR="0" wp14:anchorId="5D53EA20" wp14:editId="7749B77F">
            <wp:extent cx="2200275" cy="1428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C28" w:rsidRPr="001705E7" w:rsidRDefault="004F6C28" w:rsidP="00880899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16431" w:rsidRPr="001705E7" w:rsidRDefault="00316431" w:rsidP="00040E43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64E39" w:rsidRPr="001705E7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Bold"/>
          <w:b/>
          <w:bCs/>
        </w:rPr>
        <w:t xml:space="preserve">NOTE: </w:t>
      </w:r>
      <w:r w:rsidRPr="001705E7">
        <w:rPr>
          <w:rFonts w:eastAsia="HelenPro-Regular"/>
        </w:rPr>
        <w:t>Stored specimens must be inspected for particulates. If present, mix and centrifuge the specimen to remove particulates prior to testing</w:t>
      </w:r>
      <w:r w:rsidRPr="001705E7">
        <w:rPr>
          <w:rFonts w:eastAsia="HelenPro-Regular"/>
          <w:sz w:val="16"/>
          <w:szCs w:val="16"/>
        </w:rPr>
        <w:t>.</w:t>
      </w:r>
    </w:p>
    <w:p w:rsidR="00AB793D" w:rsidRDefault="00AB793D" w:rsidP="00F7103F">
      <w:pPr>
        <w:tabs>
          <w:tab w:val="left" w:pos="0"/>
        </w:tabs>
        <w:rPr>
          <w:rFonts w:eastAsia="HelenPro-Regular"/>
        </w:rPr>
      </w:pPr>
    </w:p>
    <w:p w:rsidR="006E1C94" w:rsidRDefault="006E1C94" w:rsidP="00F7103F">
      <w:pPr>
        <w:tabs>
          <w:tab w:val="left" w:pos="0"/>
        </w:tabs>
        <w:rPr>
          <w:rFonts w:eastAsia="HelenPro-Regular"/>
        </w:rPr>
      </w:pPr>
    </w:p>
    <w:p w:rsidR="006E1C94" w:rsidRDefault="006E1C94" w:rsidP="00F7103F">
      <w:pPr>
        <w:tabs>
          <w:tab w:val="left" w:pos="0"/>
        </w:tabs>
        <w:rPr>
          <w:rFonts w:eastAsia="HelenPro-Regular"/>
        </w:rPr>
      </w:pPr>
    </w:p>
    <w:p w:rsidR="006E1C94" w:rsidRDefault="006E1C94" w:rsidP="00F7103F">
      <w:pPr>
        <w:tabs>
          <w:tab w:val="left" w:pos="0"/>
        </w:tabs>
        <w:rPr>
          <w:rFonts w:eastAsia="HelenPro-Regular"/>
        </w:rPr>
      </w:pPr>
    </w:p>
    <w:p w:rsidR="006E1C94" w:rsidRPr="001705E7" w:rsidRDefault="006E1C94" w:rsidP="00F7103F">
      <w:pPr>
        <w:tabs>
          <w:tab w:val="left" w:pos="0"/>
        </w:tabs>
        <w:rPr>
          <w:rFonts w:eastAsia="HelenPro-Regular"/>
        </w:rPr>
      </w:pPr>
    </w:p>
    <w:p w:rsidR="0012178C" w:rsidRPr="001705E7" w:rsidRDefault="0012178C" w:rsidP="00AE6F5B">
      <w:pPr>
        <w:rPr>
          <w:b/>
          <w:sz w:val="28"/>
          <w:szCs w:val="28"/>
        </w:rPr>
      </w:pPr>
    </w:p>
    <w:p w:rsidR="0012178C" w:rsidRPr="001705E7" w:rsidRDefault="0012178C" w:rsidP="00AE6F5B">
      <w:pPr>
        <w:rPr>
          <w:b/>
          <w:sz w:val="28"/>
          <w:szCs w:val="28"/>
        </w:rPr>
      </w:pPr>
    </w:p>
    <w:p w:rsidR="0012178C" w:rsidRPr="001705E7" w:rsidRDefault="0012178C" w:rsidP="00AE6F5B">
      <w:pPr>
        <w:rPr>
          <w:b/>
          <w:sz w:val="28"/>
          <w:szCs w:val="28"/>
        </w:rPr>
      </w:pPr>
    </w:p>
    <w:p w:rsidR="007E4CE6" w:rsidRPr="001705E7" w:rsidRDefault="00AE6F5B" w:rsidP="00AE6F5B">
      <w:pPr>
        <w:rPr>
          <w:b/>
        </w:rPr>
      </w:pPr>
      <w:r w:rsidRPr="001705E7">
        <w:rPr>
          <w:b/>
          <w:sz w:val="28"/>
          <w:szCs w:val="28"/>
        </w:rPr>
        <w:lastRenderedPageBreak/>
        <w:t>Materials and Equipment Required</w:t>
      </w:r>
      <w:r w:rsidR="00D60AFA" w:rsidRPr="001705E7">
        <w:rPr>
          <w:b/>
          <w:sz w:val="28"/>
          <w:szCs w:val="28"/>
        </w:rPr>
        <w:t xml:space="preserve"> </w:t>
      </w:r>
    </w:p>
    <w:p w:rsidR="00F7103F" w:rsidRPr="001705E7" w:rsidRDefault="00F7103F" w:rsidP="00973EAF">
      <w:pPr>
        <w:ind w:firstLine="720"/>
      </w:pPr>
      <w:r w:rsidRPr="001705E7">
        <w:rPr>
          <w:b/>
        </w:rPr>
        <w:t>TEST INSTRUMENT</w:t>
      </w:r>
      <w:r w:rsidRPr="001705E7">
        <w:t>:  Abbott ARCHITECT System</w:t>
      </w:r>
    </w:p>
    <w:p w:rsidR="006D40ED" w:rsidRPr="001705E7" w:rsidRDefault="006D40ED" w:rsidP="00F7103F">
      <w:pPr>
        <w:rPr>
          <w:b/>
        </w:rPr>
      </w:pPr>
    </w:p>
    <w:p w:rsidR="00F7103F" w:rsidRPr="001705E7" w:rsidRDefault="00F7103F" w:rsidP="00973EAF">
      <w:pPr>
        <w:ind w:firstLine="720"/>
        <w:rPr>
          <w:b/>
        </w:rPr>
      </w:pPr>
      <w:r w:rsidRPr="001705E7">
        <w:rPr>
          <w:b/>
        </w:rPr>
        <w:t>MATERIALS PROVIDED</w:t>
      </w:r>
    </w:p>
    <w:p w:rsidR="00F7103F" w:rsidRPr="001705E7" w:rsidRDefault="00F7103F" w:rsidP="00F7103F"/>
    <w:p w:rsidR="00F7103F" w:rsidRPr="001705E7" w:rsidRDefault="00F7103F" w:rsidP="00973EAF">
      <w:pPr>
        <w:ind w:firstLine="720"/>
      </w:pPr>
      <w:r w:rsidRPr="001705E7">
        <w:rPr>
          <w:rFonts w:eastAsia="HelenPro-Regular"/>
        </w:rPr>
        <w:t xml:space="preserve"> </w:t>
      </w:r>
      <w:r w:rsidR="00B81E9E" w:rsidRPr="001705E7">
        <w:rPr>
          <w:rFonts w:eastAsia="HelenPro-Regular"/>
        </w:rPr>
        <w:t>8G63-21 Direct Bilirubin</w:t>
      </w:r>
    </w:p>
    <w:p w:rsidR="0060509E" w:rsidRPr="001705E7" w:rsidRDefault="0060509E" w:rsidP="00973EAF">
      <w:pPr>
        <w:ind w:firstLine="720"/>
        <w:rPr>
          <w:b/>
        </w:rPr>
      </w:pPr>
    </w:p>
    <w:p w:rsidR="00F7103F" w:rsidRPr="001705E7" w:rsidRDefault="00F7103F" w:rsidP="00973EAF">
      <w:pPr>
        <w:ind w:firstLine="720"/>
        <w:rPr>
          <w:b/>
        </w:rPr>
      </w:pPr>
      <w:r w:rsidRPr="001705E7">
        <w:rPr>
          <w:b/>
        </w:rPr>
        <w:t>MATERIALS REQUIRED BUT NOT PROVIDED</w:t>
      </w:r>
    </w:p>
    <w:p w:rsidR="00F7103F" w:rsidRPr="001705E7" w:rsidRDefault="00F7103F" w:rsidP="00F7103F"/>
    <w:p w:rsidR="00316431" w:rsidRPr="001705E7" w:rsidRDefault="00DC16C5" w:rsidP="00DC16C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1705E7">
        <w:rPr>
          <w:rFonts w:eastAsia="HelenPro-Regular"/>
        </w:rPr>
        <w:t xml:space="preserve">• </w:t>
      </w:r>
      <w:r w:rsidR="00B81E9E" w:rsidRPr="001705E7">
        <w:rPr>
          <w:rFonts w:eastAsia="HelenPro-Regular"/>
        </w:rPr>
        <w:t>1E66 Bilirubin Calibrator</w:t>
      </w:r>
    </w:p>
    <w:p w:rsidR="00C32412" w:rsidRPr="001705E7" w:rsidRDefault="00DC16C5" w:rsidP="00DC16C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1705E7">
        <w:rPr>
          <w:rFonts w:eastAsia="HelenPro-Regular"/>
        </w:rPr>
        <w:t xml:space="preserve">• </w:t>
      </w:r>
      <w:r w:rsidR="00C3571A" w:rsidRPr="001705E7">
        <w:rPr>
          <w:rFonts w:eastAsia="HelenPro-Regular"/>
        </w:rPr>
        <w:t>Control Material</w:t>
      </w:r>
    </w:p>
    <w:p w:rsidR="000448CF" w:rsidRPr="001705E7" w:rsidRDefault="000448CF" w:rsidP="00DC16C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1705E7">
        <w:rPr>
          <w:rFonts w:eastAsia="HelenPro-Regular"/>
        </w:rPr>
        <w:t>• Saline (0.85% to 0.90% NaCl) for specimens that require dilution</w:t>
      </w:r>
    </w:p>
    <w:p w:rsidR="0012178C" w:rsidRPr="001705E7" w:rsidRDefault="0012178C" w:rsidP="00507B0C">
      <w:pPr>
        <w:rPr>
          <w:b/>
          <w:sz w:val="28"/>
          <w:szCs w:val="28"/>
        </w:rPr>
      </w:pPr>
    </w:p>
    <w:p w:rsidR="00507B0C" w:rsidRPr="001705E7" w:rsidRDefault="00507B0C" w:rsidP="00507B0C">
      <w:pPr>
        <w:rPr>
          <w:b/>
          <w:sz w:val="28"/>
          <w:szCs w:val="28"/>
        </w:rPr>
      </w:pPr>
      <w:r w:rsidRPr="001705E7">
        <w:rPr>
          <w:b/>
          <w:sz w:val="28"/>
          <w:szCs w:val="28"/>
        </w:rPr>
        <w:t xml:space="preserve">Reagent Handling and Storage: </w:t>
      </w:r>
    </w:p>
    <w:p w:rsidR="00507B0C" w:rsidRPr="001705E7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1705E7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1705E7">
        <w:rPr>
          <w:b/>
          <w:i/>
          <w:sz w:val="24"/>
          <w:szCs w:val="24"/>
        </w:rPr>
        <w:t>CAUTION</w:t>
      </w:r>
      <w:r w:rsidRPr="001705E7">
        <w:rPr>
          <w:b/>
          <w:sz w:val="24"/>
          <w:szCs w:val="24"/>
        </w:rPr>
        <w:t>:</w:t>
      </w:r>
    </w:p>
    <w:p w:rsidR="00F7103F" w:rsidRPr="001705E7" w:rsidRDefault="00F7103F" w:rsidP="00F7103F">
      <w:pPr>
        <w:rPr>
          <w:rFonts w:eastAsia="HelenPro-Regular"/>
        </w:rPr>
      </w:pPr>
      <w:r w:rsidRPr="001705E7">
        <w:rPr>
          <w:rFonts w:eastAsia="HelenPro-Regular"/>
        </w:rPr>
        <w:t>1. For in vitro diagnostic use.</w:t>
      </w:r>
    </w:p>
    <w:p w:rsidR="00F7103F" w:rsidRPr="001705E7" w:rsidRDefault="00F7103F" w:rsidP="00F7103F">
      <w:pPr>
        <w:rPr>
          <w:rFonts w:eastAsia="HelenPro-Regular"/>
        </w:rPr>
      </w:pPr>
      <w:r w:rsidRPr="001705E7">
        <w:rPr>
          <w:rFonts w:eastAsia="HelenPro-Regular"/>
        </w:rPr>
        <w:t>2. Do not use components beyond the expiration date.</w:t>
      </w:r>
    </w:p>
    <w:p w:rsidR="00F7103F" w:rsidRPr="001705E7" w:rsidRDefault="00F7103F" w:rsidP="00F7103F">
      <w:pPr>
        <w:rPr>
          <w:rFonts w:eastAsia="HelenPro-Regular"/>
        </w:rPr>
      </w:pPr>
      <w:r w:rsidRPr="001705E7">
        <w:rPr>
          <w:rFonts w:eastAsia="HelenPro-Regular"/>
        </w:rPr>
        <w:t>3. Do not mix materials from different kit lot numbers.</w:t>
      </w:r>
    </w:p>
    <w:p w:rsidR="004B5F9D" w:rsidRPr="001705E7" w:rsidRDefault="00DC16C5" w:rsidP="004B5F9D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 xml:space="preserve">• </w:t>
      </w:r>
      <w:r w:rsidR="004B5F9D" w:rsidRPr="001705E7">
        <w:rPr>
          <w:rFonts w:eastAsia="HelenPro-Regular"/>
        </w:rPr>
        <w:t>Protect reagents from direct sunlight.</w:t>
      </w:r>
    </w:p>
    <w:p w:rsidR="00DC16C5" w:rsidRPr="001705E7" w:rsidRDefault="004B5F9D" w:rsidP="004B5F9D">
      <w:pPr>
        <w:rPr>
          <w:rFonts w:eastAsia="HelenPro-Regular"/>
        </w:rPr>
      </w:pPr>
      <w:r w:rsidRPr="001705E7">
        <w:rPr>
          <w:rFonts w:eastAsia="HelenPro-Regular"/>
        </w:rPr>
        <w:t>• Do not freeze reagents.</w:t>
      </w:r>
    </w:p>
    <w:p w:rsidR="00F7103F" w:rsidRPr="001705E7" w:rsidRDefault="00F7103F" w:rsidP="00F7103F">
      <w:pPr>
        <w:rPr>
          <w:rFonts w:eastAsia="HelenPro-Regular"/>
        </w:rPr>
      </w:pPr>
      <w:r w:rsidRPr="001705E7">
        <w:rPr>
          <w:rFonts w:eastAsia="HelenPro-Regular"/>
          <w:b/>
          <w:bCs/>
        </w:rPr>
        <w:t xml:space="preserve">CAUTION: </w:t>
      </w:r>
      <w:r w:rsidRPr="001705E7">
        <w:rPr>
          <w:rFonts w:eastAsia="HelenPro-Regular"/>
        </w:rPr>
        <w:t>This product requires the handling of human specimens.</w:t>
      </w:r>
    </w:p>
    <w:p w:rsidR="00F7103F" w:rsidRPr="001705E7" w:rsidRDefault="00F7103F" w:rsidP="00F7103F">
      <w:pPr>
        <w:rPr>
          <w:rFonts w:eastAsia="HelenPro-Regular"/>
        </w:rPr>
      </w:pPr>
      <w:r w:rsidRPr="001705E7">
        <w:rPr>
          <w:rFonts w:eastAsia="HelenPro-Regular"/>
        </w:rPr>
        <w:t>It is recommended that all human sourced materials be considered</w:t>
      </w:r>
    </w:p>
    <w:p w:rsidR="00F7103F" w:rsidRPr="001705E7" w:rsidRDefault="00F7103F" w:rsidP="00F7103F">
      <w:pPr>
        <w:rPr>
          <w:rFonts w:eastAsia="HelenPro-Regular"/>
        </w:rPr>
      </w:pPr>
      <w:r w:rsidRPr="001705E7">
        <w:rPr>
          <w:rFonts w:eastAsia="HelenPro-Regular"/>
        </w:rPr>
        <w:t>potentially infectious and be handled in accordance with the OSHA</w:t>
      </w:r>
    </w:p>
    <w:p w:rsidR="004A03BD" w:rsidRPr="001705E7" w:rsidRDefault="00F7103F" w:rsidP="00DC16C5">
      <w:pPr>
        <w:rPr>
          <w:rFonts w:eastAsia="HelenPro-Regular"/>
        </w:rPr>
      </w:pPr>
      <w:r w:rsidRPr="001705E7">
        <w:rPr>
          <w:rFonts w:eastAsia="HelenPro-Regular"/>
        </w:rPr>
        <w:t xml:space="preserve">Standard on </w:t>
      </w:r>
      <w:proofErr w:type="spellStart"/>
      <w:r w:rsidRPr="001705E7">
        <w:rPr>
          <w:rFonts w:eastAsia="HelenPro-Regular"/>
        </w:rPr>
        <w:t>Bloodborne</w:t>
      </w:r>
      <w:proofErr w:type="spellEnd"/>
      <w:r w:rsidRPr="001705E7">
        <w:rPr>
          <w:rFonts w:eastAsia="HelenPro-Regular"/>
        </w:rPr>
        <w:t xml:space="preserve"> Pathogens. Biosafety Level 2 or other</w:t>
      </w:r>
      <w:r w:rsidR="00DC16C5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appropriate biosafety practices should be used for materials that contain or are suspected of containing infectious agents.</w:t>
      </w:r>
    </w:p>
    <w:p w:rsidR="00DC16C5" w:rsidRPr="001705E7" w:rsidRDefault="00B81E9E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1705E7">
        <w:rPr>
          <w:noProof/>
        </w:rPr>
        <w:lastRenderedPageBreak/>
        <w:drawing>
          <wp:inline distT="0" distB="0" distL="0" distR="0" wp14:anchorId="6211763A" wp14:editId="52F168E9">
            <wp:extent cx="4143375" cy="4238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5E7" w:rsidRDefault="001705E7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1705E7" w:rsidRDefault="001705E7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1705E7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1705E7">
        <w:rPr>
          <w:rFonts w:eastAsia="HelenPro-Bold"/>
          <w:b/>
          <w:bCs/>
        </w:rPr>
        <w:t>Reagent Handling</w:t>
      </w:r>
    </w:p>
    <w:p w:rsidR="00C32412" w:rsidRPr="001705E7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>• Remove air bubbles, if present in the reagent cartridge, with a new applicator stick. Alternatively, allow the reagent to sit at the appropriate storage temperature to allow the bubbles to dissipate.</w:t>
      </w:r>
    </w:p>
    <w:p w:rsidR="00C32412" w:rsidRPr="001705E7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>To minimize volume depletion, do not use a transfer pipette to remove the bubbles.</w:t>
      </w:r>
    </w:p>
    <w:p w:rsidR="00C32412" w:rsidRPr="001705E7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Bold"/>
          <w:b/>
          <w:bCs/>
        </w:rPr>
        <w:t xml:space="preserve">CAUTION: </w:t>
      </w:r>
      <w:r w:rsidRPr="001705E7">
        <w:rPr>
          <w:rFonts w:eastAsia="HelenPro-Regular"/>
        </w:rPr>
        <w:t>Reagent bubbles may interfere with proper detection of reagent level in the cartridge, causing insufficient reagent aspiration that could impact results.</w:t>
      </w:r>
    </w:p>
    <w:p w:rsidR="002D6FB9" w:rsidRPr="001705E7" w:rsidRDefault="002D6FB9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1705E7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1705E7">
        <w:rPr>
          <w:rFonts w:eastAsia="HelenPro-Bold"/>
          <w:b/>
          <w:bCs/>
        </w:rPr>
        <w:t>Reagent Storage</w:t>
      </w:r>
    </w:p>
    <w:p w:rsidR="00C32412" w:rsidRPr="001705E7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 xml:space="preserve">• Reagent stability is </w:t>
      </w:r>
      <w:r w:rsidR="004B5F9D" w:rsidRPr="001705E7">
        <w:rPr>
          <w:rFonts w:eastAsia="HelenPro-Regular"/>
        </w:rPr>
        <w:t>28 (672 hours)</w:t>
      </w:r>
      <w:r w:rsidRPr="001705E7">
        <w:rPr>
          <w:rFonts w:eastAsia="HelenPro-Regular"/>
        </w:rPr>
        <w:t xml:space="preserve"> days if the reagent is uncapped and onboard.</w:t>
      </w:r>
    </w:p>
    <w:p w:rsidR="0038442D" w:rsidRPr="001705E7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>• Unopened reagents are stable until the expiration date when stored at 2 to 8°C.</w:t>
      </w:r>
    </w:p>
    <w:p w:rsidR="003D376A" w:rsidRPr="001705E7" w:rsidRDefault="003D376A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6E1C94" w:rsidRDefault="006E1C94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6E1C94" w:rsidRDefault="006E1C94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6E1C94" w:rsidRDefault="006E1C94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6E1C94" w:rsidRDefault="006E1C94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6E1C94" w:rsidRDefault="006E1C94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6E1C94" w:rsidRDefault="006E1C94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1705E7" w:rsidRDefault="00B36577" w:rsidP="00B36577">
      <w:pPr>
        <w:spacing w:after="72"/>
      </w:pPr>
      <w:r w:rsidRPr="001705E7">
        <w:rPr>
          <w:rStyle w:val="BodyBold"/>
          <w:rFonts w:ascii="Times New Roman" w:hAnsi="Times New Roman"/>
          <w:sz w:val="24"/>
          <w:szCs w:val="24"/>
          <w:lang w:val="ru-RU"/>
        </w:rPr>
        <w:lastRenderedPageBreak/>
        <w:t>Reagent Preparation:</w:t>
      </w:r>
      <w:r w:rsidRPr="001705E7">
        <w:rPr>
          <w:lang w:val="ru-RU"/>
        </w:rPr>
        <w:t xml:space="preserve"> </w:t>
      </w:r>
    </w:p>
    <w:p w:rsidR="00D64E39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>8G63-21 Direct Bilirubin is supp</w:t>
      </w:r>
      <w:r w:rsidR="0012178C" w:rsidRPr="001705E7">
        <w:rPr>
          <w:rFonts w:eastAsia="HelenPro-Regular"/>
        </w:rPr>
        <w:t xml:space="preserve">lied as a liquid, ready-to-use, </w:t>
      </w:r>
      <w:r w:rsidRPr="001705E7">
        <w:rPr>
          <w:rFonts w:eastAsia="HelenPro-Regular"/>
        </w:rPr>
        <w:t>two-reagent kit which contains</w:t>
      </w:r>
      <w:r w:rsidR="004B5F9D" w:rsidRPr="001705E7">
        <w:rPr>
          <w:rFonts w:eastAsia="HelenPro-Regular"/>
        </w:rPr>
        <w:t>:</w:t>
      </w:r>
      <w:r w:rsidR="0083638D" w:rsidRPr="001705E7">
        <w:rPr>
          <w:rFonts w:eastAsia="HelenPro-Regular"/>
          <w:b/>
          <w:bCs/>
        </w:rPr>
        <w:t xml:space="preserve"> </w:t>
      </w:r>
      <w:r w:rsidR="00020469" w:rsidRPr="001705E7">
        <w:rPr>
          <w:rFonts w:eastAsia="HelenPro-Regular"/>
          <w:b/>
          <w:bCs/>
        </w:rPr>
        <w:t>R1 &amp; R2</w:t>
      </w:r>
    </w:p>
    <w:p w:rsidR="00D64E39" w:rsidRPr="001705E7" w:rsidRDefault="00B81E9E" w:rsidP="00D64E39">
      <w:pPr>
        <w:rPr>
          <w:rFonts w:eastAsia="HelenPro-Regular"/>
        </w:rPr>
      </w:pPr>
      <w:r w:rsidRPr="001705E7">
        <w:rPr>
          <w:noProof/>
        </w:rPr>
        <w:drawing>
          <wp:inline distT="0" distB="0" distL="0" distR="0" wp14:anchorId="12528452" wp14:editId="02AAF0D2">
            <wp:extent cx="4162425" cy="1190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93D" w:rsidRPr="001705E7" w:rsidRDefault="00AB793D" w:rsidP="00AB793D">
      <w:pPr>
        <w:rPr>
          <w:rFonts w:eastAsia="HelenPro-Regular"/>
        </w:rPr>
      </w:pPr>
    </w:p>
    <w:p w:rsidR="009F648F" w:rsidRPr="001705E7" w:rsidRDefault="009F648F" w:rsidP="009F648F">
      <w:pPr>
        <w:pStyle w:val="txt"/>
        <w:ind w:left="0"/>
        <w:rPr>
          <w:sz w:val="24"/>
          <w:szCs w:val="24"/>
        </w:rPr>
      </w:pPr>
    </w:p>
    <w:p w:rsidR="00C3571A" w:rsidRPr="001705E7" w:rsidRDefault="00B36577" w:rsidP="00C3571A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b/>
        </w:rPr>
        <w:t>Calibrator:</w:t>
      </w:r>
      <w:r w:rsidRPr="001705E7">
        <w:t xml:space="preserve">  </w:t>
      </w:r>
      <w:r w:rsidR="00B81E9E" w:rsidRPr="001705E7">
        <w:rPr>
          <w:rFonts w:eastAsia="HelenPro-Regular"/>
        </w:rPr>
        <w:t>1E66 Bilirubin Calibrator</w:t>
      </w:r>
    </w:p>
    <w:p w:rsidR="00507B0C" w:rsidRPr="001705E7" w:rsidRDefault="00507B0C" w:rsidP="00507B0C">
      <w:pPr>
        <w:spacing w:after="43"/>
        <w:rPr>
          <w:i/>
          <w:color w:val="FF0000"/>
          <w:szCs w:val="15"/>
        </w:rPr>
      </w:pPr>
    </w:p>
    <w:p w:rsidR="00973EAF" w:rsidRPr="001705E7" w:rsidRDefault="00B36577" w:rsidP="00973EAF">
      <w:pPr>
        <w:spacing w:after="43"/>
        <w:rPr>
          <w:i/>
          <w:color w:val="FF0000"/>
          <w:szCs w:val="15"/>
        </w:rPr>
      </w:pPr>
      <w:r w:rsidRPr="001705E7">
        <w:rPr>
          <w:b/>
          <w:szCs w:val="14"/>
        </w:rPr>
        <w:t>Quality Control:</w:t>
      </w:r>
      <w:r w:rsidR="00CA11D0" w:rsidRPr="001705E7">
        <w:rPr>
          <w:szCs w:val="14"/>
        </w:rPr>
        <w:t xml:space="preserve">  </w:t>
      </w:r>
      <w:r w:rsidR="0056023B" w:rsidRPr="001705E7">
        <w:rPr>
          <w:szCs w:val="14"/>
        </w:rPr>
        <w:t xml:space="preserve">Minimum 2 levels of </w:t>
      </w:r>
      <w:r w:rsidR="0025031C" w:rsidRPr="001705E7">
        <w:t>Chemistry</w:t>
      </w:r>
      <w:r w:rsidR="0025031C" w:rsidRPr="001705E7">
        <w:rPr>
          <w:b/>
        </w:rPr>
        <w:t xml:space="preserve"> </w:t>
      </w:r>
      <w:r w:rsidR="0025031C" w:rsidRPr="001705E7">
        <w:t>Control</w:t>
      </w:r>
      <w:r w:rsidR="0061553C" w:rsidRPr="001705E7">
        <w:t xml:space="preserve"> (Normal and Abnormal)</w:t>
      </w:r>
    </w:p>
    <w:p w:rsidR="00316431" w:rsidRPr="001705E7" w:rsidRDefault="00316431" w:rsidP="00D60AFA">
      <w:pPr>
        <w:spacing w:after="43"/>
        <w:rPr>
          <w:b/>
          <w:sz w:val="28"/>
          <w:szCs w:val="28"/>
        </w:rPr>
      </w:pPr>
    </w:p>
    <w:p w:rsidR="00D60AFA" w:rsidRPr="001705E7" w:rsidRDefault="00AE6F5B" w:rsidP="00D60AFA">
      <w:pPr>
        <w:spacing w:after="43"/>
        <w:rPr>
          <w:i/>
          <w:color w:val="FF0000"/>
          <w:szCs w:val="15"/>
        </w:rPr>
      </w:pPr>
      <w:r w:rsidRPr="001705E7">
        <w:rPr>
          <w:b/>
          <w:sz w:val="28"/>
          <w:szCs w:val="28"/>
        </w:rPr>
        <w:t>Calibration</w:t>
      </w:r>
      <w:r w:rsidR="00D60AFA" w:rsidRPr="001705E7">
        <w:rPr>
          <w:b/>
          <w:sz w:val="28"/>
          <w:szCs w:val="28"/>
        </w:rPr>
        <w:t xml:space="preserve"> </w:t>
      </w:r>
    </w:p>
    <w:p w:rsidR="00AE6F5B" w:rsidRPr="001705E7" w:rsidRDefault="00AE6F5B" w:rsidP="00AE6F5B">
      <w:pPr>
        <w:rPr>
          <w:b/>
          <w:sz w:val="28"/>
          <w:szCs w:val="28"/>
        </w:rPr>
      </w:pPr>
    </w:p>
    <w:p w:rsidR="00644800" w:rsidRPr="001705E7" w:rsidRDefault="00644800" w:rsidP="00644800">
      <w:pPr>
        <w:ind w:firstLine="720"/>
        <w:rPr>
          <w:b/>
        </w:rPr>
      </w:pPr>
      <w:r w:rsidRPr="001705E7">
        <w:rPr>
          <w:b/>
        </w:rPr>
        <w:t xml:space="preserve">Frequency:  </w:t>
      </w:r>
    </w:p>
    <w:p w:rsidR="00CC3D62" w:rsidRPr="001705E7" w:rsidRDefault="00E4787B" w:rsidP="0031643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1705E7">
        <w:t xml:space="preserve">Calibration is stable for </w:t>
      </w:r>
      <w:r w:rsidR="00B81E9E" w:rsidRPr="001705E7">
        <w:t>14</w:t>
      </w:r>
      <w:r w:rsidRPr="001705E7">
        <w:t xml:space="preserve"> days </w:t>
      </w:r>
      <w:r w:rsidR="00AF597C" w:rsidRPr="001705E7">
        <w:t>for any one lot.</w:t>
      </w:r>
      <w:r w:rsidRPr="001705E7">
        <w:t xml:space="preserve"> </w:t>
      </w:r>
      <w:r w:rsidR="00316431" w:rsidRPr="001705E7">
        <w:rPr>
          <w:rFonts w:eastAsia="HelenPro-Regular"/>
        </w:rPr>
        <w:t>Calibration is required with each change in reagent lot number.</w:t>
      </w:r>
    </w:p>
    <w:p w:rsidR="0055619E" w:rsidRPr="001705E7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CC3D62" w:rsidRPr="001705E7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1705E7">
        <w:rPr>
          <w:b/>
        </w:rPr>
        <w:t>A new calibration is required:</w:t>
      </w:r>
    </w:p>
    <w:p w:rsidR="00CC3D62" w:rsidRPr="001705E7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Pr="001705E7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1705E7">
        <w:rPr>
          <w:rFonts w:eastAsia="HelenPro-Regular"/>
        </w:rPr>
        <w:t>If quality control results do not meet acceptance criteria defined by your</w:t>
      </w:r>
      <w:r w:rsidRPr="001705E7">
        <w:t xml:space="preserve"> </w:t>
      </w:r>
      <w:r w:rsidRPr="001705E7">
        <w:rPr>
          <w:rFonts w:eastAsia="HelenPro-Regular"/>
        </w:rPr>
        <w:t>laboratory, patient values may be suspect. Follow the established quality</w:t>
      </w:r>
      <w:r w:rsidRPr="001705E7">
        <w:t xml:space="preserve"> </w:t>
      </w:r>
      <w:r w:rsidRPr="001705E7">
        <w:rPr>
          <w:rFonts w:eastAsia="HelenPro-Regular"/>
        </w:rPr>
        <w:t>control procedures for your laboratory. Recalibration may be necessary.</w:t>
      </w:r>
    </w:p>
    <w:p w:rsidR="00CC3D62" w:rsidRPr="001705E7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1705E7">
        <w:rPr>
          <w:rFonts w:eastAsia="HelenPro-Regular"/>
        </w:rPr>
        <w:t>Review quality control results and acceptance criteria following a</w:t>
      </w:r>
      <w:r w:rsidR="00912FE4" w:rsidRPr="001705E7">
        <w:t xml:space="preserve"> </w:t>
      </w:r>
      <w:r w:rsidRPr="001705E7">
        <w:rPr>
          <w:rFonts w:eastAsia="HelenPro-Regular"/>
        </w:rPr>
        <w:t>change of reagent or calibrator lot.</w:t>
      </w:r>
    </w:p>
    <w:p w:rsidR="00CC3D62" w:rsidRPr="001705E7" w:rsidRDefault="00CC3D62" w:rsidP="00E4787B">
      <w:pPr>
        <w:autoSpaceDE w:val="0"/>
        <w:autoSpaceDN w:val="0"/>
        <w:adjustRightInd w:val="0"/>
        <w:ind w:left="720"/>
      </w:pPr>
    </w:p>
    <w:p w:rsidR="00656BB9" w:rsidRPr="001705E7" w:rsidRDefault="005E3AB5" w:rsidP="00656BB9">
      <w:pPr>
        <w:spacing w:after="43"/>
        <w:ind w:firstLine="720"/>
        <w:rPr>
          <w:i/>
          <w:color w:val="FF0000"/>
          <w:szCs w:val="15"/>
        </w:rPr>
      </w:pPr>
      <w:r w:rsidRPr="001705E7">
        <w:rPr>
          <w:b/>
        </w:rPr>
        <w:t>Calibrator Required:</w:t>
      </w:r>
      <w:r w:rsidRPr="001705E7">
        <w:t xml:space="preserve">  </w:t>
      </w:r>
      <w:r w:rsidR="00B81E9E" w:rsidRPr="001705E7">
        <w:rPr>
          <w:rFonts w:eastAsia="HelenPro-Regular"/>
        </w:rPr>
        <w:t>1E66 Bilirubin Calibrator</w:t>
      </w:r>
    </w:p>
    <w:p w:rsidR="00714F24" w:rsidRPr="001705E7" w:rsidRDefault="00714F24" w:rsidP="0025031C">
      <w:pPr>
        <w:spacing w:after="43"/>
        <w:ind w:firstLine="720"/>
        <w:rPr>
          <w:color w:val="000000"/>
          <w:szCs w:val="14"/>
        </w:rPr>
      </w:pPr>
    </w:p>
    <w:p w:rsidR="0025031C" w:rsidRPr="001705E7" w:rsidRDefault="0025031C" w:rsidP="004F5F8A">
      <w:pPr>
        <w:ind w:firstLine="720"/>
        <w:rPr>
          <w:b/>
        </w:rPr>
      </w:pPr>
      <w:r w:rsidRPr="001705E7">
        <w:rPr>
          <w:b/>
        </w:rPr>
        <w:t>Reagents:</w:t>
      </w:r>
    </w:p>
    <w:p w:rsidR="00CF2F62" w:rsidRPr="001705E7" w:rsidRDefault="0012178C" w:rsidP="0012178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1705E7">
        <w:rPr>
          <w:rFonts w:eastAsia="HelenPro-Regular"/>
        </w:rPr>
        <w:t>Bilirubin Calibrator is prepared in a bovine serum-based solution. Analyte levels are adjusted with bilirubin extracts and synthetic derivatives. Preservatives are also present.</w:t>
      </w:r>
    </w:p>
    <w:p w:rsidR="003D376A" w:rsidRPr="001705E7" w:rsidRDefault="003D376A" w:rsidP="00F3700B">
      <w:pPr>
        <w:ind w:left="720"/>
        <w:rPr>
          <w:b/>
        </w:rPr>
      </w:pPr>
    </w:p>
    <w:p w:rsidR="00F3700B" w:rsidRPr="001705E7" w:rsidRDefault="0037463A" w:rsidP="00F3700B">
      <w:pPr>
        <w:ind w:left="720"/>
      </w:pPr>
      <w:r w:rsidRPr="001705E7">
        <w:rPr>
          <w:b/>
        </w:rPr>
        <w:t xml:space="preserve">Calibrator Preparation: </w:t>
      </w:r>
    </w:p>
    <w:p w:rsidR="003D38B7" w:rsidRPr="001705E7" w:rsidRDefault="0012178C" w:rsidP="00DC4702">
      <w:pPr>
        <w:autoSpaceDE w:val="0"/>
        <w:autoSpaceDN w:val="0"/>
        <w:adjustRightInd w:val="0"/>
        <w:ind w:left="720"/>
        <w:rPr>
          <w:rFonts w:eastAsia="HelenPro-Regular"/>
        </w:rPr>
      </w:pPr>
      <w:r w:rsidRPr="001705E7">
        <w:rPr>
          <w:rFonts w:eastAsia="HelenPro-Regular"/>
        </w:rPr>
        <w:t>Bilirubin Calibrator requires no preparation prior to use.</w:t>
      </w:r>
    </w:p>
    <w:p w:rsidR="00DC4702" w:rsidRPr="001705E7" w:rsidRDefault="00DC4702" w:rsidP="00AD402C">
      <w:pPr>
        <w:ind w:firstLine="720"/>
        <w:rPr>
          <w:b/>
        </w:rPr>
      </w:pPr>
    </w:p>
    <w:p w:rsidR="004F5F8A" w:rsidRPr="001705E7" w:rsidRDefault="0025031C" w:rsidP="00AD402C">
      <w:pPr>
        <w:ind w:firstLine="720"/>
        <w:rPr>
          <w:b/>
        </w:rPr>
      </w:pPr>
      <w:r w:rsidRPr="001705E7">
        <w:rPr>
          <w:b/>
        </w:rPr>
        <w:t>Calibration Procedure:</w:t>
      </w:r>
      <w:r w:rsidR="0006502B" w:rsidRPr="001705E7">
        <w:rPr>
          <w:b/>
        </w:rPr>
        <w:t xml:space="preserve"> </w:t>
      </w:r>
    </w:p>
    <w:p w:rsidR="0012178C" w:rsidRPr="001705E7" w:rsidRDefault="0012178C" w:rsidP="0012178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1705E7">
        <w:rPr>
          <w:rFonts w:eastAsia="HelenPro-Regular"/>
        </w:rPr>
        <w:t>Calibration is performed by running a water blank and the Bilirubin Calibrator set. Water for the blank is provided by the instrument.</w:t>
      </w:r>
    </w:p>
    <w:p w:rsidR="0012178C" w:rsidRPr="001705E7" w:rsidRDefault="0012178C" w:rsidP="0012178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1705E7">
        <w:rPr>
          <w:rFonts w:eastAsia="HelenPro-Regular"/>
        </w:rPr>
        <w:t>1. Verify that the correct calibrator values have been entered into the calibration file.</w:t>
      </w:r>
    </w:p>
    <w:p w:rsidR="0012178C" w:rsidRPr="001705E7" w:rsidRDefault="0012178C" w:rsidP="0012178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1705E7">
        <w:rPr>
          <w:rFonts w:eastAsia="HelenPro-Regular"/>
        </w:rPr>
        <w:t>2. Allow calibrator to come to room temperature.</w:t>
      </w:r>
    </w:p>
    <w:p w:rsidR="0012178C" w:rsidRPr="001705E7" w:rsidRDefault="0012178C" w:rsidP="0012178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1705E7">
        <w:rPr>
          <w:rFonts w:eastAsia="HelenPro-Regular"/>
        </w:rPr>
        <w:lastRenderedPageBreak/>
        <w:t>3. Mix bottle several times by gentle inversion.</w:t>
      </w:r>
    </w:p>
    <w:p w:rsidR="0012178C" w:rsidRPr="001705E7" w:rsidRDefault="0012178C" w:rsidP="0012178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1705E7">
        <w:rPr>
          <w:rFonts w:eastAsia="HelenPro-Regular"/>
        </w:rPr>
        <w:t>4. Open bottle, place an appropriate amount of each calibrator in a separate sample cup, and place in the assigned positions.</w:t>
      </w:r>
    </w:p>
    <w:p w:rsidR="0012178C" w:rsidRPr="001705E7" w:rsidRDefault="0012178C" w:rsidP="0012178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1705E7">
        <w:rPr>
          <w:rFonts w:eastAsia="HelenPro-Regular"/>
        </w:rPr>
        <w:t>5. Cap bottle tightly and return to refrigerated storage immediately after use.</w:t>
      </w:r>
    </w:p>
    <w:p w:rsidR="00CF2F62" w:rsidRPr="001705E7" w:rsidRDefault="0012178C" w:rsidP="0012178C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1705E7">
        <w:rPr>
          <w:rFonts w:eastAsia="HelenPro-Regular"/>
        </w:rPr>
        <w:t xml:space="preserve">6. Perform calibration as indicated in the </w:t>
      </w:r>
      <w:r w:rsidRPr="001705E7">
        <w:rPr>
          <w:rFonts w:eastAsia="HelenPro-Bold"/>
          <w:b/>
          <w:bCs/>
        </w:rPr>
        <w:t>ARCHITECT System Operations Manual</w:t>
      </w:r>
      <w:r w:rsidRPr="001705E7">
        <w:rPr>
          <w:rFonts w:eastAsia="HelenPro-Regular"/>
        </w:rPr>
        <w:t>.</w:t>
      </w:r>
    </w:p>
    <w:p w:rsidR="00F3700B" w:rsidRPr="001705E7" w:rsidRDefault="00F3700B" w:rsidP="00DB679E">
      <w:pPr>
        <w:autoSpaceDE w:val="0"/>
        <w:autoSpaceDN w:val="0"/>
        <w:adjustRightInd w:val="0"/>
        <w:ind w:left="720"/>
        <w:rPr>
          <w:rFonts w:eastAsia="HelenPro-Regular"/>
        </w:rPr>
      </w:pPr>
    </w:p>
    <w:p w:rsidR="00AF597C" w:rsidRPr="001705E7" w:rsidRDefault="00AF597C" w:rsidP="0055619E">
      <w:pPr>
        <w:ind w:left="720"/>
        <w:rPr>
          <w:b/>
          <w:bCs/>
        </w:rPr>
      </w:pPr>
      <w:r w:rsidRPr="001705E7">
        <w:rPr>
          <w:b/>
          <w:bCs/>
        </w:rPr>
        <w:t>Troubleshooting and Overall Acceptance Criteria Failure</w:t>
      </w:r>
    </w:p>
    <w:p w:rsidR="00AF597C" w:rsidRPr="001705E7" w:rsidRDefault="00AF597C" w:rsidP="00AF597C">
      <w:pPr>
        <w:ind w:left="900"/>
        <w:rPr>
          <w:bCs/>
        </w:rPr>
      </w:pPr>
    </w:p>
    <w:p w:rsidR="00AF597C" w:rsidRPr="001705E7" w:rsidRDefault="0055619E" w:rsidP="00AF597C">
      <w:pPr>
        <w:ind w:left="720"/>
        <w:rPr>
          <w:bCs/>
          <w:highlight w:val="cyan"/>
        </w:rPr>
      </w:pPr>
      <w:r w:rsidRPr="001705E7">
        <w:rPr>
          <w:bCs/>
        </w:rPr>
        <w:t>See ARCHITECT Operations Manual for further calibration troubleshooting.</w:t>
      </w:r>
    </w:p>
    <w:p w:rsidR="0055619E" w:rsidRPr="001705E7" w:rsidRDefault="0055619E" w:rsidP="004F5F8A">
      <w:pPr>
        <w:ind w:left="720"/>
      </w:pPr>
    </w:p>
    <w:p w:rsidR="00D60AFA" w:rsidRPr="001705E7" w:rsidRDefault="0025031C" w:rsidP="00D60AFA">
      <w:pPr>
        <w:spacing w:after="43"/>
        <w:rPr>
          <w:i/>
          <w:color w:val="FF0000"/>
          <w:szCs w:val="15"/>
        </w:rPr>
      </w:pPr>
      <w:r w:rsidRPr="001705E7">
        <w:rPr>
          <w:b/>
          <w:sz w:val="28"/>
          <w:szCs w:val="28"/>
        </w:rPr>
        <w:t>Quality Control:</w:t>
      </w:r>
      <w:r w:rsidR="00D60AFA" w:rsidRPr="001705E7">
        <w:rPr>
          <w:b/>
          <w:sz w:val="28"/>
          <w:szCs w:val="28"/>
        </w:rPr>
        <w:t xml:space="preserve"> </w:t>
      </w:r>
    </w:p>
    <w:p w:rsidR="00F3700B" w:rsidRPr="001705E7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1705E7">
        <w:rPr>
          <w:rFonts w:eastAsia="HelenPro-Regular"/>
        </w:rPr>
        <w:t>Abbott recommends, refer to your laboratory standard operating procedure(s) and/or quality assurance plan for additional quality control requirements and potential corrective actions:</w:t>
      </w:r>
    </w:p>
    <w:p w:rsidR="00F3700B" w:rsidRPr="001705E7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1705E7">
        <w:rPr>
          <w:rFonts w:eastAsia="HelenPro-Regular"/>
        </w:rPr>
        <w:t>• Two levels of controls (normal and abnormal) are to be run every 24 hours.</w:t>
      </w:r>
    </w:p>
    <w:p w:rsidR="00F3700B" w:rsidRPr="001705E7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1705E7">
        <w:rPr>
          <w:rFonts w:eastAsia="HelenPro-Regular"/>
        </w:rPr>
        <w:t>• If more frequent control monitoring is required, follow the established quality control procedures for your laboratory.</w:t>
      </w:r>
    </w:p>
    <w:p w:rsidR="00F3700B" w:rsidRPr="001705E7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1705E7">
        <w:rPr>
          <w:rFonts w:eastAsia="HelenPro-Regular"/>
        </w:rPr>
        <w:t>• If quality control results do not meet the acceptance criteria defined by your laboratory, patient values may be suspect. Follow the established quality control procedures for your laboratory.</w:t>
      </w:r>
    </w:p>
    <w:p w:rsidR="00F3700B" w:rsidRPr="001705E7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1705E7">
        <w:rPr>
          <w:rFonts w:eastAsia="HelenPro-Regular"/>
        </w:rPr>
        <w:t>Recalibration may be necessary.</w:t>
      </w:r>
    </w:p>
    <w:p w:rsidR="00973EAF" w:rsidRPr="001705E7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1705E7">
        <w:rPr>
          <w:rFonts w:eastAsia="HelenPro-Regular"/>
        </w:rPr>
        <w:t>• Review quality control results and acceptance criteria following a change of reagent or calibrator lot.</w:t>
      </w:r>
    </w:p>
    <w:p w:rsidR="00F3700B" w:rsidRPr="001705E7" w:rsidRDefault="00F3700B" w:rsidP="00F66836">
      <w:pPr>
        <w:rPr>
          <w:b/>
          <w:sz w:val="28"/>
          <w:szCs w:val="28"/>
        </w:rPr>
      </w:pPr>
    </w:p>
    <w:p w:rsidR="00F66836" w:rsidRPr="001705E7" w:rsidRDefault="00F66836" w:rsidP="00F66836">
      <w:pPr>
        <w:rPr>
          <w:b/>
          <w:sz w:val="28"/>
          <w:szCs w:val="28"/>
        </w:rPr>
      </w:pPr>
      <w:r w:rsidRPr="001705E7">
        <w:rPr>
          <w:b/>
          <w:sz w:val="28"/>
          <w:szCs w:val="28"/>
        </w:rPr>
        <w:t>Procedure</w:t>
      </w:r>
      <w:r w:rsidR="006D40ED" w:rsidRPr="001705E7">
        <w:rPr>
          <w:b/>
          <w:sz w:val="28"/>
          <w:szCs w:val="28"/>
        </w:rPr>
        <w:t xml:space="preserve"> </w:t>
      </w:r>
    </w:p>
    <w:p w:rsidR="00B36577" w:rsidRPr="001705E7" w:rsidRDefault="00A554D4" w:rsidP="002C7FD5">
      <w:pPr>
        <w:rPr>
          <w:b/>
        </w:rPr>
      </w:pPr>
      <w:r w:rsidRPr="001705E7">
        <w:rPr>
          <w:rFonts w:eastAsia="HelenPro-Regular"/>
        </w:rPr>
        <w:t xml:space="preserve">For a detailed description of how to run an assay, refer to </w:t>
      </w:r>
      <w:r w:rsidRPr="001705E7">
        <w:rPr>
          <w:i/>
          <w:iCs/>
        </w:rPr>
        <w:t xml:space="preserve">Section 5 </w:t>
      </w:r>
      <w:r w:rsidRPr="001705E7">
        <w:rPr>
          <w:rFonts w:eastAsia="HelenPro-Regular"/>
        </w:rPr>
        <w:t xml:space="preserve">of the </w:t>
      </w:r>
      <w:r w:rsidRPr="001705E7">
        <w:rPr>
          <w:b/>
          <w:bCs/>
        </w:rPr>
        <w:t>ARCHITECT System Operations Manual</w:t>
      </w:r>
      <w:r w:rsidRPr="001705E7">
        <w:rPr>
          <w:rFonts w:eastAsia="HelenPro-Regular"/>
        </w:rPr>
        <w:t>.</w:t>
      </w:r>
    </w:p>
    <w:p w:rsidR="003D376A" w:rsidRPr="001705E7" w:rsidRDefault="003D376A" w:rsidP="00F3700B">
      <w:pPr>
        <w:rPr>
          <w:b/>
          <w:sz w:val="28"/>
          <w:szCs w:val="28"/>
        </w:rPr>
      </w:pPr>
    </w:p>
    <w:p w:rsidR="006D40ED" w:rsidRPr="001705E7" w:rsidRDefault="00132081" w:rsidP="00F3700B">
      <w:pPr>
        <w:rPr>
          <w:i/>
          <w:color w:val="FF0000"/>
          <w:sz w:val="28"/>
          <w:szCs w:val="28"/>
        </w:rPr>
      </w:pPr>
      <w:r w:rsidRPr="001705E7">
        <w:rPr>
          <w:b/>
          <w:sz w:val="28"/>
          <w:szCs w:val="28"/>
        </w:rPr>
        <w:t>Calculations</w:t>
      </w:r>
      <w:r w:rsidR="00D60AFA" w:rsidRPr="001705E7">
        <w:rPr>
          <w:b/>
          <w:sz w:val="28"/>
          <w:szCs w:val="28"/>
        </w:rPr>
        <w:t xml:space="preserve"> </w:t>
      </w:r>
    </w:p>
    <w:p w:rsidR="00A554D4" w:rsidRPr="001705E7" w:rsidRDefault="00A554D4" w:rsidP="00AB793D">
      <w:pPr>
        <w:rPr>
          <w:rFonts w:eastAsia="HelenPro-Regular"/>
        </w:rPr>
      </w:pPr>
      <w:r w:rsidRPr="001705E7">
        <w:rPr>
          <w:rFonts w:eastAsia="HelenPro-Regular"/>
        </w:rPr>
        <w:t xml:space="preserve">Refer to </w:t>
      </w:r>
      <w:r w:rsidRPr="001705E7">
        <w:rPr>
          <w:rFonts w:eastAsia="HelenPro-Regular"/>
          <w:i/>
          <w:iCs/>
        </w:rPr>
        <w:t xml:space="preserve">Appendix C </w:t>
      </w:r>
      <w:r w:rsidRPr="001705E7">
        <w:rPr>
          <w:rFonts w:eastAsia="HelenPro-Regular"/>
        </w:rPr>
        <w:t xml:space="preserve">of the </w:t>
      </w:r>
      <w:r w:rsidRPr="001705E7">
        <w:rPr>
          <w:rFonts w:eastAsia="HelenPro-Regular"/>
          <w:b/>
          <w:bCs/>
        </w:rPr>
        <w:t xml:space="preserve">ARCHITECT System Operations Manual </w:t>
      </w:r>
      <w:r w:rsidRPr="001705E7">
        <w:rPr>
          <w:rFonts w:eastAsia="HelenPro-Regular"/>
        </w:rPr>
        <w:t>for</w:t>
      </w:r>
      <w:r w:rsidR="00D64E39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information on results calculations.</w:t>
      </w:r>
    </w:p>
    <w:p w:rsidR="00F92520" w:rsidRPr="001705E7" w:rsidRDefault="00F92520" w:rsidP="00A554D4">
      <w:pPr>
        <w:ind w:left="1530"/>
        <w:rPr>
          <w:rFonts w:eastAsia="HelenPro-Regular"/>
        </w:rPr>
      </w:pPr>
    </w:p>
    <w:p w:rsidR="000A090B" w:rsidRPr="001705E7" w:rsidRDefault="00132081" w:rsidP="000A090B">
      <w:pPr>
        <w:jc w:val="both"/>
        <w:rPr>
          <w:sz w:val="28"/>
          <w:szCs w:val="28"/>
        </w:rPr>
      </w:pPr>
      <w:r w:rsidRPr="001705E7">
        <w:rPr>
          <w:b/>
          <w:sz w:val="28"/>
          <w:szCs w:val="28"/>
        </w:rPr>
        <w:t>Reporting Results</w:t>
      </w:r>
      <w:r w:rsidR="000A090B" w:rsidRPr="001705E7">
        <w:rPr>
          <w:sz w:val="28"/>
          <w:szCs w:val="28"/>
        </w:rPr>
        <w:t xml:space="preserve"> </w:t>
      </w:r>
    </w:p>
    <w:p w:rsidR="00D64E39" w:rsidRPr="001705E7" w:rsidRDefault="00880899" w:rsidP="00880899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 xml:space="preserve">The result unit for the MULTIGENT </w:t>
      </w:r>
      <w:r w:rsidR="004B5F9D" w:rsidRPr="001705E7">
        <w:rPr>
          <w:rFonts w:eastAsia="HelenPro-Regular"/>
        </w:rPr>
        <w:t xml:space="preserve">Direct </w:t>
      </w:r>
      <w:r w:rsidR="00B81E9E" w:rsidRPr="001705E7">
        <w:rPr>
          <w:rFonts w:eastAsia="HelenPro-Regular"/>
        </w:rPr>
        <w:t>Bilirubin</w:t>
      </w:r>
      <w:r w:rsidRPr="001705E7">
        <w:rPr>
          <w:rFonts w:eastAsia="HelenPro-Regular"/>
        </w:rPr>
        <w:t xml:space="preserve"> assay can be reported</w:t>
      </w:r>
      <w:r w:rsidR="00CF2F62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 xml:space="preserve">as </w:t>
      </w:r>
      <w:r w:rsidR="00677E98" w:rsidRPr="001705E7">
        <w:rPr>
          <w:rFonts w:eastAsia="HelenPro-Regular"/>
        </w:rPr>
        <w:t>mg/d</w:t>
      </w:r>
      <w:r w:rsidR="004B5F9D" w:rsidRPr="001705E7">
        <w:rPr>
          <w:rFonts w:eastAsia="HelenPro-Regular"/>
        </w:rPr>
        <w:t>L</w:t>
      </w:r>
      <w:r w:rsidR="00B81E9E" w:rsidRPr="001705E7">
        <w:rPr>
          <w:rFonts w:eastAsia="HelenPro-Regular"/>
        </w:rPr>
        <w:t xml:space="preserve"> or </w:t>
      </w:r>
      <w:proofErr w:type="spellStart"/>
      <w:r w:rsidR="00B81E9E" w:rsidRPr="001705E7">
        <w:rPr>
          <w:rFonts w:eastAsia="HelenPro-Regular"/>
        </w:rPr>
        <w:t>umol</w:t>
      </w:r>
      <w:proofErr w:type="spellEnd"/>
      <w:r w:rsidR="00B81E9E" w:rsidRPr="001705E7">
        <w:rPr>
          <w:rFonts w:eastAsia="HelenPro-Regular"/>
        </w:rPr>
        <w:t>/L</w:t>
      </w:r>
      <w:r w:rsidRPr="001705E7">
        <w:rPr>
          <w:rFonts w:eastAsia="HelenPro-Regular"/>
        </w:rPr>
        <w:t>.</w:t>
      </w:r>
    </w:p>
    <w:p w:rsidR="00DB7BA9" w:rsidRPr="001705E7" w:rsidRDefault="00DB7BA9" w:rsidP="00DB7BA9">
      <w:pPr>
        <w:rPr>
          <w:b/>
          <w:bCs/>
        </w:rPr>
      </w:pPr>
    </w:p>
    <w:p w:rsidR="00912FE4" w:rsidRPr="001705E7" w:rsidRDefault="00912FE4" w:rsidP="00AB793D">
      <w:pPr>
        <w:rPr>
          <w:b/>
          <w:bCs/>
          <w:sz w:val="28"/>
          <w:szCs w:val="28"/>
        </w:rPr>
      </w:pPr>
      <w:r w:rsidRPr="001705E7">
        <w:rPr>
          <w:b/>
          <w:bCs/>
          <w:sz w:val="28"/>
          <w:szCs w:val="28"/>
        </w:rPr>
        <w:t>Specific Performance Characteristics</w:t>
      </w:r>
      <w:r w:rsidR="00D60AFA" w:rsidRPr="001705E7">
        <w:rPr>
          <w:b/>
          <w:bCs/>
          <w:sz w:val="28"/>
          <w:szCs w:val="28"/>
        </w:rPr>
        <w:t xml:space="preserve"> </w:t>
      </w:r>
    </w:p>
    <w:p w:rsidR="00CE2DC7" w:rsidRPr="001705E7" w:rsidRDefault="00CE2DC7" w:rsidP="00AB793D">
      <w:pPr>
        <w:rPr>
          <w:b/>
          <w:bCs/>
        </w:rPr>
      </w:pPr>
      <w:r w:rsidRPr="001705E7">
        <w:rPr>
          <w:b/>
          <w:bCs/>
        </w:rPr>
        <w:t>Reference Ranges</w:t>
      </w:r>
      <w:r w:rsidR="00D60AFA" w:rsidRPr="001705E7">
        <w:rPr>
          <w:b/>
          <w:bCs/>
        </w:rPr>
        <w:t xml:space="preserve"> </w:t>
      </w:r>
    </w:p>
    <w:p w:rsidR="0055619E" w:rsidRPr="001705E7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>It is recommended that each laboratory determine its own reference range based upon its particular locale and population characteristics.</w:t>
      </w:r>
    </w:p>
    <w:p w:rsidR="002D6FB9" w:rsidRPr="001705E7" w:rsidRDefault="002D6FB9" w:rsidP="00AB793D">
      <w:pPr>
        <w:rPr>
          <w:b/>
          <w:bCs/>
        </w:rPr>
      </w:pPr>
    </w:p>
    <w:p w:rsidR="0055619E" w:rsidRPr="001705E7" w:rsidRDefault="001705E7" w:rsidP="00AB793D">
      <w:pPr>
        <w:rPr>
          <w:bCs/>
        </w:rPr>
      </w:pPr>
      <w:r w:rsidRPr="001705E7">
        <w:rPr>
          <w:b/>
          <w:bCs/>
        </w:rPr>
        <w:t xml:space="preserve">Serum/Plasma: </w:t>
      </w:r>
      <w:r w:rsidRPr="001705E7">
        <w:rPr>
          <w:bCs/>
        </w:rPr>
        <w:t>0.0 – 0.5 mg/dL</w:t>
      </w:r>
    </w:p>
    <w:p w:rsidR="00D64E39" w:rsidRPr="001705E7" w:rsidRDefault="00D64E39" w:rsidP="00AB793D">
      <w:pPr>
        <w:rPr>
          <w:bCs/>
        </w:rPr>
      </w:pPr>
    </w:p>
    <w:p w:rsidR="00B63E8F" w:rsidRPr="001705E7" w:rsidRDefault="00B63E8F" w:rsidP="00623EFB">
      <w:pPr>
        <w:ind w:right="720"/>
        <w:jc w:val="both"/>
      </w:pPr>
      <w:r w:rsidRPr="001705E7">
        <w:rPr>
          <w:b/>
        </w:rPr>
        <w:t>Critical Values</w:t>
      </w:r>
      <w:r w:rsidR="001705E7" w:rsidRPr="001705E7">
        <w:rPr>
          <w:b/>
        </w:rPr>
        <w:t>: &gt;</w:t>
      </w:r>
      <w:r w:rsidR="001705E7" w:rsidRPr="001705E7">
        <w:t>2.0 mg/dL</w:t>
      </w:r>
    </w:p>
    <w:p w:rsidR="0038442D" w:rsidRDefault="0038442D" w:rsidP="00AB793D">
      <w:pPr>
        <w:rPr>
          <w:b/>
          <w:sz w:val="28"/>
          <w:szCs w:val="28"/>
        </w:rPr>
      </w:pPr>
    </w:p>
    <w:p w:rsidR="006E1C94" w:rsidRDefault="006E1C94" w:rsidP="00AB793D">
      <w:pPr>
        <w:rPr>
          <w:b/>
          <w:sz w:val="28"/>
          <w:szCs w:val="28"/>
        </w:rPr>
      </w:pPr>
    </w:p>
    <w:p w:rsidR="006E1C94" w:rsidRPr="001705E7" w:rsidRDefault="006E1C94" w:rsidP="00AB793D">
      <w:pPr>
        <w:rPr>
          <w:b/>
          <w:sz w:val="28"/>
          <w:szCs w:val="28"/>
        </w:rPr>
      </w:pPr>
    </w:p>
    <w:p w:rsidR="00D5211B" w:rsidRPr="001705E7" w:rsidRDefault="005E3D52" w:rsidP="00AB793D">
      <w:pPr>
        <w:rPr>
          <w:i/>
          <w:color w:val="FF0000"/>
          <w:sz w:val="28"/>
          <w:szCs w:val="28"/>
        </w:rPr>
      </w:pPr>
      <w:r w:rsidRPr="001705E7">
        <w:rPr>
          <w:b/>
          <w:sz w:val="28"/>
          <w:szCs w:val="28"/>
        </w:rPr>
        <w:lastRenderedPageBreak/>
        <w:t>Performance Characteristics</w:t>
      </w:r>
      <w:r w:rsidR="00973EAF" w:rsidRPr="001705E7">
        <w:rPr>
          <w:b/>
          <w:sz w:val="28"/>
          <w:szCs w:val="28"/>
        </w:rPr>
        <w:t xml:space="preserve"> </w:t>
      </w:r>
    </w:p>
    <w:p w:rsidR="00B45FE2" w:rsidRPr="001705E7" w:rsidRDefault="00B45FE2" w:rsidP="00B45FE2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1705E7">
        <w:rPr>
          <w:rFonts w:eastAsia="HelenPro-Bold"/>
          <w:b/>
          <w:bCs/>
        </w:rPr>
        <w:t>Linearity</w:t>
      </w:r>
    </w:p>
    <w:p w:rsidR="00CF2F62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 xml:space="preserve">Linearity for Direct Bilirubin is 0.1 to 15.0 mg/dL (1.7 to 256.5 </w:t>
      </w:r>
      <w:proofErr w:type="spellStart"/>
      <w:r w:rsidRPr="001705E7">
        <w:rPr>
          <w:rFonts w:eastAsia="HelenPro-Regular"/>
        </w:rPr>
        <w:t>μ</w:t>
      </w:r>
      <w:r w:rsidR="0012178C" w:rsidRPr="001705E7">
        <w:rPr>
          <w:rFonts w:eastAsia="HelenPro-Regular"/>
        </w:rPr>
        <w:t>mol</w:t>
      </w:r>
      <w:proofErr w:type="spellEnd"/>
      <w:r w:rsidR="0012178C" w:rsidRPr="001705E7">
        <w:rPr>
          <w:rFonts w:eastAsia="HelenPro-Regular"/>
        </w:rPr>
        <w:t xml:space="preserve">/L), </w:t>
      </w:r>
      <w:r w:rsidRPr="001705E7">
        <w:rPr>
          <w:rFonts w:eastAsia="HelenPro-Regular"/>
        </w:rPr>
        <w:t>with recovery within 10% or within the 95% confidence level of the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predicted value.</w:t>
      </w:r>
    </w:p>
    <w:p w:rsidR="00B81E9E" w:rsidRPr="001705E7" w:rsidRDefault="00B81E9E" w:rsidP="00920BFE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83638D" w:rsidRPr="001705E7" w:rsidRDefault="00B81E9E" w:rsidP="0012178C">
      <w:pPr>
        <w:rPr>
          <w:rFonts w:eastAsia="HelenPro-Regular"/>
        </w:rPr>
      </w:pPr>
      <w:r w:rsidRPr="001705E7">
        <w:rPr>
          <w:rFonts w:eastAsia="HelenPro-Bold"/>
          <w:b/>
          <w:bCs/>
        </w:rPr>
        <w:t>Limit of Detection (LOD)</w:t>
      </w:r>
      <w:r w:rsidRPr="001705E7">
        <w:rPr>
          <w:rFonts w:eastAsia="HelenPro-Regular"/>
        </w:rPr>
        <w:t xml:space="preserve"> study performed on an ARCHITECT </w:t>
      </w:r>
      <w:r w:rsidRPr="001705E7">
        <w:rPr>
          <w:rFonts w:eastAsia="HelenPro-Regular"/>
          <w:i/>
          <w:iCs/>
        </w:rPr>
        <w:t xml:space="preserve">c </w:t>
      </w:r>
      <w:r w:rsidRPr="001705E7">
        <w:rPr>
          <w:rFonts w:eastAsia="HelenPro-Regular"/>
        </w:rPr>
        <w:t>System produced an</w:t>
      </w:r>
      <w:r w:rsidR="0012178C" w:rsidRPr="001705E7">
        <w:rPr>
          <w:rFonts w:eastAsia="HelenPro-Regular"/>
        </w:rPr>
        <w:t xml:space="preserve">d </w:t>
      </w:r>
      <w:r w:rsidRPr="001705E7">
        <w:rPr>
          <w:rFonts w:eastAsia="HelenPro-Regular"/>
        </w:rPr>
        <w:t xml:space="preserve">LOD for Direct Bilirubin of 0.04 mg/dL (0.69 </w:t>
      </w:r>
      <w:proofErr w:type="spellStart"/>
      <w:r w:rsidRPr="001705E7">
        <w:rPr>
          <w:rFonts w:eastAsia="HelenPro-Regular"/>
        </w:rPr>
        <w:t>μmol</w:t>
      </w:r>
      <w:proofErr w:type="spellEnd"/>
      <w:r w:rsidRPr="001705E7">
        <w:rPr>
          <w:rFonts w:eastAsia="HelenPro-Regular"/>
        </w:rPr>
        <w:t>/L).</w:t>
      </w:r>
    </w:p>
    <w:p w:rsidR="00B81E9E" w:rsidRPr="001705E7" w:rsidRDefault="00B81E9E" w:rsidP="001B29A7">
      <w:pPr>
        <w:ind w:left="90"/>
        <w:rPr>
          <w:rFonts w:eastAsia="HelenPro-Bold"/>
          <w:b/>
          <w:bCs/>
        </w:rPr>
      </w:pP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1705E7">
        <w:rPr>
          <w:rFonts w:eastAsia="HelenPro-Bold"/>
          <w:b/>
          <w:bCs/>
        </w:rPr>
        <w:t>Limit of Quantitation (LOQ)</w:t>
      </w:r>
    </w:p>
    <w:p w:rsidR="00B81E9E" w:rsidRPr="001705E7" w:rsidRDefault="00B81E9E" w:rsidP="0012178C">
      <w:pPr>
        <w:rPr>
          <w:rFonts w:eastAsia="HelenPro-Regular"/>
        </w:rPr>
      </w:pPr>
      <w:r w:rsidRPr="001705E7">
        <w:rPr>
          <w:rFonts w:eastAsia="HelenPro-Regular"/>
        </w:rPr>
        <w:t xml:space="preserve">The LOQ for Direct Bilirubin is ≤ 0.10 mg/dL (1.71 </w:t>
      </w:r>
      <w:proofErr w:type="spellStart"/>
      <w:r w:rsidRPr="001705E7">
        <w:rPr>
          <w:rFonts w:eastAsia="HelenPro-Regular"/>
        </w:rPr>
        <w:t>μmol</w:t>
      </w:r>
      <w:proofErr w:type="spellEnd"/>
      <w:r w:rsidRPr="001705E7">
        <w:rPr>
          <w:rFonts w:eastAsia="HelenPro-Regular"/>
        </w:rPr>
        <w:t>/L).</w:t>
      </w:r>
    </w:p>
    <w:p w:rsidR="00B81E9E" w:rsidRPr="001705E7" w:rsidRDefault="00B81E9E" w:rsidP="00B81E9E">
      <w:pPr>
        <w:ind w:left="90"/>
        <w:rPr>
          <w:rFonts w:eastAsia="HelenPro-Bold"/>
          <w:b/>
          <w:bCs/>
        </w:rPr>
      </w:pPr>
    </w:p>
    <w:p w:rsidR="00912FE4" w:rsidRPr="001705E7" w:rsidRDefault="00912FE4" w:rsidP="0012178C">
      <w:pPr>
        <w:rPr>
          <w:rFonts w:eastAsia="HelenPro-Bold"/>
          <w:b/>
          <w:bCs/>
        </w:rPr>
      </w:pPr>
      <w:r w:rsidRPr="001705E7">
        <w:rPr>
          <w:rFonts w:eastAsia="HelenPro-Bold"/>
          <w:b/>
          <w:bCs/>
        </w:rPr>
        <w:t>Dilution:</w:t>
      </w:r>
      <w:r w:rsidR="00973EAF" w:rsidRPr="001705E7">
        <w:rPr>
          <w:rFonts w:eastAsia="HelenPro-Bold"/>
          <w:b/>
          <w:bCs/>
        </w:rPr>
        <w:t xml:space="preserve"> </w:t>
      </w: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Bold"/>
          <w:b/>
          <w:bCs/>
        </w:rPr>
        <w:t xml:space="preserve">Serum and Plasma: </w:t>
      </w:r>
      <w:r w:rsidRPr="001705E7">
        <w:rPr>
          <w:rFonts w:eastAsia="HelenPro-Regular"/>
        </w:rPr>
        <w:t>Specimens with d</w:t>
      </w:r>
      <w:r w:rsidR="0012178C" w:rsidRPr="001705E7">
        <w:rPr>
          <w:rFonts w:eastAsia="HelenPro-Regular"/>
        </w:rPr>
        <w:t xml:space="preserve">irect bilirubin value exceeding </w:t>
      </w:r>
      <w:r w:rsidRPr="001705E7">
        <w:rPr>
          <w:rFonts w:eastAsia="HelenPro-Regular"/>
        </w:rPr>
        <w:t xml:space="preserve">15.0 mg/dL (256.5 </w:t>
      </w:r>
      <w:proofErr w:type="spellStart"/>
      <w:r w:rsidRPr="001705E7">
        <w:rPr>
          <w:rFonts w:eastAsia="HelenPro-Regular"/>
        </w:rPr>
        <w:t>μmol</w:t>
      </w:r>
      <w:proofErr w:type="spellEnd"/>
      <w:r w:rsidRPr="001705E7">
        <w:rPr>
          <w:rFonts w:eastAsia="HelenPro-Regular"/>
        </w:rPr>
        <w:t>/L) are flagged and may be diluted by following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the Manual Dilution Procedure.</w:t>
      </w:r>
    </w:p>
    <w:p w:rsidR="0012178C" w:rsidRPr="001705E7" w:rsidRDefault="0012178C" w:rsidP="00B81E9E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1705E7">
        <w:rPr>
          <w:rFonts w:eastAsia="HelenPro-Bold"/>
          <w:b/>
          <w:bCs/>
        </w:rPr>
        <w:t>Automated Dilution Protocol</w:t>
      </w: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>If using the Automated Dilution Protocol, the system</w:t>
      </w:r>
      <w:r w:rsidR="0012178C" w:rsidRPr="001705E7">
        <w:rPr>
          <w:rFonts w:eastAsia="HelenPro-Regular"/>
        </w:rPr>
        <w:t xml:space="preserve"> performs a dilution </w:t>
      </w:r>
      <w:r w:rsidRPr="001705E7">
        <w:rPr>
          <w:rFonts w:eastAsia="HelenPro-Regular"/>
        </w:rPr>
        <w:t>of the specimen and automatically corrects the concentration by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multiplying the result by the appropriate dilution factor. To set up the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 xml:space="preserve">automatic dilution feature, refer to </w:t>
      </w:r>
      <w:r w:rsidRPr="001705E7">
        <w:rPr>
          <w:rFonts w:eastAsia="HelenPro-Bold"/>
          <w:i/>
          <w:iCs/>
        </w:rPr>
        <w:t xml:space="preserve">Section 2 </w:t>
      </w:r>
      <w:r w:rsidRPr="001705E7">
        <w:rPr>
          <w:rFonts w:eastAsia="HelenPro-Regular"/>
        </w:rPr>
        <w:t xml:space="preserve">of the </w:t>
      </w:r>
      <w:r w:rsidRPr="001705E7">
        <w:rPr>
          <w:rFonts w:eastAsia="HelenPro-Bold"/>
          <w:b/>
          <w:bCs/>
        </w:rPr>
        <w:t>ARCHITECT System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Bold"/>
          <w:b/>
          <w:bCs/>
        </w:rPr>
        <w:t xml:space="preserve">Operations Manual </w:t>
      </w:r>
      <w:r w:rsidRPr="001705E7">
        <w:rPr>
          <w:rFonts w:eastAsia="HelenPro-Regular"/>
        </w:rPr>
        <w:t>for additional information.</w:t>
      </w:r>
    </w:p>
    <w:p w:rsidR="0012178C" w:rsidRPr="001705E7" w:rsidRDefault="0012178C" w:rsidP="00B81E9E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1705E7">
        <w:rPr>
          <w:rFonts w:eastAsia="HelenPro-Bold"/>
          <w:b/>
          <w:bCs/>
        </w:rPr>
        <w:t>Manual Dilution Procedure</w:t>
      </w: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>Manual dilutions should be performed as follows:</w:t>
      </w: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>• Use saline (0.85% to 0.90% NaCl) to dilute the sample.</w:t>
      </w: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>• The operator must enter the dilution f</w:t>
      </w:r>
      <w:r w:rsidR="0012178C" w:rsidRPr="001705E7">
        <w:rPr>
          <w:rFonts w:eastAsia="HelenPro-Regular"/>
        </w:rPr>
        <w:t xml:space="preserve">actor in the patient or control </w:t>
      </w:r>
      <w:r w:rsidRPr="001705E7">
        <w:rPr>
          <w:rFonts w:eastAsia="HelenPro-Regular"/>
        </w:rPr>
        <w:t>order screen. The system uses this dilution factor to automatically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correct the concentration by multiplying the result by the entered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factor.</w:t>
      </w: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>• If the operator does not enter the dilu</w:t>
      </w:r>
      <w:r w:rsidR="0012178C" w:rsidRPr="001705E7">
        <w:rPr>
          <w:rFonts w:eastAsia="HelenPro-Regular"/>
        </w:rPr>
        <w:t xml:space="preserve">tion factor, the result must be </w:t>
      </w:r>
      <w:r w:rsidRPr="001705E7">
        <w:rPr>
          <w:rFonts w:eastAsia="HelenPro-Regular"/>
        </w:rPr>
        <w:t>multiplied by the appropriate dilution factor before reporting the result.</w:t>
      </w: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Bold"/>
          <w:b/>
          <w:bCs/>
        </w:rPr>
        <w:t xml:space="preserve">NOTE: </w:t>
      </w:r>
      <w:r w:rsidRPr="001705E7">
        <w:rPr>
          <w:rFonts w:eastAsia="HelenPro-Regular"/>
        </w:rPr>
        <w:t>If a diluted sample result is flagged</w:t>
      </w:r>
      <w:r w:rsidR="0012178C" w:rsidRPr="001705E7">
        <w:rPr>
          <w:rFonts w:eastAsia="HelenPro-Regular"/>
        </w:rPr>
        <w:t xml:space="preserve"> indicating it is less than the </w:t>
      </w:r>
      <w:r w:rsidRPr="001705E7">
        <w:rPr>
          <w:rFonts w:eastAsia="HelenPro-Regular"/>
        </w:rPr>
        <w:t>linear low limit, do not report the result. Rerun using an appropriate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dilution.</w:t>
      </w:r>
    </w:p>
    <w:p w:rsidR="00DC4702" w:rsidRPr="001705E7" w:rsidRDefault="00B81E9E" w:rsidP="0012178C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 xml:space="preserve">For detailed information on ordering dilutions, refer to </w:t>
      </w:r>
      <w:r w:rsidRPr="001705E7">
        <w:rPr>
          <w:rFonts w:eastAsia="HelenPro-Bold"/>
          <w:i/>
          <w:iCs/>
        </w:rPr>
        <w:t xml:space="preserve">Section 5 </w:t>
      </w:r>
      <w:r w:rsidR="0012178C" w:rsidRPr="001705E7">
        <w:rPr>
          <w:rFonts w:eastAsia="HelenPro-Regular"/>
        </w:rPr>
        <w:t xml:space="preserve">of the </w:t>
      </w:r>
      <w:r w:rsidRPr="001705E7">
        <w:rPr>
          <w:rFonts w:eastAsia="HelenPro-Bold"/>
          <w:b/>
          <w:bCs/>
        </w:rPr>
        <w:t>ARCHITECT System Operations Manual</w:t>
      </w:r>
      <w:r w:rsidRPr="001705E7">
        <w:rPr>
          <w:rFonts w:eastAsia="HelenPro-Regular"/>
        </w:rPr>
        <w:t>.</w:t>
      </w:r>
    </w:p>
    <w:p w:rsidR="0012178C" w:rsidRPr="001705E7" w:rsidRDefault="0012178C" w:rsidP="00F95946">
      <w:pPr>
        <w:rPr>
          <w:b/>
          <w:color w:val="000000"/>
        </w:rPr>
      </w:pPr>
    </w:p>
    <w:p w:rsidR="001705E7" w:rsidRDefault="001705E7" w:rsidP="00F95946">
      <w:pPr>
        <w:rPr>
          <w:b/>
          <w:color w:val="000000"/>
        </w:rPr>
      </w:pPr>
    </w:p>
    <w:p w:rsidR="006E1C94" w:rsidRDefault="006E1C94" w:rsidP="00F95946">
      <w:pPr>
        <w:rPr>
          <w:b/>
          <w:color w:val="000000"/>
        </w:rPr>
      </w:pPr>
    </w:p>
    <w:p w:rsidR="006E1C94" w:rsidRDefault="006E1C94" w:rsidP="00F95946">
      <w:pPr>
        <w:rPr>
          <w:b/>
          <w:color w:val="000000"/>
        </w:rPr>
      </w:pPr>
    </w:p>
    <w:p w:rsidR="006E1C94" w:rsidRDefault="006E1C94" w:rsidP="00F95946">
      <w:pPr>
        <w:rPr>
          <w:b/>
          <w:color w:val="000000"/>
        </w:rPr>
      </w:pPr>
    </w:p>
    <w:p w:rsidR="006E1C94" w:rsidRDefault="006E1C94" w:rsidP="00F95946">
      <w:pPr>
        <w:rPr>
          <w:b/>
          <w:color w:val="000000"/>
        </w:rPr>
      </w:pPr>
    </w:p>
    <w:p w:rsidR="006E1C94" w:rsidRDefault="006E1C94" w:rsidP="00F95946">
      <w:pPr>
        <w:rPr>
          <w:b/>
          <w:color w:val="000000"/>
        </w:rPr>
      </w:pPr>
    </w:p>
    <w:p w:rsidR="006E1C94" w:rsidRDefault="006E1C94" w:rsidP="00F95946">
      <w:pPr>
        <w:rPr>
          <w:b/>
          <w:color w:val="000000"/>
        </w:rPr>
      </w:pPr>
    </w:p>
    <w:p w:rsidR="006E1C94" w:rsidRDefault="006E1C94" w:rsidP="00F95946">
      <w:pPr>
        <w:rPr>
          <w:b/>
          <w:color w:val="000000"/>
        </w:rPr>
      </w:pPr>
    </w:p>
    <w:p w:rsidR="006E1C94" w:rsidRDefault="006E1C94" w:rsidP="00F95946">
      <w:pPr>
        <w:rPr>
          <w:b/>
          <w:color w:val="000000"/>
        </w:rPr>
      </w:pPr>
    </w:p>
    <w:p w:rsidR="006E1C94" w:rsidRDefault="006E1C94" w:rsidP="00F95946">
      <w:pPr>
        <w:rPr>
          <w:b/>
          <w:color w:val="000000"/>
        </w:rPr>
      </w:pPr>
    </w:p>
    <w:p w:rsidR="006E1C94" w:rsidRDefault="006E1C94" w:rsidP="00F95946">
      <w:pPr>
        <w:rPr>
          <w:b/>
          <w:color w:val="000000"/>
        </w:rPr>
      </w:pPr>
    </w:p>
    <w:p w:rsidR="00912FE4" w:rsidRPr="001705E7" w:rsidRDefault="00912FE4" w:rsidP="00F95946">
      <w:pPr>
        <w:rPr>
          <w:rFonts w:eastAsia="HelenPro-Regular"/>
        </w:rPr>
      </w:pPr>
      <w:bookmarkStart w:id="0" w:name="_GoBack"/>
      <w:bookmarkEnd w:id="0"/>
      <w:r w:rsidRPr="001705E7">
        <w:rPr>
          <w:b/>
          <w:color w:val="000000"/>
        </w:rPr>
        <w:lastRenderedPageBreak/>
        <w:t>Precision:</w:t>
      </w:r>
      <w:r w:rsidR="0038442D" w:rsidRPr="001705E7">
        <w:rPr>
          <w:b/>
          <w:color w:val="000000"/>
        </w:rPr>
        <w:t xml:space="preserve"> </w:t>
      </w:r>
    </w:p>
    <w:p w:rsidR="004B5F9D" w:rsidRPr="001705E7" w:rsidRDefault="00B81E9E" w:rsidP="00F95946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>The imprecision of the Direct Bilirubin assay is ≤ 5% Total CV.</w:t>
      </w:r>
    </w:p>
    <w:p w:rsidR="00B81E9E" w:rsidRPr="001705E7" w:rsidRDefault="00B81E9E" w:rsidP="00F95946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noProof/>
        </w:rPr>
        <w:drawing>
          <wp:inline distT="0" distB="0" distL="0" distR="0" wp14:anchorId="72E55026" wp14:editId="6240B3EC">
            <wp:extent cx="4191000" cy="2619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E37" w:rsidRPr="001705E7" w:rsidRDefault="00C53E37" w:rsidP="00C53E37">
      <w:pPr>
        <w:pStyle w:val="Heading4"/>
        <w:rPr>
          <w:sz w:val="24"/>
          <w:szCs w:val="24"/>
        </w:rPr>
      </w:pPr>
      <w:r w:rsidRPr="001705E7">
        <w:rPr>
          <w:sz w:val="24"/>
          <w:szCs w:val="24"/>
        </w:rPr>
        <w:t>Limitations of Procedure</w:t>
      </w:r>
      <w:r w:rsidR="00973EAF" w:rsidRPr="001705E7">
        <w:rPr>
          <w:sz w:val="24"/>
          <w:szCs w:val="24"/>
        </w:rPr>
        <w:t xml:space="preserve"> </w:t>
      </w:r>
    </w:p>
    <w:p w:rsidR="001A41B0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>Some specimens may give a direct bilirub</w:t>
      </w:r>
      <w:r w:rsidR="0012178C" w:rsidRPr="001705E7">
        <w:rPr>
          <w:rFonts w:eastAsia="HelenPro-Regular"/>
        </w:rPr>
        <w:t xml:space="preserve">in result slightly greater than </w:t>
      </w:r>
      <w:r w:rsidRPr="001705E7">
        <w:rPr>
          <w:rFonts w:eastAsia="HelenPro-Regular"/>
        </w:rPr>
        <w:t>the total bilirubin result. During internal testing at Abbott Laboratories,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 xml:space="preserve">specimens with total bilirubin concentrations of 0.2 mg/dL (3.4 </w:t>
      </w:r>
      <w:proofErr w:type="spellStart"/>
      <w:r w:rsidRPr="001705E7">
        <w:rPr>
          <w:rFonts w:eastAsia="HelenPro-Regular"/>
        </w:rPr>
        <w:t>μmol</w:t>
      </w:r>
      <w:proofErr w:type="spellEnd"/>
      <w:r w:rsidRPr="001705E7">
        <w:rPr>
          <w:rFonts w:eastAsia="HelenPro-Regular"/>
        </w:rPr>
        <w:t>/L)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or less occasionally gave a direct bilirubin result that slightly exceeded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their respective total bilirubin result. This may be observed when nearly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all reacting bilirubin is direct bilirubin.</w:t>
      </w:r>
    </w:p>
    <w:p w:rsidR="00B81E9E" w:rsidRPr="001705E7" w:rsidRDefault="00B81E9E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95946" w:rsidRPr="001705E7" w:rsidRDefault="00F95946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1705E7">
        <w:rPr>
          <w:rFonts w:eastAsia="HelenPro-Bold"/>
          <w:b/>
          <w:bCs/>
        </w:rPr>
        <w:t>Interfering Substances</w:t>
      </w:r>
    </w:p>
    <w:p w:rsidR="004B5F9D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rFonts w:eastAsia="HelenPro-Regular"/>
        </w:rPr>
        <w:t>Potential interference in the Direc</w:t>
      </w:r>
      <w:r w:rsidR="0012178C" w:rsidRPr="001705E7">
        <w:rPr>
          <w:rFonts w:eastAsia="HelenPro-Regular"/>
        </w:rPr>
        <w:t xml:space="preserve">t Bilirubin assay from 62 mg/dL </w:t>
      </w:r>
      <w:r w:rsidRPr="001705E7">
        <w:rPr>
          <w:rFonts w:eastAsia="HelenPro-Regular"/>
        </w:rPr>
        <w:t xml:space="preserve">hemoglobin, 125 mg/dL </w:t>
      </w:r>
      <w:proofErr w:type="spellStart"/>
      <w:r w:rsidRPr="001705E7">
        <w:rPr>
          <w:rFonts w:eastAsia="HelenPro-Regular"/>
        </w:rPr>
        <w:t>Intralipid</w:t>
      </w:r>
      <w:proofErr w:type="spellEnd"/>
      <w:r w:rsidRPr="001705E7">
        <w:rPr>
          <w:rFonts w:eastAsia="HelenPro-Regular"/>
        </w:rPr>
        <w:t xml:space="preserve">, or 0.50 mmol/L </w:t>
      </w:r>
      <w:proofErr w:type="spellStart"/>
      <w:r w:rsidRPr="001705E7">
        <w:rPr>
          <w:rFonts w:eastAsia="HelenPro-Regular"/>
        </w:rPr>
        <w:t>Indican</w:t>
      </w:r>
      <w:proofErr w:type="spellEnd"/>
      <w:r w:rsidRPr="001705E7">
        <w:rPr>
          <w:rFonts w:eastAsia="HelenPro-Regular"/>
        </w:rPr>
        <w:t xml:space="preserve"> (</w:t>
      </w:r>
      <w:proofErr w:type="spellStart"/>
      <w:r w:rsidRPr="001705E7">
        <w:rPr>
          <w:rFonts w:eastAsia="HelenPro-Regular"/>
        </w:rPr>
        <w:t>indoxyl</w:t>
      </w:r>
      <w:proofErr w:type="spellEnd"/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 xml:space="preserve">sulfate) is ≤ 10% or </w:t>
      </w:r>
      <w:r w:rsidR="0012178C" w:rsidRPr="001705E7">
        <w:rPr>
          <w:rFonts w:eastAsia="HelenPro-Regular"/>
        </w:rPr>
        <w:t>+/-</w:t>
      </w:r>
      <w:r w:rsidRPr="001705E7">
        <w:rPr>
          <w:rFonts w:eastAsia="HelenPro-Regular"/>
        </w:rPr>
        <w:t xml:space="preserve"> 0.1 mg/dL, whichever is greater, at the medical</w:t>
      </w:r>
      <w:r w:rsidR="0012178C" w:rsidRPr="001705E7">
        <w:rPr>
          <w:rFonts w:eastAsia="HelenPro-Regular"/>
        </w:rPr>
        <w:t xml:space="preserve"> </w:t>
      </w:r>
      <w:r w:rsidRPr="001705E7">
        <w:rPr>
          <w:rFonts w:eastAsia="HelenPro-Regular"/>
        </w:rPr>
        <w:t>decision level of the analyte.</w:t>
      </w:r>
    </w:p>
    <w:p w:rsidR="00B81E9E" w:rsidRPr="001705E7" w:rsidRDefault="00B81E9E" w:rsidP="00B81E9E">
      <w:pPr>
        <w:autoSpaceDE w:val="0"/>
        <w:autoSpaceDN w:val="0"/>
        <w:adjustRightInd w:val="0"/>
        <w:rPr>
          <w:rFonts w:eastAsia="HelenPro-Regular"/>
        </w:rPr>
      </w:pPr>
      <w:r w:rsidRPr="001705E7">
        <w:rPr>
          <w:noProof/>
        </w:rPr>
        <w:drawing>
          <wp:inline distT="0" distB="0" distL="0" distR="0" wp14:anchorId="674347B6" wp14:editId="1B230F4D">
            <wp:extent cx="4162425" cy="26955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BA9" w:rsidRPr="001705E7" w:rsidRDefault="00DB7BA9" w:rsidP="00D16B69">
      <w:pPr>
        <w:jc w:val="both"/>
        <w:rPr>
          <w:b/>
        </w:rPr>
      </w:pPr>
    </w:p>
    <w:p w:rsidR="00DB679E" w:rsidRPr="001705E7" w:rsidRDefault="00DB679E" w:rsidP="00CF2F62">
      <w:pPr>
        <w:jc w:val="both"/>
        <w:rPr>
          <w:noProof/>
        </w:rPr>
      </w:pPr>
    </w:p>
    <w:p w:rsidR="00DB679E" w:rsidRPr="001705E7" w:rsidRDefault="00DB679E" w:rsidP="00CF2F62">
      <w:pPr>
        <w:jc w:val="both"/>
        <w:rPr>
          <w:noProof/>
        </w:rPr>
      </w:pPr>
    </w:p>
    <w:p w:rsidR="00677E98" w:rsidRPr="001705E7" w:rsidRDefault="00677E98" w:rsidP="00CF2F62">
      <w:pPr>
        <w:jc w:val="both"/>
        <w:rPr>
          <w:noProof/>
        </w:rPr>
      </w:pPr>
    </w:p>
    <w:p w:rsidR="00D16B69" w:rsidRPr="001705E7" w:rsidRDefault="00D16B69" w:rsidP="00D16B69">
      <w:pPr>
        <w:jc w:val="both"/>
        <w:rPr>
          <w:b/>
        </w:rPr>
      </w:pPr>
      <w:r w:rsidRPr="001705E7">
        <w:rPr>
          <w:b/>
        </w:rPr>
        <w:t>References:</w:t>
      </w:r>
      <w:r w:rsidR="00973EAF" w:rsidRPr="001705E7">
        <w:rPr>
          <w:b/>
        </w:rPr>
        <w:t xml:space="preserve"> </w:t>
      </w:r>
    </w:p>
    <w:p w:rsidR="000A13F2" w:rsidRPr="001705E7" w:rsidRDefault="000A13F2" w:rsidP="00030CD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705E7">
        <w:rPr>
          <w:sz w:val="22"/>
          <w:szCs w:val="22"/>
        </w:rPr>
        <w:t xml:space="preserve">ABBOTT ARCHITECT </w:t>
      </w:r>
      <w:r w:rsidR="00860C1E" w:rsidRPr="001705E7">
        <w:rPr>
          <w:sz w:val="22"/>
          <w:szCs w:val="22"/>
        </w:rPr>
        <w:t xml:space="preserve">Direct </w:t>
      </w:r>
      <w:r w:rsidR="00B81E9E" w:rsidRPr="001705E7">
        <w:rPr>
          <w:sz w:val="22"/>
          <w:szCs w:val="22"/>
        </w:rPr>
        <w:t>Bilirubin</w:t>
      </w:r>
      <w:r w:rsidRPr="001705E7">
        <w:rPr>
          <w:sz w:val="22"/>
          <w:szCs w:val="22"/>
        </w:rPr>
        <w:t xml:space="preserve"> package insert</w:t>
      </w:r>
    </w:p>
    <w:p w:rsidR="000A13F2" w:rsidRPr="001705E7" w:rsidRDefault="000A13F2" w:rsidP="000A13F2">
      <w:pPr>
        <w:pStyle w:val="ListParagraph"/>
        <w:rPr>
          <w:sz w:val="22"/>
          <w:szCs w:val="22"/>
        </w:rPr>
      </w:pPr>
      <w:r w:rsidRPr="001705E7">
        <w:rPr>
          <w:sz w:val="22"/>
          <w:szCs w:val="22"/>
        </w:rPr>
        <w:t>Abbott Laboratories</w:t>
      </w:r>
    </w:p>
    <w:p w:rsidR="000A13F2" w:rsidRPr="001705E7" w:rsidRDefault="000A13F2" w:rsidP="000A13F2">
      <w:pPr>
        <w:pStyle w:val="ListParagraph"/>
        <w:rPr>
          <w:sz w:val="22"/>
          <w:szCs w:val="22"/>
        </w:rPr>
      </w:pPr>
      <w:r w:rsidRPr="001705E7">
        <w:rPr>
          <w:sz w:val="22"/>
          <w:szCs w:val="22"/>
        </w:rPr>
        <w:t>Diagnostics Division</w:t>
      </w:r>
    </w:p>
    <w:p w:rsidR="000A13F2" w:rsidRPr="001705E7" w:rsidRDefault="000A13F2" w:rsidP="000A13F2">
      <w:pPr>
        <w:pStyle w:val="ListParagraph"/>
        <w:rPr>
          <w:sz w:val="22"/>
          <w:szCs w:val="22"/>
        </w:rPr>
      </w:pPr>
      <w:r w:rsidRPr="001705E7">
        <w:rPr>
          <w:sz w:val="22"/>
          <w:szCs w:val="22"/>
        </w:rPr>
        <w:t>Abbott Park, IL  60064</w:t>
      </w:r>
    </w:p>
    <w:p w:rsidR="00425BA0" w:rsidRPr="001705E7" w:rsidRDefault="00B81E9E" w:rsidP="00425BA0">
      <w:pPr>
        <w:pStyle w:val="ListParagraph"/>
        <w:rPr>
          <w:rFonts w:eastAsia="HelenPro-Bold"/>
          <w:b/>
          <w:bCs/>
          <w:sz w:val="20"/>
          <w:szCs w:val="20"/>
        </w:rPr>
      </w:pPr>
      <w:r w:rsidRPr="001705E7">
        <w:rPr>
          <w:bCs/>
          <w:sz w:val="22"/>
          <w:szCs w:val="22"/>
        </w:rPr>
        <w:t>Oct</w:t>
      </w:r>
      <w:r w:rsidR="0074336C" w:rsidRPr="001705E7">
        <w:rPr>
          <w:bCs/>
          <w:sz w:val="22"/>
          <w:szCs w:val="22"/>
        </w:rPr>
        <w:t xml:space="preserve"> 201</w:t>
      </w:r>
      <w:r w:rsidRPr="001705E7">
        <w:rPr>
          <w:bCs/>
          <w:sz w:val="22"/>
          <w:szCs w:val="22"/>
        </w:rPr>
        <w:t>2</w:t>
      </w:r>
      <w:r w:rsidR="000A13F2" w:rsidRPr="001705E7">
        <w:rPr>
          <w:bCs/>
          <w:sz w:val="22"/>
          <w:szCs w:val="22"/>
        </w:rPr>
        <w:t xml:space="preserve"> </w:t>
      </w:r>
      <w:r w:rsidRPr="001705E7">
        <w:rPr>
          <w:rFonts w:eastAsia="HelenPro-Bold"/>
          <w:bCs/>
        </w:rPr>
        <w:t>305018/R02</w:t>
      </w:r>
    </w:p>
    <w:p w:rsidR="000A13F2" w:rsidRPr="001705E7" w:rsidRDefault="000A13F2" w:rsidP="00425BA0">
      <w:pPr>
        <w:pStyle w:val="ListParagraph"/>
        <w:numPr>
          <w:ilvl w:val="0"/>
          <w:numId w:val="4"/>
        </w:numPr>
        <w:rPr>
          <w:rFonts w:eastAsia="HelenPro-Bold"/>
          <w:b/>
          <w:bCs/>
          <w:sz w:val="20"/>
          <w:szCs w:val="20"/>
        </w:rPr>
      </w:pPr>
      <w:r w:rsidRPr="001705E7">
        <w:rPr>
          <w:sz w:val="22"/>
          <w:szCs w:val="22"/>
        </w:rPr>
        <w:t xml:space="preserve">ABBOTT ARCHITECT </w:t>
      </w:r>
      <w:r w:rsidR="00B81E9E" w:rsidRPr="001705E7">
        <w:rPr>
          <w:sz w:val="22"/>
          <w:szCs w:val="22"/>
        </w:rPr>
        <w:t>Bilirubin</w:t>
      </w:r>
      <w:r w:rsidR="00880899" w:rsidRPr="001705E7">
        <w:rPr>
          <w:sz w:val="22"/>
          <w:szCs w:val="22"/>
        </w:rPr>
        <w:t xml:space="preserve"> </w:t>
      </w:r>
      <w:r w:rsidRPr="001705E7">
        <w:rPr>
          <w:sz w:val="22"/>
          <w:szCs w:val="22"/>
        </w:rPr>
        <w:t>Calibrator package insert</w:t>
      </w:r>
    </w:p>
    <w:p w:rsidR="000A13F2" w:rsidRPr="001705E7" w:rsidRDefault="000A13F2" w:rsidP="000A13F2">
      <w:pPr>
        <w:pStyle w:val="ListParagraph"/>
        <w:rPr>
          <w:sz w:val="22"/>
          <w:szCs w:val="22"/>
        </w:rPr>
      </w:pPr>
      <w:r w:rsidRPr="001705E7">
        <w:rPr>
          <w:sz w:val="22"/>
          <w:szCs w:val="22"/>
        </w:rPr>
        <w:t>Abbott Laboratories</w:t>
      </w:r>
    </w:p>
    <w:p w:rsidR="000A13F2" w:rsidRPr="001705E7" w:rsidRDefault="000A13F2" w:rsidP="000A13F2">
      <w:pPr>
        <w:pStyle w:val="ListParagraph"/>
        <w:rPr>
          <w:sz w:val="22"/>
          <w:szCs w:val="22"/>
        </w:rPr>
      </w:pPr>
      <w:r w:rsidRPr="001705E7">
        <w:rPr>
          <w:sz w:val="22"/>
          <w:szCs w:val="22"/>
        </w:rPr>
        <w:t>Diagnostics Division</w:t>
      </w:r>
    </w:p>
    <w:p w:rsidR="000A13F2" w:rsidRPr="001705E7" w:rsidRDefault="000A13F2" w:rsidP="000A13F2">
      <w:pPr>
        <w:pStyle w:val="ListParagraph"/>
        <w:rPr>
          <w:sz w:val="22"/>
          <w:szCs w:val="22"/>
        </w:rPr>
      </w:pPr>
      <w:r w:rsidRPr="001705E7">
        <w:rPr>
          <w:sz w:val="22"/>
          <w:szCs w:val="22"/>
        </w:rPr>
        <w:t>Abbott Park, IL  60064</w:t>
      </w:r>
    </w:p>
    <w:p w:rsidR="00881923" w:rsidRPr="001705E7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 w:rsidRPr="001705E7">
        <w:t>Abbott ARCHITECT</w:t>
      </w:r>
      <w:r w:rsidR="00D16B69" w:rsidRPr="001705E7">
        <w:rPr>
          <w:lang w:val="ru-RU"/>
        </w:rPr>
        <w:t xml:space="preserve"> Operator’s Guide</w:t>
      </w:r>
    </w:p>
    <w:p w:rsidR="00AB5354" w:rsidRPr="001705E7" w:rsidRDefault="00AB5354" w:rsidP="0009322F">
      <w:pPr>
        <w:rPr>
          <w:b/>
        </w:rPr>
      </w:pPr>
    </w:p>
    <w:p w:rsidR="00065C26" w:rsidRPr="001705E7" w:rsidRDefault="00065C26" w:rsidP="00246FA8">
      <w:pPr>
        <w:rPr>
          <w:b/>
        </w:rPr>
      </w:pPr>
    </w:p>
    <w:p w:rsidR="00065C26" w:rsidRPr="001705E7" w:rsidRDefault="00065C26" w:rsidP="00246FA8">
      <w:pPr>
        <w:rPr>
          <w:b/>
        </w:rPr>
      </w:pPr>
    </w:p>
    <w:p w:rsidR="00316431" w:rsidRPr="001705E7" w:rsidRDefault="00316431" w:rsidP="00246FA8">
      <w:pPr>
        <w:rPr>
          <w:b/>
        </w:rPr>
      </w:pPr>
    </w:p>
    <w:p w:rsidR="0012178C" w:rsidRPr="001705E7" w:rsidRDefault="0012178C" w:rsidP="00246FA8">
      <w:pPr>
        <w:rPr>
          <w:b/>
        </w:rPr>
      </w:pPr>
    </w:p>
    <w:p w:rsidR="0012178C" w:rsidRPr="001705E7" w:rsidRDefault="0012178C" w:rsidP="00246FA8">
      <w:pPr>
        <w:rPr>
          <w:b/>
        </w:rPr>
      </w:pPr>
    </w:p>
    <w:p w:rsidR="0012178C" w:rsidRPr="001705E7" w:rsidRDefault="0012178C" w:rsidP="00246FA8">
      <w:pPr>
        <w:rPr>
          <w:b/>
        </w:rPr>
      </w:pPr>
    </w:p>
    <w:p w:rsidR="0012178C" w:rsidRPr="001705E7" w:rsidRDefault="0012178C" w:rsidP="00246FA8">
      <w:pPr>
        <w:rPr>
          <w:b/>
        </w:rPr>
      </w:pPr>
    </w:p>
    <w:p w:rsidR="0012178C" w:rsidRPr="001705E7" w:rsidRDefault="0012178C" w:rsidP="00246FA8">
      <w:pPr>
        <w:rPr>
          <w:b/>
        </w:rPr>
      </w:pPr>
    </w:p>
    <w:p w:rsidR="0012178C" w:rsidRPr="001705E7" w:rsidRDefault="0012178C" w:rsidP="00246FA8">
      <w:pPr>
        <w:rPr>
          <w:b/>
        </w:rPr>
      </w:pPr>
    </w:p>
    <w:p w:rsidR="00065C26" w:rsidRPr="001705E7" w:rsidRDefault="00065C26" w:rsidP="00246FA8">
      <w:pPr>
        <w:rPr>
          <w:b/>
        </w:rPr>
      </w:pPr>
    </w:p>
    <w:p w:rsidR="00065C26" w:rsidRPr="001705E7" w:rsidRDefault="00065C26" w:rsidP="00246FA8">
      <w:pPr>
        <w:rPr>
          <w:b/>
        </w:rPr>
      </w:pPr>
    </w:p>
    <w:p w:rsidR="00881923" w:rsidRPr="001705E7" w:rsidRDefault="002D18CA" w:rsidP="00246FA8">
      <w:pPr>
        <w:rPr>
          <w:i/>
          <w:sz w:val="20"/>
          <w:szCs w:val="20"/>
        </w:rPr>
      </w:pPr>
      <w:r w:rsidRPr="001705E7">
        <w:rPr>
          <w:b/>
        </w:rPr>
        <w:t>R</w:t>
      </w:r>
      <w:r w:rsidR="0009322F" w:rsidRPr="001705E7">
        <w:rPr>
          <w:b/>
        </w:rPr>
        <w:t xml:space="preserve">elated Documents: </w:t>
      </w:r>
    </w:p>
    <w:p w:rsidR="00157696" w:rsidRPr="001705E7" w:rsidRDefault="00157696" w:rsidP="00246FA8">
      <w:pPr>
        <w:rPr>
          <w:i/>
          <w:color w:val="FF0000"/>
        </w:rPr>
      </w:pPr>
      <w:r w:rsidRPr="001705E7">
        <w:rPr>
          <w:b/>
        </w:rPr>
        <w:t>Attachments:</w:t>
      </w:r>
      <w:r w:rsidR="00973EAF" w:rsidRPr="001705E7">
        <w:rPr>
          <w:b/>
        </w:rPr>
        <w:t xml:space="preserve"> </w:t>
      </w:r>
    </w:p>
    <w:p w:rsidR="002D18CA" w:rsidRPr="001705E7" w:rsidRDefault="002D18CA" w:rsidP="0009322F">
      <w:pPr>
        <w:rPr>
          <w:b/>
        </w:rPr>
      </w:pPr>
    </w:p>
    <w:p w:rsidR="00D16B69" w:rsidRDefault="00D16B69" w:rsidP="00951C8E">
      <w:pPr>
        <w:spacing w:after="72"/>
        <w:jc w:val="both"/>
      </w:pPr>
    </w:p>
    <w:sectPr w:rsidR="00D16B69" w:rsidSect="00507B0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0F" w:rsidRDefault="0038720F">
      <w:r>
        <w:separator/>
      </w:r>
    </w:p>
  </w:endnote>
  <w:endnote w:type="continuationSeparator" w:id="0">
    <w:p w:rsidR="0038720F" w:rsidRDefault="0038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7E" w:rsidRDefault="00F37D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C4" w:rsidRDefault="00BC1EC4" w:rsidP="00BC1EC4">
    <w:pPr>
      <w:pStyle w:val="Footer"/>
      <w:rPr>
        <w:b/>
        <w:sz w:val="20"/>
        <w:szCs w:val="20"/>
      </w:rPr>
    </w:pPr>
  </w:p>
  <w:p w:rsidR="00BC1EC4" w:rsidRDefault="00BC1EC4" w:rsidP="00BC1EC4">
    <w:pPr>
      <w:pStyle w:val="Footer"/>
      <w:rPr>
        <w:sz w:val="20"/>
        <w:szCs w:val="20"/>
      </w:rPr>
    </w:pP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6E1C94">
      <w:rPr>
        <w:noProof/>
        <w:sz w:val="20"/>
        <w:szCs w:val="20"/>
      </w:rPr>
      <w:t>8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6E1C94">
      <w:rPr>
        <w:noProof/>
        <w:sz w:val="20"/>
        <w:szCs w:val="20"/>
      </w:rPr>
      <w:t>9</w:t>
    </w:r>
    <w:r w:rsidRPr="00427B21">
      <w:rPr>
        <w:sz w:val="20"/>
        <w:szCs w:val="20"/>
      </w:rPr>
      <w:fldChar w:fldCharType="end"/>
    </w:r>
  </w:p>
  <w:p w:rsidR="00BC1EC4" w:rsidRDefault="00BC1EC4">
    <w:pPr>
      <w:pStyle w:val="Footer"/>
    </w:pPr>
  </w:p>
  <w:p w:rsidR="00DA040A" w:rsidRDefault="00DA040A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7E" w:rsidRDefault="00F37D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0F" w:rsidRDefault="0038720F">
      <w:r>
        <w:separator/>
      </w:r>
    </w:p>
  </w:footnote>
  <w:footnote w:type="continuationSeparator" w:id="0">
    <w:p w:rsidR="0038720F" w:rsidRDefault="00387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7E" w:rsidRDefault="00F37D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0A" w:rsidRDefault="006B5A13" w:rsidP="00100BF8">
    <w:pPr>
      <w:jc w:val="right"/>
      <w:rPr>
        <w:sz w:val="20"/>
        <w:szCs w:val="20"/>
      </w:rPr>
    </w:pPr>
    <w:proofErr w:type="spellStart"/>
    <w:r>
      <w:rPr>
        <w:b/>
      </w:rPr>
      <w:t>Proc</w:t>
    </w:r>
    <w:proofErr w:type="spellEnd"/>
    <w:r>
      <w:rPr>
        <w:b/>
      </w:rPr>
      <w:t># 4840-CH-122</w:t>
    </w:r>
  </w:p>
  <w:p w:rsidR="00DA040A" w:rsidRDefault="00DA040A" w:rsidP="00100BF8">
    <w:pPr>
      <w:jc w:val="right"/>
      <w:rPr>
        <w:sz w:val="20"/>
        <w:szCs w:val="20"/>
      </w:rPr>
    </w:pPr>
    <w:r>
      <w:rPr>
        <w:sz w:val="20"/>
        <w:szCs w:val="20"/>
      </w:rPr>
      <w:t xml:space="preserve">ARCHITECT </w:t>
    </w:r>
    <w:r w:rsidR="00F37D7E">
      <w:rPr>
        <w:sz w:val="20"/>
        <w:szCs w:val="20"/>
      </w:rPr>
      <w:t xml:space="preserve">- </w:t>
    </w:r>
    <w:r w:rsidR="00B81E9E">
      <w:rPr>
        <w:sz w:val="20"/>
        <w:szCs w:val="20"/>
      </w:rPr>
      <w:t>D Bili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7E" w:rsidRDefault="00F37D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4C3D"/>
    <w:rsid w:val="000165C6"/>
    <w:rsid w:val="00020469"/>
    <w:rsid w:val="000232F2"/>
    <w:rsid w:val="000276BD"/>
    <w:rsid w:val="000304D2"/>
    <w:rsid w:val="00030CDD"/>
    <w:rsid w:val="00032E92"/>
    <w:rsid w:val="00040E43"/>
    <w:rsid w:val="00043105"/>
    <w:rsid w:val="000448CF"/>
    <w:rsid w:val="000454FD"/>
    <w:rsid w:val="0006011A"/>
    <w:rsid w:val="000602A5"/>
    <w:rsid w:val="00062EAC"/>
    <w:rsid w:val="0006502B"/>
    <w:rsid w:val="00065C26"/>
    <w:rsid w:val="000743B7"/>
    <w:rsid w:val="00081C7F"/>
    <w:rsid w:val="00082648"/>
    <w:rsid w:val="0009322F"/>
    <w:rsid w:val="000A090B"/>
    <w:rsid w:val="000A13F2"/>
    <w:rsid w:val="000A341D"/>
    <w:rsid w:val="000A7D58"/>
    <w:rsid w:val="000B4575"/>
    <w:rsid w:val="000C1FD8"/>
    <w:rsid w:val="000E3328"/>
    <w:rsid w:val="000F49B2"/>
    <w:rsid w:val="00100BF8"/>
    <w:rsid w:val="0010358F"/>
    <w:rsid w:val="00107444"/>
    <w:rsid w:val="0012178C"/>
    <w:rsid w:val="00132081"/>
    <w:rsid w:val="00133F38"/>
    <w:rsid w:val="0014554C"/>
    <w:rsid w:val="00155687"/>
    <w:rsid w:val="00157696"/>
    <w:rsid w:val="0016247C"/>
    <w:rsid w:val="00167572"/>
    <w:rsid w:val="001705E7"/>
    <w:rsid w:val="00172CF7"/>
    <w:rsid w:val="00177DAD"/>
    <w:rsid w:val="0019760C"/>
    <w:rsid w:val="001A41B0"/>
    <w:rsid w:val="001A639E"/>
    <w:rsid w:val="001B29A7"/>
    <w:rsid w:val="001B4267"/>
    <w:rsid w:val="001C48DA"/>
    <w:rsid w:val="001D3841"/>
    <w:rsid w:val="001D6AE0"/>
    <w:rsid w:val="001E079E"/>
    <w:rsid w:val="001F32A9"/>
    <w:rsid w:val="001F6B7B"/>
    <w:rsid w:val="002154D2"/>
    <w:rsid w:val="00246FA8"/>
    <w:rsid w:val="0025031C"/>
    <w:rsid w:val="00253C1F"/>
    <w:rsid w:val="00255C54"/>
    <w:rsid w:val="002649AA"/>
    <w:rsid w:val="00267D3D"/>
    <w:rsid w:val="002746A8"/>
    <w:rsid w:val="00294A08"/>
    <w:rsid w:val="002B0D2A"/>
    <w:rsid w:val="002B1993"/>
    <w:rsid w:val="002C0E55"/>
    <w:rsid w:val="002C7FD5"/>
    <w:rsid w:val="002D18CA"/>
    <w:rsid w:val="002D2075"/>
    <w:rsid w:val="002D370D"/>
    <w:rsid w:val="002D38DF"/>
    <w:rsid w:val="002D6FB9"/>
    <w:rsid w:val="002F52E0"/>
    <w:rsid w:val="003056A7"/>
    <w:rsid w:val="00316431"/>
    <w:rsid w:val="00347BEC"/>
    <w:rsid w:val="00353FD5"/>
    <w:rsid w:val="0037463A"/>
    <w:rsid w:val="0038442D"/>
    <w:rsid w:val="00386807"/>
    <w:rsid w:val="0038720F"/>
    <w:rsid w:val="00396C4A"/>
    <w:rsid w:val="003B2E62"/>
    <w:rsid w:val="003B40E1"/>
    <w:rsid w:val="003C2522"/>
    <w:rsid w:val="003C596F"/>
    <w:rsid w:val="003D10DE"/>
    <w:rsid w:val="003D376A"/>
    <w:rsid w:val="003D38B7"/>
    <w:rsid w:val="003D708C"/>
    <w:rsid w:val="003E62E7"/>
    <w:rsid w:val="00400A1A"/>
    <w:rsid w:val="00400CBA"/>
    <w:rsid w:val="00405EC8"/>
    <w:rsid w:val="00410514"/>
    <w:rsid w:val="00413FEE"/>
    <w:rsid w:val="00425BA0"/>
    <w:rsid w:val="00436811"/>
    <w:rsid w:val="0044058F"/>
    <w:rsid w:val="00443DB3"/>
    <w:rsid w:val="00452D5E"/>
    <w:rsid w:val="0045570E"/>
    <w:rsid w:val="00456575"/>
    <w:rsid w:val="00460600"/>
    <w:rsid w:val="00461686"/>
    <w:rsid w:val="0046271A"/>
    <w:rsid w:val="004708FA"/>
    <w:rsid w:val="00493DD1"/>
    <w:rsid w:val="004A03BD"/>
    <w:rsid w:val="004A2AA3"/>
    <w:rsid w:val="004B5F9D"/>
    <w:rsid w:val="004C05F8"/>
    <w:rsid w:val="004C104D"/>
    <w:rsid w:val="004C2C23"/>
    <w:rsid w:val="004C37CB"/>
    <w:rsid w:val="004F5F8A"/>
    <w:rsid w:val="004F6C28"/>
    <w:rsid w:val="00507B0C"/>
    <w:rsid w:val="00533CE1"/>
    <w:rsid w:val="00551335"/>
    <w:rsid w:val="0055619E"/>
    <w:rsid w:val="0056023B"/>
    <w:rsid w:val="00574309"/>
    <w:rsid w:val="005806E5"/>
    <w:rsid w:val="0058304A"/>
    <w:rsid w:val="005902C0"/>
    <w:rsid w:val="00590F92"/>
    <w:rsid w:val="005A1D53"/>
    <w:rsid w:val="005A4739"/>
    <w:rsid w:val="005A7348"/>
    <w:rsid w:val="005B0D1C"/>
    <w:rsid w:val="005C4292"/>
    <w:rsid w:val="005E2E76"/>
    <w:rsid w:val="005E3AB5"/>
    <w:rsid w:val="005E3D52"/>
    <w:rsid w:val="005F3E81"/>
    <w:rsid w:val="0060509E"/>
    <w:rsid w:val="00607638"/>
    <w:rsid w:val="00610572"/>
    <w:rsid w:val="006107A2"/>
    <w:rsid w:val="0061553C"/>
    <w:rsid w:val="00621ABB"/>
    <w:rsid w:val="00623EFB"/>
    <w:rsid w:val="0063150E"/>
    <w:rsid w:val="00644800"/>
    <w:rsid w:val="006559EB"/>
    <w:rsid w:val="00656BB9"/>
    <w:rsid w:val="00674186"/>
    <w:rsid w:val="00677E98"/>
    <w:rsid w:val="00682038"/>
    <w:rsid w:val="006A5AAE"/>
    <w:rsid w:val="006B0A70"/>
    <w:rsid w:val="006B3C65"/>
    <w:rsid w:val="006B5A13"/>
    <w:rsid w:val="006D28ED"/>
    <w:rsid w:val="006D40ED"/>
    <w:rsid w:val="006E1C94"/>
    <w:rsid w:val="006E5155"/>
    <w:rsid w:val="006F7F4F"/>
    <w:rsid w:val="00714B7D"/>
    <w:rsid w:val="00714F24"/>
    <w:rsid w:val="0074336C"/>
    <w:rsid w:val="007703C0"/>
    <w:rsid w:val="007840DD"/>
    <w:rsid w:val="00784851"/>
    <w:rsid w:val="007B09E3"/>
    <w:rsid w:val="007B0CCE"/>
    <w:rsid w:val="007B247B"/>
    <w:rsid w:val="007E4CE6"/>
    <w:rsid w:val="007E6C3C"/>
    <w:rsid w:val="0080146D"/>
    <w:rsid w:val="00804822"/>
    <w:rsid w:val="00812CCF"/>
    <w:rsid w:val="00833E15"/>
    <w:rsid w:val="0083638D"/>
    <w:rsid w:val="00841397"/>
    <w:rsid w:val="00846F9F"/>
    <w:rsid w:val="00847607"/>
    <w:rsid w:val="00860C1E"/>
    <w:rsid w:val="00863AA4"/>
    <w:rsid w:val="00864220"/>
    <w:rsid w:val="00880899"/>
    <w:rsid w:val="00880FDF"/>
    <w:rsid w:val="0088112F"/>
    <w:rsid w:val="00881923"/>
    <w:rsid w:val="00883611"/>
    <w:rsid w:val="00887139"/>
    <w:rsid w:val="008A1AF7"/>
    <w:rsid w:val="008A1CED"/>
    <w:rsid w:val="008A7551"/>
    <w:rsid w:val="008A7F96"/>
    <w:rsid w:val="008B590F"/>
    <w:rsid w:val="008C0AEF"/>
    <w:rsid w:val="008D4DF4"/>
    <w:rsid w:val="008E00E3"/>
    <w:rsid w:val="008F7947"/>
    <w:rsid w:val="008F794A"/>
    <w:rsid w:val="0091292B"/>
    <w:rsid w:val="00912BAD"/>
    <w:rsid w:val="00912FE4"/>
    <w:rsid w:val="00920BFE"/>
    <w:rsid w:val="0092389D"/>
    <w:rsid w:val="00924B1D"/>
    <w:rsid w:val="00926E1B"/>
    <w:rsid w:val="009318E8"/>
    <w:rsid w:val="009467CE"/>
    <w:rsid w:val="00951C8E"/>
    <w:rsid w:val="00952933"/>
    <w:rsid w:val="00953BF2"/>
    <w:rsid w:val="00964971"/>
    <w:rsid w:val="00973EAF"/>
    <w:rsid w:val="00980C01"/>
    <w:rsid w:val="009841EC"/>
    <w:rsid w:val="009A4991"/>
    <w:rsid w:val="009B4C90"/>
    <w:rsid w:val="009D1D61"/>
    <w:rsid w:val="009D498B"/>
    <w:rsid w:val="009E0FF1"/>
    <w:rsid w:val="009E49EB"/>
    <w:rsid w:val="009F648F"/>
    <w:rsid w:val="00A016EE"/>
    <w:rsid w:val="00A062F7"/>
    <w:rsid w:val="00A06412"/>
    <w:rsid w:val="00A06C52"/>
    <w:rsid w:val="00A1152E"/>
    <w:rsid w:val="00A11FD5"/>
    <w:rsid w:val="00A15B97"/>
    <w:rsid w:val="00A226F3"/>
    <w:rsid w:val="00A241F8"/>
    <w:rsid w:val="00A320E4"/>
    <w:rsid w:val="00A35DB6"/>
    <w:rsid w:val="00A408AE"/>
    <w:rsid w:val="00A5042D"/>
    <w:rsid w:val="00A554D4"/>
    <w:rsid w:val="00A67673"/>
    <w:rsid w:val="00A71728"/>
    <w:rsid w:val="00A71D1D"/>
    <w:rsid w:val="00A72EC0"/>
    <w:rsid w:val="00A81234"/>
    <w:rsid w:val="00A82E30"/>
    <w:rsid w:val="00A9065A"/>
    <w:rsid w:val="00A92E30"/>
    <w:rsid w:val="00AA271B"/>
    <w:rsid w:val="00AA7B6F"/>
    <w:rsid w:val="00AB5354"/>
    <w:rsid w:val="00AB793D"/>
    <w:rsid w:val="00AC0E64"/>
    <w:rsid w:val="00AD402C"/>
    <w:rsid w:val="00AE6F5B"/>
    <w:rsid w:val="00AE7704"/>
    <w:rsid w:val="00AF597C"/>
    <w:rsid w:val="00B11C38"/>
    <w:rsid w:val="00B13AB5"/>
    <w:rsid w:val="00B30875"/>
    <w:rsid w:val="00B36577"/>
    <w:rsid w:val="00B434E9"/>
    <w:rsid w:val="00B438DB"/>
    <w:rsid w:val="00B44296"/>
    <w:rsid w:val="00B45FE2"/>
    <w:rsid w:val="00B46687"/>
    <w:rsid w:val="00B50C75"/>
    <w:rsid w:val="00B63263"/>
    <w:rsid w:val="00B63E8F"/>
    <w:rsid w:val="00B70AAC"/>
    <w:rsid w:val="00B712B1"/>
    <w:rsid w:val="00B72271"/>
    <w:rsid w:val="00B81E9E"/>
    <w:rsid w:val="00BA0054"/>
    <w:rsid w:val="00BB709E"/>
    <w:rsid w:val="00BC1EC4"/>
    <w:rsid w:val="00BC76E2"/>
    <w:rsid w:val="00BE40A6"/>
    <w:rsid w:val="00BF1298"/>
    <w:rsid w:val="00BF32B2"/>
    <w:rsid w:val="00C2715D"/>
    <w:rsid w:val="00C32412"/>
    <w:rsid w:val="00C3571A"/>
    <w:rsid w:val="00C53E37"/>
    <w:rsid w:val="00C63D0C"/>
    <w:rsid w:val="00C90E57"/>
    <w:rsid w:val="00C912E2"/>
    <w:rsid w:val="00C967D5"/>
    <w:rsid w:val="00CA11D0"/>
    <w:rsid w:val="00CC2751"/>
    <w:rsid w:val="00CC37B4"/>
    <w:rsid w:val="00CC3D62"/>
    <w:rsid w:val="00CE2DC7"/>
    <w:rsid w:val="00CF2F62"/>
    <w:rsid w:val="00CF7868"/>
    <w:rsid w:val="00D006C7"/>
    <w:rsid w:val="00D16262"/>
    <w:rsid w:val="00D16B69"/>
    <w:rsid w:val="00D27C5A"/>
    <w:rsid w:val="00D339B0"/>
    <w:rsid w:val="00D5070C"/>
    <w:rsid w:val="00D50F05"/>
    <w:rsid w:val="00D5211B"/>
    <w:rsid w:val="00D60AFA"/>
    <w:rsid w:val="00D62F92"/>
    <w:rsid w:val="00D64E39"/>
    <w:rsid w:val="00D71AF7"/>
    <w:rsid w:val="00D73BF8"/>
    <w:rsid w:val="00D77B64"/>
    <w:rsid w:val="00D80968"/>
    <w:rsid w:val="00D94BB8"/>
    <w:rsid w:val="00D97908"/>
    <w:rsid w:val="00DA040A"/>
    <w:rsid w:val="00DA6C6A"/>
    <w:rsid w:val="00DB49D0"/>
    <w:rsid w:val="00DB679E"/>
    <w:rsid w:val="00DB7BA9"/>
    <w:rsid w:val="00DC16C5"/>
    <w:rsid w:val="00DC4702"/>
    <w:rsid w:val="00DC56D1"/>
    <w:rsid w:val="00DD0481"/>
    <w:rsid w:val="00DE6C4E"/>
    <w:rsid w:val="00DF01DC"/>
    <w:rsid w:val="00DF022C"/>
    <w:rsid w:val="00E03B3D"/>
    <w:rsid w:val="00E07C43"/>
    <w:rsid w:val="00E12522"/>
    <w:rsid w:val="00E12AF4"/>
    <w:rsid w:val="00E36B73"/>
    <w:rsid w:val="00E40388"/>
    <w:rsid w:val="00E44BED"/>
    <w:rsid w:val="00E4787B"/>
    <w:rsid w:val="00E50643"/>
    <w:rsid w:val="00E97A8C"/>
    <w:rsid w:val="00EA1269"/>
    <w:rsid w:val="00EA713D"/>
    <w:rsid w:val="00EB2F9F"/>
    <w:rsid w:val="00EB33FE"/>
    <w:rsid w:val="00EB6D05"/>
    <w:rsid w:val="00EC002B"/>
    <w:rsid w:val="00EC7B32"/>
    <w:rsid w:val="00ED2343"/>
    <w:rsid w:val="00ED4BBB"/>
    <w:rsid w:val="00ED5787"/>
    <w:rsid w:val="00EF4170"/>
    <w:rsid w:val="00F05CCD"/>
    <w:rsid w:val="00F13523"/>
    <w:rsid w:val="00F1787A"/>
    <w:rsid w:val="00F17F45"/>
    <w:rsid w:val="00F23218"/>
    <w:rsid w:val="00F25293"/>
    <w:rsid w:val="00F32BBD"/>
    <w:rsid w:val="00F3700B"/>
    <w:rsid w:val="00F37D7E"/>
    <w:rsid w:val="00F520C5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B49F4"/>
    <w:rsid w:val="00FD5EA9"/>
    <w:rsid w:val="00FD6E32"/>
    <w:rsid w:val="00FE338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76764-0810-4A4F-8234-24368B02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1629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11350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hupkem</cp:lastModifiedBy>
  <cp:revision>5</cp:revision>
  <cp:lastPrinted>2018-10-24T20:05:00Z</cp:lastPrinted>
  <dcterms:created xsi:type="dcterms:W3CDTF">2018-08-20T16:05:00Z</dcterms:created>
  <dcterms:modified xsi:type="dcterms:W3CDTF">2018-10-24T20:05:00Z</dcterms:modified>
</cp:coreProperties>
</file>