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B069C6">
      <w:pPr>
        <w:rPr>
          <w:b/>
        </w:rPr>
      </w:pPr>
      <w:r>
        <w:rPr>
          <w:noProof/>
        </w:rPr>
        <w:drawing>
          <wp:anchor distT="0" distB="0" distL="114300" distR="114300" simplePos="0" relativeHeight="251659264" behindDoc="0" locked="0" layoutInCell="1" allowOverlap="1" wp14:anchorId="2F6613CC" wp14:editId="7A1252CC">
            <wp:simplePos x="0" y="0"/>
            <wp:positionH relativeFrom="column">
              <wp:posOffset>152400</wp:posOffset>
            </wp:positionH>
            <wp:positionV relativeFrom="paragraph">
              <wp:posOffset>-514350</wp:posOffset>
            </wp:positionV>
            <wp:extent cx="2095500" cy="590550"/>
            <wp:effectExtent l="0" t="0" r="0" b="0"/>
            <wp:wrapSquare wrapText="bothSides"/>
            <wp:docPr id="2" name="Picture 2"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90550"/>
                    </a:xfrm>
                    <a:prstGeom prst="rect">
                      <a:avLst/>
                    </a:prstGeom>
                    <a:noFill/>
                    <a:ln w="9525">
                      <a:noFill/>
                      <a:miter lim="800000"/>
                      <a:headEnd/>
                      <a:tailEnd/>
                    </a:ln>
                  </pic:spPr>
                </pic:pic>
              </a:graphicData>
            </a:graphic>
            <wp14:sizeRelV relativeFrom="margin">
              <wp14:pctHeight>0</wp14:pctHeight>
            </wp14:sizeRelV>
          </wp:anchor>
        </w:drawing>
      </w:r>
    </w:p>
    <w:p w:rsidR="008A0B71" w:rsidRDefault="008A0B71" w:rsidP="006107A2">
      <w:pPr>
        <w:jc w:val="center"/>
        <w:rPr>
          <w:rFonts w:eastAsia="HelenPro-Regular"/>
          <w:b/>
          <w:sz w:val="28"/>
          <w:szCs w:val="28"/>
        </w:rPr>
      </w:pPr>
    </w:p>
    <w:p w:rsidR="00BC5937" w:rsidRPr="008A0B71" w:rsidRDefault="005F3C0D" w:rsidP="006107A2">
      <w:pPr>
        <w:jc w:val="center"/>
        <w:rPr>
          <w:b/>
          <w:sz w:val="28"/>
          <w:szCs w:val="28"/>
        </w:rPr>
      </w:pPr>
      <w:r w:rsidRPr="008A0B71">
        <w:rPr>
          <w:rFonts w:eastAsia="HelenPro-Regular"/>
          <w:b/>
          <w:sz w:val="28"/>
          <w:szCs w:val="28"/>
        </w:rPr>
        <w:t>ALKALINE PHOSPHATASE</w:t>
      </w:r>
    </w:p>
    <w:p w:rsidR="0056023B" w:rsidRPr="008A0B71" w:rsidRDefault="004A2AA3" w:rsidP="006107A2">
      <w:pPr>
        <w:jc w:val="center"/>
        <w:rPr>
          <w:b/>
          <w:sz w:val="28"/>
          <w:szCs w:val="28"/>
        </w:rPr>
      </w:pPr>
      <w:r w:rsidRPr="008A0B71">
        <w:rPr>
          <w:b/>
          <w:sz w:val="28"/>
          <w:szCs w:val="28"/>
        </w:rPr>
        <w:t>SERUM</w:t>
      </w:r>
      <w:r w:rsidR="00C32412" w:rsidRPr="008A0B71">
        <w:rPr>
          <w:b/>
          <w:sz w:val="28"/>
          <w:szCs w:val="28"/>
        </w:rPr>
        <w:t xml:space="preserve"> </w:t>
      </w:r>
      <w:r w:rsidR="002E5C0B" w:rsidRPr="008A0B71">
        <w:rPr>
          <w:b/>
          <w:sz w:val="28"/>
          <w:szCs w:val="28"/>
        </w:rPr>
        <w:t>OR PLASMA</w:t>
      </w:r>
    </w:p>
    <w:p w:rsidR="006107A2" w:rsidRPr="008A0B71" w:rsidRDefault="0088112F" w:rsidP="006107A2">
      <w:pPr>
        <w:jc w:val="center"/>
        <w:rPr>
          <w:b/>
          <w:caps/>
          <w:sz w:val="28"/>
          <w:szCs w:val="28"/>
        </w:rPr>
      </w:pPr>
      <w:r w:rsidRPr="008A0B71">
        <w:rPr>
          <w:b/>
          <w:caps/>
          <w:sz w:val="28"/>
          <w:szCs w:val="28"/>
        </w:rPr>
        <w:t>ABBOTT ARCHITECT</w:t>
      </w:r>
    </w:p>
    <w:p w:rsidR="006559EB" w:rsidRPr="008A0B71" w:rsidRDefault="006559EB" w:rsidP="006559EB">
      <w:pPr>
        <w:rPr>
          <w:b/>
          <w:sz w:val="28"/>
          <w:szCs w:val="28"/>
        </w:rPr>
      </w:pPr>
    </w:p>
    <w:p w:rsidR="008A7F96" w:rsidRPr="008A0B71" w:rsidRDefault="008A7F96" w:rsidP="008A7F96">
      <w:pPr>
        <w:rPr>
          <w:b/>
          <w:color w:val="FF0000"/>
          <w:sz w:val="28"/>
          <w:szCs w:val="28"/>
        </w:rPr>
      </w:pPr>
      <w:r w:rsidRPr="008A0B71">
        <w:rPr>
          <w:b/>
          <w:sz w:val="28"/>
          <w:szCs w:val="28"/>
        </w:rPr>
        <w:t xml:space="preserve">Intended Use </w:t>
      </w:r>
    </w:p>
    <w:p w:rsidR="004A03BD" w:rsidRPr="008A0B71" w:rsidRDefault="009A32AB" w:rsidP="009A32AB">
      <w:pPr>
        <w:autoSpaceDE w:val="0"/>
        <w:autoSpaceDN w:val="0"/>
        <w:adjustRightInd w:val="0"/>
        <w:rPr>
          <w:rFonts w:eastAsia="HelenPro-Regular"/>
        </w:rPr>
      </w:pPr>
      <w:r w:rsidRPr="008A0B71">
        <w:rPr>
          <w:rFonts w:eastAsia="HelenPro-Regular"/>
        </w:rPr>
        <w:t>The Alkaline Phosphatase assay is used for the quantitation of alkaline phosphatase in human serum or plasma.</w:t>
      </w:r>
    </w:p>
    <w:p w:rsidR="009A32AB" w:rsidRPr="008A0B71" w:rsidRDefault="009A32AB" w:rsidP="009A32AB">
      <w:pPr>
        <w:jc w:val="both"/>
        <w:rPr>
          <w:b/>
        </w:rPr>
      </w:pPr>
    </w:p>
    <w:p w:rsidR="0009322F" w:rsidRPr="008A0B71" w:rsidRDefault="006559EB" w:rsidP="006107A2">
      <w:pPr>
        <w:jc w:val="both"/>
        <w:rPr>
          <w:sz w:val="28"/>
          <w:szCs w:val="28"/>
        </w:rPr>
      </w:pPr>
      <w:r w:rsidRPr="008A0B71">
        <w:rPr>
          <w:b/>
          <w:sz w:val="28"/>
          <w:szCs w:val="28"/>
        </w:rPr>
        <w:t>Clinical Significance</w:t>
      </w:r>
      <w:r w:rsidR="006107A2" w:rsidRPr="008A0B71">
        <w:rPr>
          <w:sz w:val="28"/>
          <w:szCs w:val="28"/>
        </w:rPr>
        <w:t xml:space="preserve"> </w:t>
      </w:r>
    </w:p>
    <w:p w:rsidR="00C32412" w:rsidRPr="008A0B71" w:rsidRDefault="009A32AB" w:rsidP="009A32AB">
      <w:pPr>
        <w:autoSpaceDE w:val="0"/>
        <w:autoSpaceDN w:val="0"/>
        <w:adjustRightInd w:val="0"/>
        <w:rPr>
          <w:rFonts w:eastAsia="HelenPro-Regular"/>
        </w:rPr>
      </w:pPr>
      <w:r w:rsidRPr="008A0B71">
        <w:rPr>
          <w:rFonts w:eastAsia="HelenPro-Regular"/>
        </w:rPr>
        <w:t>Human alkaline phosphatase (</w:t>
      </w:r>
      <w:proofErr w:type="spellStart"/>
      <w:r w:rsidRPr="008A0B71">
        <w:rPr>
          <w:rFonts w:eastAsia="HelenPro-Regular"/>
        </w:rPr>
        <w:t>AlkP</w:t>
      </w:r>
      <w:proofErr w:type="spellEnd"/>
      <w:r w:rsidRPr="008A0B71">
        <w:rPr>
          <w:rFonts w:eastAsia="HelenPro-Regular"/>
        </w:rPr>
        <w:t xml:space="preserve">, EC.3.1.3.1) consists of a group of at least five tissue-specific </w:t>
      </w:r>
      <w:proofErr w:type="spellStart"/>
      <w:r w:rsidRPr="008A0B71">
        <w:rPr>
          <w:rFonts w:eastAsia="HelenPro-Regular"/>
        </w:rPr>
        <w:t>isoenzymes</w:t>
      </w:r>
      <w:proofErr w:type="spellEnd"/>
      <w:r w:rsidRPr="008A0B71">
        <w:rPr>
          <w:rFonts w:eastAsia="HelenPro-Regular"/>
        </w:rPr>
        <w:t xml:space="preserve"> which catalyzes the hydrolysis of phosphate mono-esters at alkaline pH. A variety of disease processes can result in the release of increased quantities of alkaline phosphatase into the blood.</w:t>
      </w:r>
    </w:p>
    <w:p w:rsidR="009C7BD7" w:rsidRPr="008A0B71" w:rsidRDefault="009C7BD7" w:rsidP="008A7F96">
      <w:pPr>
        <w:jc w:val="both"/>
        <w:rPr>
          <w:b/>
        </w:rPr>
      </w:pPr>
    </w:p>
    <w:p w:rsidR="008A7F96" w:rsidRPr="008A0B71" w:rsidRDefault="008A7F96" w:rsidP="008A7F96">
      <w:pPr>
        <w:jc w:val="both"/>
        <w:rPr>
          <w:color w:val="FF0000"/>
          <w:sz w:val="28"/>
          <w:szCs w:val="28"/>
        </w:rPr>
      </w:pPr>
      <w:r w:rsidRPr="008A0B71">
        <w:rPr>
          <w:b/>
          <w:sz w:val="28"/>
          <w:szCs w:val="28"/>
        </w:rPr>
        <w:t>Principle</w:t>
      </w:r>
      <w:r w:rsidRPr="008A0B71">
        <w:rPr>
          <w:sz w:val="28"/>
          <w:szCs w:val="28"/>
        </w:rPr>
        <w:t xml:space="preserve"> </w:t>
      </w:r>
    </w:p>
    <w:p w:rsidR="008A7F96" w:rsidRPr="008A0B71" w:rsidRDefault="008A7F96" w:rsidP="008A7F96">
      <w:pPr>
        <w:jc w:val="both"/>
      </w:pPr>
    </w:p>
    <w:p w:rsidR="00033759" w:rsidRPr="008A0B71" w:rsidRDefault="00033759" w:rsidP="00033759">
      <w:pPr>
        <w:autoSpaceDE w:val="0"/>
        <w:autoSpaceDN w:val="0"/>
        <w:adjustRightInd w:val="0"/>
        <w:rPr>
          <w:rFonts w:eastAsia="HelenPro-Regular"/>
        </w:rPr>
      </w:pPr>
      <w:r w:rsidRPr="008A0B71">
        <w:rPr>
          <w:rFonts w:eastAsia="HelenPro-Regular"/>
        </w:rPr>
        <w:t xml:space="preserve">Several substrates have been used to measure alkaline phosphatase activity such as </w:t>
      </w:r>
      <w:proofErr w:type="spellStart"/>
      <w:r w:rsidRPr="008A0B71">
        <w:rPr>
          <w:rFonts w:eastAsia="HelenPro-Regular"/>
        </w:rPr>
        <w:t>glycerophosphate</w:t>
      </w:r>
      <w:proofErr w:type="spellEnd"/>
      <w:r w:rsidRPr="008A0B71">
        <w:rPr>
          <w:rFonts w:eastAsia="HelenPro-Regular"/>
        </w:rPr>
        <w:t xml:space="preserve">, phenyl phosphate, and </w:t>
      </w:r>
      <w:proofErr w:type="spellStart"/>
      <w:r w:rsidRPr="008A0B71">
        <w:rPr>
          <w:rFonts w:eastAsia="HelenPro-Regular"/>
          <w:i/>
          <w:iCs/>
        </w:rPr>
        <w:t>p</w:t>
      </w:r>
      <w:r w:rsidRPr="008A0B71">
        <w:rPr>
          <w:rFonts w:eastAsia="HelenPro-Regular"/>
        </w:rPr>
        <w:t>nitrophenyl</w:t>
      </w:r>
      <w:proofErr w:type="spellEnd"/>
      <w:r w:rsidRPr="008A0B71">
        <w:rPr>
          <w:rFonts w:eastAsia="HelenPro-Regular"/>
        </w:rPr>
        <w:t xml:space="preserve"> phosphate. Bowers and </w:t>
      </w:r>
      <w:proofErr w:type="spellStart"/>
      <w:r w:rsidRPr="008A0B71">
        <w:rPr>
          <w:rFonts w:eastAsia="HelenPro-Regular"/>
        </w:rPr>
        <w:t>McComb</w:t>
      </w:r>
      <w:proofErr w:type="spellEnd"/>
      <w:r w:rsidRPr="008A0B71">
        <w:rPr>
          <w:rFonts w:eastAsia="HelenPro-Regular"/>
        </w:rPr>
        <w:t xml:space="preserve"> improved the method</w:t>
      </w:r>
    </w:p>
    <w:p w:rsidR="00033759" w:rsidRPr="008A0B71" w:rsidRDefault="00033759" w:rsidP="00033759">
      <w:pPr>
        <w:autoSpaceDE w:val="0"/>
        <w:autoSpaceDN w:val="0"/>
        <w:adjustRightInd w:val="0"/>
        <w:rPr>
          <w:rFonts w:eastAsia="HelenPro-Regular"/>
        </w:rPr>
      </w:pPr>
      <w:r w:rsidRPr="008A0B71">
        <w:rPr>
          <w:rFonts w:eastAsia="HelenPro-Regular"/>
        </w:rPr>
        <w:t xml:space="preserve">of </w:t>
      </w:r>
      <w:proofErr w:type="spellStart"/>
      <w:r w:rsidRPr="008A0B71">
        <w:rPr>
          <w:rFonts w:eastAsia="HelenPro-Regular"/>
        </w:rPr>
        <w:t>Bessey</w:t>
      </w:r>
      <w:proofErr w:type="spellEnd"/>
      <w:r w:rsidRPr="008A0B71">
        <w:rPr>
          <w:rFonts w:eastAsia="HelenPro-Regular"/>
        </w:rPr>
        <w:t xml:space="preserve"> et al. to include a kinetic measurement. </w:t>
      </w:r>
      <w:proofErr w:type="spellStart"/>
      <w:r w:rsidRPr="008A0B71">
        <w:rPr>
          <w:rFonts w:eastAsia="HelenPro-Regular"/>
        </w:rPr>
        <w:t>Tietz</w:t>
      </w:r>
      <w:proofErr w:type="spellEnd"/>
      <w:r w:rsidRPr="008A0B71">
        <w:rPr>
          <w:rFonts w:eastAsia="HelenPro-Regular"/>
        </w:rPr>
        <w:t xml:space="preserve"> et al. optimized this method to include a chelated metal-ion buffer of zinc, magnesium, and HEDTA. This Alkaline Phosphatase procedure is</w:t>
      </w:r>
    </w:p>
    <w:p w:rsidR="00033759" w:rsidRPr="008A0B71" w:rsidRDefault="00033759" w:rsidP="00033759">
      <w:pPr>
        <w:autoSpaceDE w:val="0"/>
        <w:autoSpaceDN w:val="0"/>
        <w:adjustRightInd w:val="0"/>
        <w:rPr>
          <w:rFonts w:eastAsia="HelenPro-Regular"/>
        </w:rPr>
      </w:pPr>
      <w:r w:rsidRPr="008A0B71">
        <w:rPr>
          <w:rFonts w:eastAsia="HelenPro-Regular"/>
        </w:rPr>
        <w:t xml:space="preserve">a modification of this method. Alkaline phosphatase in the sample catalyzes the hydrolysis of colorless </w:t>
      </w:r>
      <w:r w:rsidRPr="008A0B71">
        <w:rPr>
          <w:rFonts w:eastAsia="HelenPro-Regular"/>
          <w:i/>
          <w:iCs/>
        </w:rPr>
        <w:t>p</w:t>
      </w:r>
      <w:r w:rsidRPr="008A0B71">
        <w:rPr>
          <w:rFonts w:eastAsia="HelenPro-Regular"/>
        </w:rPr>
        <w:t>-</w:t>
      </w:r>
      <w:proofErr w:type="spellStart"/>
      <w:r w:rsidRPr="008A0B71">
        <w:rPr>
          <w:rFonts w:eastAsia="HelenPro-Regular"/>
        </w:rPr>
        <w:t>nitrophenyl</w:t>
      </w:r>
      <w:proofErr w:type="spellEnd"/>
      <w:r w:rsidRPr="008A0B71">
        <w:rPr>
          <w:rFonts w:eastAsia="HelenPro-Regular"/>
        </w:rPr>
        <w:t xml:space="preserve"> phosphate (</w:t>
      </w:r>
      <w:r w:rsidRPr="008A0B71">
        <w:rPr>
          <w:rFonts w:eastAsia="HelenPro-Regular"/>
          <w:i/>
          <w:iCs/>
        </w:rPr>
        <w:t>p</w:t>
      </w:r>
      <w:r w:rsidRPr="008A0B71">
        <w:rPr>
          <w:rFonts w:eastAsia="HelenPro-Regular"/>
        </w:rPr>
        <w:t xml:space="preserve">- NPP) to give </w:t>
      </w:r>
      <w:r w:rsidRPr="008A0B71">
        <w:rPr>
          <w:rFonts w:eastAsia="HelenPro-Regular"/>
          <w:i/>
          <w:iCs/>
        </w:rPr>
        <w:t>p</w:t>
      </w:r>
      <w:r w:rsidRPr="008A0B71">
        <w:rPr>
          <w:rFonts w:eastAsia="HelenPro-Regular"/>
        </w:rPr>
        <w:t>-</w:t>
      </w:r>
      <w:proofErr w:type="spellStart"/>
      <w:r w:rsidRPr="008A0B71">
        <w:rPr>
          <w:rFonts w:eastAsia="HelenPro-Regular"/>
        </w:rPr>
        <w:t>nitrophenol</w:t>
      </w:r>
      <w:proofErr w:type="spellEnd"/>
      <w:r w:rsidRPr="008A0B71">
        <w:rPr>
          <w:rFonts w:eastAsia="HelenPro-Regular"/>
        </w:rPr>
        <w:t xml:space="preserve"> and inorganic phosphate. At the pH of the</w:t>
      </w:r>
    </w:p>
    <w:p w:rsidR="00033759" w:rsidRPr="008A0B71" w:rsidRDefault="00033759" w:rsidP="00033759">
      <w:pPr>
        <w:autoSpaceDE w:val="0"/>
        <w:autoSpaceDN w:val="0"/>
        <w:adjustRightInd w:val="0"/>
        <w:rPr>
          <w:rFonts w:eastAsia="HelenPro-Regular"/>
        </w:rPr>
      </w:pPr>
      <w:r w:rsidRPr="008A0B71">
        <w:rPr>
          <w:rFonts w:eastAsia="HelenPro-Regular"/>
        </w:rPr>
        <w:t xml:space="preserve">assay (alkaline), the </w:t>
      </w:r>
      <w:r w:rsidRPr="008A0B71">
        <w:rPr>
          <w:rFonts w:eastAsia="HelenPro-Regular"/>
          <w:i/>
          <w:iCs/>
        </w:rPr>
        <w:t>p</w:t>
      </w:r>
      <w:r w:rsidRPr="008A0B71">
        <w:rPr>
          <w:rFonts w:eastAsia="HelenPro-Regular"/>
        </w:rPr>
        <w:t>-</w:t>
      </w:r>
      <w:proofErr w:type="spellStart"/>
      <w:r w:rsidRPr="008A0B71">
        <w:rPr>
          <w:rFonts w:eastAsia="HelenPro-Regular"/>
        </w:rPr>
        <w:t>nitrophenol</w:t>
      </w:r>
      <w:proofErr w:type="spellEnd"/>
      <w:r w:rsidRPr="008A0B71">
        <w:rPr>
          <w:rFonts w:eastAsia="HelenPro-Regular"/>
        </w:rPr>
        <w:t xml:space="preserve"> is in the yellow </w:t>
      </w:r>
      <w:proofErr w:type="spellStart"/>
      <w:r w:rsidRPr="008A0B71">
        <w:rPr>
          <w:rFonts w:eastAsia="HelenPro-Regular"/>
        </w:rPr>
        <w:t>phenoxide</w:t>
      </w:r>
      <w:proofErr w:type="spellEnd"/>
      <w:r w:rsidRPr="008A0B71">
        <w:rPr>
          <w:rFonts w:eastAsia="HelenPro-Regular"/>
        </w:rPr>
        <w:t xml:space="preserve"> form. The rate of absorbance increase at 404 nm is directly proportional to the alkaline phosphatase activity in the sample. Optimized</w:t>
      </w:r>
    </w:p>
    <w:p w:rsidR="00033759" w:rsidRPr="008A0B71" w:rsidRDefault="00033759" w:rsidP="00033759">
      <w:pPr>
        <w:autoSpaceDE w:val="0"/>
        <w:autoSpaceDN w:val="0"/>
        <w:adjustRightInd w:val="0"/>
        <w:rPr>
          <w:rFonts w:eastAsia="HelenPro-Regular"/>
        </w:rPr>
      </w:pPr>
      <w:r w:rsidRPr="008A0B71">
        <w:rPr>
          <w:rFonts w:eastAsia="HelenPro-Regular"/>
        </w:rPr>
        <w:t xml:space="preserve">concentrations of zinc and magnesium ions are present to activate the alkaline phosphatase in the sample. </w:t>
      </w:r>
    </w:p>
    <w:p w:rsidR="00033759" w:rsidRPr="008A0B71" w:rsidRDefault="00033759" w:rsidP="00033759">
      <w:pPr>
        <w:autoSpaceDE w:val="0"/>
        <w:autoSpaceDN w:val="0"/>
        <w:adjustRightInd w:val="0"/>
        <w:rPr>
          <w:rFonts w:eastAsia="HelenPro-Regular"/>
        </w:rPr>
      </w:pPr>
    </w:p>
    <w:p w:rsidR="00033759" w:rsidRPr="008A0B71" w:rsidRDefault="00033759" w:rsidP="00033759">
      <w:pPr>
        <w:autoSpaceDE w:val="0"/>
        <w:autoSpaceDN w:val="0"/>
        <w:adjustRightInd w:val="0"/>
        <w:rPr>
          <w:rFonts w:eastAsia="HelenPro-Regular"/>
        </w:rPr>
      </w:pPr>
      <w:r w:rsidRPr="008A0B71">
        <w:rPr>
          <w:rFonts w:eastAsia="HelenPro-Regular"/>
        </w:rPr>
        <w:t>Methodology: Para-</w:t>
      </w:r>
      <w:proofErr w:type="spellStart"/>
      <w:r w:rsidRPr="008A0B71">
        <w:rPr>
          <w:rFonts w:eastAsia="HelenPro-Regular"/>
        </w:rPr>
        <w:t>nitrophenyl</w:t>
      </w:r>
      <w:proofErr w:type="spellEnd"/>
      <w:r w:rsidRPr="008A0B71">
        <w:rPr>
          <w:rFonts w:eastAsia="HelenPro-Regular"/>
        </w:rPr>
        <w:t xml:space="preserve"> Phosphate</w:t>
      </w:r>
    </w:p>
    <w:p w:rsidR="0056023B" w:rsidRPr="008A0B71" w:rsidRDefault="00033759" w:rsidP="00033759">
      <w:pPr>
        <w:autoSpaceDE w:val="0"/>
        <w:autoSpaceDN w:val="0"/>
        <w:adjustRightInd w:val="0"/>
        <w:rPr>
          <w:rFonts w:eastAsia="HelenPro-Regular"/>
        </w:rPr>
      </w:pPr>
      <w:r w:rsidRPr="008A0B71">
        <w:rPr>
          <w:rFonts w:eastAsia="HelenPro-Regular"/>
        </w:rPr>
        <w:t>For additional information on system and assay technology, refer to the ARCHITECT System Operations Manual, Section 3</w:t>
      </w:r>
      <w:r w:rsidRPr="008A0B71">
        <w:rPr>
          <w:rFonts w:eastAsia="HelenPro-Regular"/>
          <w:sz w:val="17"/>
          <w:szCs w:val="17"/>
        </w:rPr>
        <w:t>.</w:t>
      </w:r>
    </w:p>
    <w:p w:rsidR="009A32AB" w:rsidRPr="008A0B71" w:rsidRDefault="009A32AB" w:rsidP="006559EB">
      <w:pPr>
        <w:rPr>
          <w:b/>
          <w:sz w:val="28"/>
          <w:szCs w:val="28"/>
        </w:rPr>
      </w:pPr>
    </w:p>
    <w:p w:rsidR="006559EB" w:rsidRPr="008A0B71" w:rsidRDefault="006559EB" w:rsidP="006559EB">
      <w:pPr>
        <w:rPr>
          <w:b/>
          <w:sz w:val="28"/>
          <w:szCs w:val="28"/>
        </w:rPr>
      </w:pPr>
      <w:r w:rsidRPr="008A0B71">
        <w:rPr>
          <w:b/>
          <w:sz w:val="28"/>
          <w:szCs w:val="28"/>
        </w:rPr>
        <w:t>Specimen Collection and Handling</w:t>
      </w:r>
      <w:r w:rsidR="00D60AFA" w:rsidRPr="008A0B71">
        <w:rPr>
          <w:b/>
          <w:sz w:val="28"/>
          <w:szCs w:val="28"/>
        </w:rPr>
        <w:t xml:space="preserve"> </w:t>
      </w:r>
    </w:p>
    <w:p w:rsidR="004A03BD" w:rsidRPr="008A0B71" w:rsidRDefault="004A03BD" w:rsidP="006559EB">
      <w:pPr>
        <w:rPr>
          <w:b/>
        </w:rPr>
      </w:pPr>
    </w:p>
    <w:p w:rsidR="009A32AB" w:rsidRPr="008A0B71" w:rsidRDefault="00033759" w:rsidP="009A32AB">
      <w:pPr>
        <w:autoSpaceDE w:val="0"/>
        <w:autoSpaceDN w:val="0"/>
        <w:adjustRightInd w:val="0"/>
        <w:rPr>
          <w:rFonts w:eastAsia="HelenPro-Regular"/>
        </w:rPr>
      </w:pPr>
      <w:r w:rsidRPr="008A0B71">
        <w:rPr>
          <w:noProof/>
        </w:rPr>
        <w:drawing>
          <wp:inline distT="0" distB="0" distL="0" distR="0" wp14:anchorId="54331B4A" wp14:editId="47AABD66">
            <wp:extent cx="4038600" cy="1704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38600" cy="1704975"/>
                    </a:xfrm>
                    <a:prstGeom prst="rect">
                      <a:avLst/>
                    </a:prstGeom>
                  </pic:spPr>
                </pic:pic>
              </a:graphicData>
            </a:graphic>
          </wp:inline>
        </w:drawing>
      </w:r>
    </w:p>
    <w:p w:rsidR="00033759" w:rsidRPr="008A0B71" w:rsidRDefault="00033759" w:rsidP="00033759">
      <w:pPr>
        <w:autoSpaceDE w:val="0"/>
        <w:autoSpaceDN w:val="0"/>
        <w:adjustRightInd w:val="0"/>
        <w:rPr>
          <w:rFonts w:eastAsia="HelenPro-Bold"/>
          <w:b/>
          <w:bCs/>
        </w:rPr>
      </w:pPr>
      <w:r w:rsidRPr="008A0B71">
        <w:rPr>
          <w:rFonts w:eastAsia="HelenPro-Bold"/>
          <w:b/>
          <w:bCs/>
        </w:rPr>
        <w:lastRenderedPageBreak/>
        <w:t>Specimen Conditions</w:t>
      </w:r>
    </w:p>
    <w:p w:rsidR="00033759" w:rsidRPr="008A0B71" w:rsidRDefault="00033759" w:rsidP="00033759">
      <w:pPr>
        <w:autoSpaceDE w:val="0"/>
        <w:autoSpaceDN w:val="0"/>
        <w:adjustRightInd w:val="0"/>
        <w:rPr>
          <w:rFonts w:eastAsia="HelenPro-Regular"/>
        </w:rPr>
      </w:pPr>
      <w:r w:rsidRPr="008A0B71">
        <w:rPr>
          <w:rFonts w:eastAsia="HelenPro-Regular"/>
        </w:rPr>
        <w:t>Liquid anticoagulants may have a dilution effect resulting in lower concentrations for individual patient specimens.</w:t>
      </w:r>
    </w:p>
    <w:p w:rsidR="009A32AB" w:rsidRPr="008A0B71" w:rsidRDefault="009A32AB" w:rsidP="009A32AB">
      <w:pPr>
        <w:autoSpaceDE w:val="0"/>
        <w:autoSpaceDN w:val="0"/>
        <w:adjustRightInd w:val="0"/>
        <w:rPr>
          <w:rFonts w:eastAsia="HelenPro-Bold"/>
          <w:b/>
          <w:bCs/>
        </w:rPr>
      </w:pPr>
    </w:p>
    <w:p w:rsidR="00DA4542" w:rsidRPr="008A0B71" w:rsidRDefault="00DA4542" w:rsidP="009A32AB">
      <w:pPr>
        <w:autoSpaceDE w:val="0"/>
        <w:autoSpaceDN w:val="0"/>
        <w:adjustRightInd w:val="0"/>
        <w:rPr>
          <w:rFonts w:eastAsia="HelenPro-Bold"/>
          <w:b/>
          <w:bCs/>
        </w:rPr>
      </w:pPr>
      <w:r w:rsidRPr="008A0B71">
        <w:rPr>
          <w:rFonts w:eastAsia="HelenPro-Bold"/>
          <w:b/>
          <w:bCs/>
        </w:rPr>
        <w:t>Specimen Storage</w:t>
      </w:r>
    </w:p>
    <w:p w:rsidR="00FE48B3" w:rsidRPr="008A0B71" w:rsidRDefault="00FE48B3" w:rsidP="00FE48B3">
      <w:pPr>
        <w:autoSpaceDE w:val="0"/>
        <w:autoSpaceDN w:val="0"/>
        <w:adjustRightInd w:val="0"/>
        <w:rPr>
          <w:rFonts w:eastAsia="HelenPro-Regular"/>
        </w:rPr>
      </w:pPr>
      <w:r w:rsidRPr="008A0B71">
        <w:rPr>
          <w:rFonts w:eastAsia="HelenPro-Regular"/>
        </w:rPr>
        <w:t>Analyze fresh specimens if possible.</w:t>
      </w:r>
    </w:p>
    <w:p w:rsidR="00033759" w:rsidRPr="008A0B71" w:rsidRDefault="00033759" w:rsidP="00033759">
      <w:pPr>
        <w:autoSpaceDE w:val="0"/>
        <w:autoSpaceDN w:val="0"/>
        <w:adjustRightInd w:val="0"/>
        <w:rPr>
          <w:rFonts w:eastAsia="HelenPro-Regular"/>
        </w:rPr>
      </w:pPr>
      <w:r w:rsidRPr="008A0B71">
        <w:rPr>
          <w:rFonts w:eastAsia="HelenPro-Regular"/>
        </w:rPr>
        <w:t>Avoid repeated freeze/thaw cycles.</w:t>
      </w:r>
    </w:p>
    <w:p w:rsidR="00033759" w:rsidRPr="008A0B71" w:rsidRDefault="00033759" w:rsidP="00033759">
      <w:pPr>
        <w:autoSpaceDE w:val="0"/>
        <w:autoSpaceDN w:val="0"/>
        <w:adjustRightInd w:val="0"/>
        <w:rPr>
          <w:rFonts w:eastAsia="HelenPro-Regular"/>
        </w:rPr>
      </w:pPr>
      <w:r w:rsidRPr="008A0B71">
        <w:rPr>
          <w:rFonts w:eastAsia="HelenPro-Regular"/>
        </w:rPr>
        <w:t>Allow specimens to reach room temperature prior to analysis</w:t>
      </w:r>
    </w:p>
    <w:p w:rsidR="00033759" w:rsidRPr="008A0B71" w:rsidRDefault="00033759" w:rsidP="00033759">
      <w:pPr>
        <w:autoSpaceDE w:val="0"/>
        <w:autoSpaceDN w:val="0"/>
        <w:adjustRightInd w:val="0"/>
        <w:rPr>
          <w:rFonts w:eastAsia="HelenPro-Bold"/>
          <w:b/>
          <w:bCs/>
        </w:rPr>
      </w:pPr>
    </w:p>
    <w:p w:rsidR="000F0494" w:rsidRPr="008A0B71" w:rsidRDefault="000F0494" w:rsidP="00033759">
      <w:pPr>
        <w:autoSpaceDE w:val="0"/>
        <w:autoSpaceDN w:val="0"/>
        <w:adjustRightInd w:val="0"/>
        <w:rPr>
          <w:rFonts w:eastAsia="HelenPro-Bold"/>
          <w:b/>
          <w:bCs/>
        </w:rPr>
      </w:pPr>
      <w:r w:rsidRPr="008A0B71">
        <w:rPr>
          <w:rFonts w:eastAsia="HelenPro-Bold"/>
          <w:b/>
          <w:bCs/>
        </w:rPr>
        <w:t xml:space="preserve">Serum and Plasma: </w:t>
      </w:r>
    </w:p>
    <w:p w:rsidR="009A32AB" w:rsidRPr="008A0B71" w:rsidRDefault="00033759" w:rsidP="000F0494">
      <w:pPr>
        <w:autoSpaceDE w:val="0"/>
        <w:autoSpaceDN w:val="0"/>
        <w:adjustRightInd w:val="0"/>
        <w:rPr>
          <w:rFonts w:eastAsia="HelenPro-Regular"/>
        </w:rPr>
      </w:pPr>
      <w:r w:rsidRPr="008A0B71">
        <w:rPr>
          <w:noProof/>
        </w:rPr>
        <w:drawing>
          <wp:inline distT="0" distB="0" distL="0" distR="0" wp14:anchorId="7C30D1E2" wp14:editId="77F0D784">
            <wp:extent cx="4124325" cy="2133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24325" cy="2133600"/>
                    </a:xfrm>
                    <a:prstGeom prst="rect">
                      <a:avLst/>
                    </a:prstGeom>
                  </pic:spPr>
                </pic:pic>
              </a:graphicData>
            </a:graphic>
          </wp:inline>
        </w:drawing>
      </w:r>
    </w:p>
    <w:p w:rsidR="00FE48B3" w:rsidRPr="008A0B71" w:rsidRDefault="00FE48B3" w:rsidP="00FE48B3">
      <w:pPr>
        <w:autoSpaceDE w:val="0"/>
        <w:autoSpaceDN w:val="0"/>
        <w:adjustRightInd w:val="0"/>
        <w:rPr>
          <w:rFonts w:eastAsia="HelenPro-Regular"/>
        </w:rPr>
      </w:pPr>
    </w:p>
    <w:p w:rsidR="00D64E39" w:rsidRPr="008A0B71" w:rsidRDefault="00C32412" w:rsidP="00C32412">
      <w:pPr>
        <w:autoSpaceDE w:val="0"/>
        <w:autoSpaceDN w:val="0"/>
        <w:adjustRightInd w:val="0"/>
        <w:rPr>
          <w:rFonts w:eastAsia="HelenPro-Regular"/>
        </w:rPr>
      </w:pPr>
      <w:r w:rsidRPr="008A0B71">
        <w:rPr>
          <w:rFonts w:eastAsia="HelenPro-Bold"/>
          <w:b/>
          <w:bCs/>
        </w:rPr>
        <w:t xml:space="preserve">NOTE: </w:t>
      </w:r>
      <w:r w:rsidRPr="008A0B71">
        <w:rPr>
          <w:rFonts w:eastAsia="HelenPro-Regular"/>
        </w:rPr>
        <w:t>Stored specimens must be inspected for particulates. If present, mix and centrifuge the specimen to remove particulates prior to testing</w:t>
      </w:r>
      <w:r w:rsidRPr="008A0B71">
        <w:rPr>
          <w:rFonts w:eastAsia="HelenPro-Regular"/>
          <w:sz w:val="16"/>
          <w:szCs w:val="16"/>
        </w:rPr>
        <w:t>.</w:t>
      </w:r>
    </w:p>
    <w:p w:rsidR="00AB793D" w:rsidRPr="008A0B71" w:rsidRDefault="00AB793D" w:rsidP="00F7103F">
      <w:pPr>
        <w:tabs>
          <w:tab w:val="left" w:pos="0"/>
        </w:tabs>
        <w:rPr>
          <w:rFonts w:eastAsia="HelenPro-Regular"/>
        </w:rPr>
      </w:pPr>
    </w:p>
    <w:p w:rsidR="007E4CE6" w:rsidRPr="008A0B71" w:rsidRDefault="00AE6F5B" w:rsidP="00AE6F5B">
      <w:pPr>
        <w:rPr>
          <w:b/>
        </w:rPr>
      </w:pPr>
      <w:r w:rsidRPr="008A0B71">
        <w:rPr>
          <w:b/>
          <w:sz w:val="28"/>
          <w:szCs w:val="28"/>
        </w:rPr>
        <w:t>Materials and Equipment Required</w:t>
      </w:r>
      <w:r w:rsidR="00D60AFA" w:rsidRPr="008A0B71">
        <w:rPr>
          <w:b/>
          <w:sz w:val="28"/>
          <w:szCs w:val="28"/>
        </w:rPr>
        <w:t xml:space="preserve"> </w:t>
      </w:r>
    </w:p>
    <w:p w:rsidR="00F7103F" w:rsidRPr="008A0B71" w:rsidRDefault="00F7103F" w:rsidP="00973EAF">
      <w:pPr>
        <w:ind w:firstLine="720"/>
      </w:pPr>
      <w:r w:rsidRPr="008A0B71">
        <w:rPr>
          <w:b/>
        </w:rPr>
        <w:t>TEST INSTRUMENT</w:t>
      </w:r>
      <w:r w:rsidRPr="008A0B71">
        <w:t>:  Abbott ARCHITECT System</w:t>
      </w:r>
    </w:p>
    <w:p w:rsidR="006D40ED" w:rsidRPr="008A0B71" w:rsidRDefault="006D40ED" w:rsidP="00F7103F">
      <w:pPr>
        <w:rPr>
          <w:b/>
        </w:rPr>
      </w:pPr>
    </w:p>
    <w:p w:rsidR="00033759" w:rsidRPr="008A0B71" w:rsidRDefault="00033759" w:rsidP="00973EAF">
      <w:pPr>
        <w:ind w:firstLine="720"/>
        <w:rPr>
          <w:b/>
        </w:rPr>
      </w:pPr>
    </w:p>
    <w:p w:rsidR="00F7103F" w:rsidRPr="008A0B71" w:rsidRDefault="00F7103F" w:rsidP="00973EAF">
      <w:pPr>
        <w:ind w:firstLine="720"/>
        <w:rPr>
          <w:b/>
        </w:rPr>
      </w:pPr>
      <w:r w:rsidRPr="008A0B71">
        <w:rPr>
          <w:b/>
        </w:rPr>
        <w:t>MATERIALS PROVIDED</w:t>
      </w:r>
    </w:p>
    <w:p w:rsidR="00F7103F" w:rsidRPr="008A0B71" w:rsidRDefault="00F7103F" w:rsidP="00F7103F"/>
    <w:p w:rsidR="00F7103F" w:rsidRPr="008A0B71" w:rsidRDefault="00F7103F" w:rsidP="00973EAF">
      <w:pPr>
        <w:ind w:firstLine="720"/>
      </w:pPr>
      <w:r w:rsidRPr="008A0B71">
        <w:rPr>
          <w:rFonts w:eastAsia="HelenPro-Regular"/>
        </w:rPr>
        <w:t xml:space="preserve"> </w:t>
      </w:r>
      <w:r w:rsidR="009A32AB" w:rsidRPr="008A0B71">
        <w:rPr>
          <w:rFonts w:eastAsia="HelenPro-Regular"/>
        </w:rPr>
        <w:t>7D55 Alkaline Phosphatase Reagent Kit</w:t>
      </w:r>
    </w:p>
    <w:p w:rsidR="00F7103F" w:rsidRPr="008A0B71" w:rsidRDefault="00F7103F" w:rsidP="00F7103F"/>
    <w:p w:rsidR="00F7103F" w:rsidRPr="008A0B71" w:rsidRDefault="00F7103F" w:rsidP="00973EAF">
      <w:pPr>
        <w:ind w:firstLine="720"/>
        <w:rPr>
          <w:b/>
        </w:rPr>
      </w:pPr>
      <w:r w:rsidRPr="008A0B71">
        <w:rPr>
          <w:b/>
        </w:rPr>
        <w:t>MATERIALS REQUIRED BUT NOT PROVIDED</w:t>
      </w:r>
    </w:p>
    <w:p w:rsidR="00953EA1" w:rsidRPr="008A0B71" w:rsidRDefault="00953EA1" w:rsidP="00953EA1">
      <w:pPr>
        <w:autoSpaceDE w:val="0"/>
        <w:autoSpaceDN w:val="0"/>
        <w:adjustRightInd w:val="0"/>
        <w:ind w:left="720"/>
        <w:rPr>
          <w:rFonts w:eastAsia="HelenPro-Regular"/>
        </w:rPr>
      </w:pPr>
      <w:r w:rsidRPr="008A0B71">
        <w:rPr>
          <w:rFonts w:eastAsia="HelenPro-Regular"/>
        </w:rPr>
        <w:t>• Control Material</w:t>
      </w:r>
    </w:p>
    <w:p w:rsidR="00C32412" w:rsidRPr="008A0B71" w:rsidRDefault="00953EA1" w:rsidP="000F0494">
      <w:pPr>
        <w:autoSpaceDE w:val="0"/>
        <w:autoSpaceDN w:val="0"/>
        <w:adjustRightInd w:val="0"/>
        <w:ind w:left="720"/>
        <w:rPr>
          <w:b/>
        </w:rPr>
      </w:pPr>
      <w:r w:rsidRPr="008A0B71">
        <w:rPr>
          <w:rFonts w:eastAsia="HelenPro-Regular"/>
        </w:rPr>
        <w:t>• Saline (0.85% to 0.90% NaCl) for specimens that require dilution</w:t>
      </w:r>
    </w:p>
    <w:p w:rsidR="00953EA1" w:rsidRPr="008A0B71" w:rsidRDefault="00953EA1" w:rsidP="00507B0C">
      <w:pPr>
        <w:rPr>
          <w:b/>
          <w:sz w:val="28"/>
          <w:szCs w:val="28"/>
        </w:rPr>
      </w:pPr>
    </w:p>
    <w:p w:rsidR="00507B0C" w:rsidRPr="008A0B71" w:rsidRDefault="00507B0C" w:rsidP="00507B0C">
      <w:pPr>
        <w:rPr>
          <w:b/>
          <w:sz w:val="28"/>
          <w:szCs w:val="28"/>
        </w:rPr>
      </w:pPr>
      <w:r w:rsidRPr="008A0B71">
        <w:rPr>
          <w:b/>
          <w:sz w:val="28"/>
          <w:szCs w:val="28"/>
        </w:rPr>
        <w:t xml:space="preserve">Reagent Handling and Storage: </w:t>
      </w:r>
    </w:p>
    <w:p w:rsidR="00507B0C" w:rsidRPr="008A0B71" w:rsidRDefault="00507B0C" w:rsidP="004A03BD">
      <w:pPr>
        <w:spacing w:before="72" w:after="43"/>
        <w:rPr>
          <w:b/>
          <w:color w:val="000000"/>
          <w:szCs w:val="15"/>
        </w:rPr>
      </w:pPr>
    </w:p>
    <w:p w:rsidR="00F7103F" w:rsidRPr="008A0B71" w:rsidRDefault="00F7103F" w:rsidP="00F7103F">
      <w:pPr>
        <w:pStyle w:val="txt"/>
        <w:numPr>
          <w:ilvl w:val="12"/>
          <w:numId w:val="0"/>
        </w:numPr>
        <w:rPr>
          <w:b/>
          <w:sz w:val="24"/>
          <w:szCs w:val="24"/>
        </w:rPr>
      </w:pPr>
      <w:r w:rsidRPr="008A0B71">
        <w:rPr>
          <w:b/>
          <w:i/>
          <w:sz w:val="24"/>
          <w:szCs w:val="24"/>
        </w:rPr>
        <w:t>CAUTION</w:t>
      </w:r>
      <w:r w:rsidRPr="008A0B71">
        <w:rPr>
          <w:b/>
          <w:sz w:val="24"/>
          <w:szCs w:val="24"/>
        </w:rPr>
        <w:t>:</w:t>
      </w:r>
    </w:p>
    <w:p w:rsidR="00FE48B3" w:rsidRPr="008A0B71" w:rsidRDefault="00953EA1" w:rsidP="00033759">
      <w:pPr>
        <w:autoSpaceDE w:val="0"/>
        <w:autoSpaceDN w:val="0"/>
        <w:adjustRightInd w:val="0"/>
        <w:rPr>
          <w:rFonts w:eastAsia="HelenPro-Regular"/>
        </w:rPr>
      </w:pPr>
      <w:r w:rsidRPr="008A0B71">
        <w:rPr>
          <w:rFonts w:eastAsia="HelenPro-Regular"/>
        </w:rPr>
        <w:t xml:space="preserve">For in vitro diagnostic use. </w:t>
      </w:r>
    </w:p>
    <w:p w:rsidR="00033759" w:rsidRPr="008A0B71" w:rsidRDefault="00033759" w:rsidP="000F0494">
      <w:pPr>
        <w:autoSpaceDE w:val="0"/>
        <w:autoSpaceDN w:val="0"/>
        <w:adjustRightInd w:val="0"/>
        <w:rPr>
          <w:rFonts w:eastAsia="HelenPro-Regular"/>
          <w:b/>
          <w:bCs/>
        </w:rPr>
      </w:pPr>
    </w:p>
    <w:p w:rsidR="00F7103F" w:rsidRPr="008A0B71" w:rsidRDefault="00F7103F" w:rsidP="000F0494">
      <w:pPr>
        <w:autoSpaceDE w:val="0"/>
        <w:autoSpaceDN w:val="0"/>
        <w:adjustRightInd w:val="0"/>
        <w:rPr>
          <w:rFonts w:eastAsia="HelenPro-Regular"/>
        </w:rPr>
      </w:pPr>
      <w:r w:rsidRPr="008A0B71">
        <w:rPr>
          <w:rFonts w:eastAsia="HelenPro-Regular"/>
          <w:b/>
          <w:bCs/>
        </w:rPr>
        <w:t xml:space="preserve">CAUTION: </w:t>
      </w:r>
      <w:r w:rsidRPr="008A0B71">
        <w:rPr>
          <w:rFonts w:eastAsia="HelenPro-Regular"/>
        </w:rPr>
        <w:t>This product requires the handling of human specimens.</w:t>
      </w:r>
    </w:p>
    <w:p w:rsidR="004A03BD" w:rsidRPr="008A0B71" w:rsidRDefault="00F7103F" w:rsidP="00953EA1">
      <w:pPr>
        <w:rPr>
          <w:rFonts w:eastAsia="HelenPro-Regular"/>
        </w:rPr>
      </w:pPr>
      <w:r w:rsidRPr="008A0B71">
        <w:rPr>
          <w:rFonts w:eastAsia="HelenPro-Regular"/>
        </w:rPr>
        <w:lastRenderedPageBreak/>
        <w:t>It is recommended that all human sourced materials be considered</w:t>
      </w:r>
      <w:r w:rsidR="00953EA1" w:rsidRPr="008A0B71">
        <w:rPr>
          <w:rFonts w:eastAsia="HelenPro-Regular"/>
        </w:rPr>
        <w:t xml:space="preserve"> </w:t>
      </w:r>
      <w:r w:rsidRPr="008A0B71">
        <w:rPr>
          <w:rFonts w:eastAsia="HelenPro-Regular"/>
        </w:rPr>
        <w:t>potentially infectious and be handled in accordance with the OSHA</w:t>
      </w:r>
      <w:r w:rsidR="00953EA1" w:rsidRPr="008A0B71">
        <w:rPr>
          <w:rFonts w:eastAsia="HelenPro-Regular"/>
        </w:rPr>
        <w:t xml:space="preserve"> </w:t>
      </w:r>
      <w:r w:rsidRPr="008A0B71">
        <w:rPr>
          <w:rFonts w:eastAsia="HelenPro-Regular"/>
        </w:rPr>
        <w:t xml:space="preserve">Standard on </w:t>
      </w:r>
      <w:proofErr w:type="spellStart"/>
      <w:r w:rsidRPr="008A0B71">
        <w:rPr>
          <w:rFonts w:eastAsia="HelenPro-Regular"/>
        </w:rPr>
        <w:t>Bloodborne</w:t>
      </w:r>
      <w:proofErr w:type="spellEnd"/>
      <w:r w:rsidRPr="008A0B71">
        <w:rPr>
          <w:rFonts w:eastAsia="HelenPro-Regular"/>
        </w:rPr>
        <w:t xml:space="preserve"> Pathogens. Biosafety Level 2 or other</w:t>
      </w:r>
      <w:r w:rsidR="00953EA1" w:rsidRPr="008A0B71">
        <w:rPr>
          <w:rFonts w:eastAsia="HelenPro-Regular"/>
        </w:rPr>
        <w:t xml:space="preserve"> </w:t>
      </w:r>
      <w:r w:rsidRPr="008A0B71">
        <w:rPr>
          <w:rFonts w:eastAsia="HelenPro-Regular"/>
        </w:rPr>
        <w:t>appropriate biosafety practices should be used for materials that contain or are suspected of containing infectious agents.</w:t>
      </w:r>
    </w:p>
    <w:p w:rsidR="009A32AB" w:rsidRPr="008A0B71" w:rsidRDefault="009A32AB" w:rsidP="00953EA1">
      <w:pPr>
        <w:rPr>
          <w:rFonts w:eastAsia="HelenPro-Regular"/>
        </w:rPr>
      </w:pPr>
    </w:p>
    <w:p w:rsidR="00FE48B3" w:rsidRPr="008A0B71" w:rsidRDefault="00033759" w:rsidP="00953EA1">
      <w:pPr>
        <w:rPr>
          <w:rFonts w:eastAsia="HelenPro-Regular"/>
        </w:rPr>
      </w:pPr>
      <w:r w:rsidRPr="008A0B71">
        <w:rPr>
          <w:noProof/>
        </w:rPr>
        <w:drawing>
          <wp:inline distT="0" distB="0" distL="0" distR="0" wp14:anchorId="6D88CC13" wp14:editId="3409EF1D">
            <wp:extent cx="2524125" cy="27294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32270" cy="2738245"/>
                    </a:xfrm>
                    <a:prstGeom prst="rect">
                      <a:avLst/>
                    </a:prstGeom>
                  </pic:spPr>
                </pic:pic>
              </a:graphicData>
            </a:graphic>
          </wp:inline>
        </w:drawing>
      </w:r>
    </w:p>
    <w:p w:rsidR="00033759" w:rsidRPr="008A0B71" w:rsidRDefault="00033759" w:rsidP="00953EA1">
      <w:pPr>
        <w:rPr>
          <w:rFonts w:eastAsia="HelenPro-Regular"/>
        </w:rPr>
      </w:pPr>
      <w:r w:rsidRPr="008A0B71">
        <w:rPr>
          <w:noProof/>
        </w:rPr>
        <w:drawing>
          <wp:inline distT="0" distB="0" distL="0" distR="0" wp14:anchorId="7C26E8E6" wp14:editId="7BC1B6B0">
            <wp:extent cx="2572549" cy="2524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82598" cy="2533984"/>
                    </a:xfrm>
                    <a:prstGeom prst="rect">
                      <a:avLst/>
                    </a:prstGeom>
                  </pic:spPr>
                </pic:pic>
              </a:graphicData>
            </a:graphic>
          </wp:inline>
        </w:drawing>
      </w:r>
    </w:p>
    <w:p w:rsidR="0038442D" w:rsidRPr="008A0B71" w:rsidRDefault="0038442D" w:rsidP="0038442D">
      <w:pPr>
        <w:autoSpaceDE w:val="0"/>
        <w:autoSpaceDN w:val="0"/>
        <w:adjustRightInd w:val="0"/>
        <w:rPr>
          <w:rFonts w:eastAsia="HelenPro-Bold"/>
          <w:b/>
          <w:bCs/>
        </w:rPr>
      </w:pPr>
    </w:p>
    <w:p w:rsidR="0038442D" w:rsidRPr="008A0B71" w:rsidRDefault="0038442D" w:rsidP="0038442D">
      <w:pPr>
        <w:autoSpaceDE w:val="0"/>
        <w:autoSpaceDN w:val="0"/>
        <w:adjustRightInd w:val="0"/>
        <w:rPr>
          <w:rFonts w:eastAsia="HelenPro-Bold"/>
          <w:b/>
          <w:bCs/>
        </w:rPr>
      </w:pPr>
      <w:r w:rsidRPr="008A0B71">
        <w:rPr>
          <w:rFonts w:eastAsia="HelenPro-Bold"/>
          <w:b/>
          <w:bCs/>
        </w:rPr>
        <w:t>Reagent Handling</w:t>
      </w:r>
    </w:p>
    <w:p w:rsidR="00033759" w:rsidRPr="008A0B71" w:rsidRDefault="00033759" w:rsidP="00033759">
      <w:pPr>
        <w:autoSpaceDE w:val="0"/>
        <w:autoSpaceDN w:val="0"/>
        <w:adjustRightInd w:val="0"/>
        <w:rPr>
          <w:rFonts w:eastAsia="HelenPro-Regular"/>
        </w:rPr>
      </w:pPr>
      <w:r w:rsidRPr="008A0B71">
        <w:rPr>
          <w:rFonts w:eastAsia="HelenPro-Bold"/>
          <w:b/>
          <w:bCs/>
        </w:rPr>
        <w:t xml:space="preserve">• </w:t>
      </w:r>
      <w:r w:rsidRPr="008A0B71">
        <w:rPr>
          <w:rFonts w:eastAsia="HelenPro-Regular"/>
        </w:rPr>
        <w:t>Do not use reagents beyond the expiration date.</w:t>
      </w:r>
    </w:p>
    <w:p w:rsidR="00033759" w:rsidRPr="008A0B71" w:rsidRDefault="00033759" w:rsidP="00033759">
      <w:pPr>
        <w:autoSpaceDE w:val="0"/>
        <w:autoSpaceDN w:val="0"/>
        <w:adjustRightInd w:val="0"/>
        <w:rPr>
          <w:rFonts w:eastAsia="HelenPro-Regular"/>
        </w:rPr>
      </w:pPr>
      <w:r w:rsidRPr="008A0B71">
        <w:rPr>
          <w:rFonts w:eastAsia="HelenPro-Bold"/>
          <w:b/>
          <w:bCs/>
        </w:rPr>
        <w:t xml:space="preserve">• </w:t>
      </w:r>
      <w:r w:rsidRPr="008A0B71">
        <w:rPr>
          <w:rFonts w:eastAsia="HelenPro-Regular"/>
        </w:rPr>
        <w:t>Do not pool reagents within a kit or between kits.</w:t>
      </w:r>
    </w:p>
    <w:p w:rsidR="00033759" w:rsidRPr="008A0B71" w:rsidRDefault="00033759" w:rsidP="00033759">
      <w:pPr>
        <w:autoSpaceDE w:val="0"/>
        <w:autoSpaceDN w:val="0"/>
        <w:adjustRightInd w:val="0"/>
        <w:rPr>
          <w:rFonts w:eastAsia="HelenPro-Regular"/>
        </w:rPr>
      </w:pPr>
      <w:r w:rsidRPr="008A0B71">
        <w:rPr>
          <w:rFonts w:eastAsia="HelenPro-Bold"/>
          <w:b/>
          <w:bCs/>
        </w:rPr>
        <w:t xml:space="preserve">• </w:t>
      </w:r>
      <w:r w:rsidRPr="008A0B71">
        <w:rPr>
          <w:rFonts w:eastAsia="HelenPro-Regular"/>
        </w:rPr>
        <w:t>Do not use components from one lot with components from another lot.</w:t>
      </w:r>
    </w:p>
    <w:p w:rsidR="00033759" w:rsidRPr="008A0B71" w:rsidRDefault="00033759" w:rsidP="00033759">
      <w:pPr>
        <w:autoSpaceDE w:val="0"/>
        <w:autoSpaceDN w:val="0"/>
        <w:adjustRightInd w:val="0"/>
        <w:rPr>
          <w:rFonts w:eastAsia="HelenPro-Regular"/>
        </w:rPr>
      </w:pPr>
      <w:r w:rsidRPr="008A0B71">
        <w:rPr>
          <w:rFonts w:eastAsia="HelenPro-Bold"/>
          <w:b/>
          <w:bCs/>
        </w:rPr>
        <w:t xml:space="preserve">• </w:t>
      </w:r>
      <w:r w:rsidRPr="008A0B71">
        <w:rPr>
          <w:rFonts w:eastAsia="HelenPro-Regular"/>
        </w:rPr>
        <w:t>Remove any air bubbles present in the reagents with a new applicator stick, or allow the reagents to sit at the appropriate storage temperature to allow the bubbles to dissipate. To minimize volume depletion, do not use a transfer pipette to remove bubbles.</w:t>
      </w:r>
    </w:p>
    <w:p w:rsidR="00033759" w:rsidRPr="008A0B71" w:rsidRDefault="00033759" w:rsidP="00033759">
      <w:pPr>
        <w:autoSpaceDE w:val="0"/>
        <w:autoSpaceDN w:val="0"/>
        <w:adjustRightInd w:val="0"/>
        <w:rPr>
          <w:rFonts w:eastAsia="HelenPro-Regular"/>
        </w:rPr>
      </w:pPr>
      <w:r w:rsidRPr="008A0B71">
        <w:rPr>
          <w:rFonts w:eastAsia="HelenPro-Bold"/>
          <w:b/>
          <w:bCs/>
        </w:rPr>
        <w:t xml:space="preserve">CAUTION: </w:t>
      </w:r>
      <w:r w:rsidRPr="008A0B71">
        <w:rPr>
          <w:rFonts w:eastAsia="HelenPro-Regular"/>
        </w:rPr>
        <w:t>Bubbles may interfere with proper detection of reagent level in the cartridge and cause insufficient reagent aspiration which could impact results.</w:t>
      </w:r>
    </w:p>
    <w:p w:rsidR="000F0494" w:rsidRPr="008A0B71" w:rsidRDefault="00033759" w:rsidP="00033759">
      <w:pPr>
        <w:autoSpaceDE w:val="0"/>
        <w:autoSpaceDN w:val="0"/>
        <w:adjustRightInd w:val="0"/>
        <w:rPr>
          <w:rFonts w:eastAsia="HelenPro-Regular"/>
        </w:rPr>
      </w:pPr>
      <w:r w:rsidRPr="008A0B71">
        <w:rPr>
          <w:rFonts w:eastAsia="HelenPro-Regular"/>
        </w:rPr>
        <w:lastRenderedPageBreak/>
        <w:t>For a detailed discussion of handling precautions during system operation, refer to the ARCHITECT System Operations Manual, Section 7.</w:t>
      </w:r>
    </w:p>
    <w:p w:rsidR="00033759" w:rsidRPr="008A0B71" w:rsidRDefault="00033759" w:rsidP="00953EA1">
      <w:pPr>
        <w:autoSpaceDE w:val="0"/>
        <w:autoSpaceDN w:val="0"/>
        <w:adjustRightInd w:val="0"/>
        <w:rPr>
          <w:rFonts w:eastAsia="HelenPro-Bold"/>
          <w:b/>
          <w:bCs/>
        </w:rPr>
      </w:pPr>
    </w:p>
    <w:p w:rsidR="00953EA1" w:rsidRPr="008A0B71" w:rsidRDefault="00953EA1" w:rsidP="00953EA1">
      <w:pPr>
        <w:autoSpaceDE w:val="0"/>
        <w:autoSpaceDN w:val="0"/>
        <w:adjustRightInd w:val="0"/>
        <w:rPr>
          <w:rFonts w:eastAsia="HelenPro-Bold"/>
          <w:b/>
          <w:bCs/>
        </w:rPr>
      </w:pPr>
      <w:r w:rsidRPr="008A0B71">
        <w:rPr>
          <w:rFonts w:eastAsia="HelenPro-Bold"/>
          <w:b/>
          <w:bCs/>
        </w:rPr>
        <w:t>Reagent Storage</w:t>
      </w:r>
    </w:p>
    <w:p w:rsidR="000F0494" w:rsidRPr="008A0B71" w:rsidRDefault="00033759" w:rsidP="000F0494">
      <w:pPr>
        <w:spacing w:after="72"/>
        <w:rPr>
          <w:rFonts w:eastAsia="HelenPro-Regular"/>
        </w:rPr>
      </w:pPr>
      <w:r w:rsidRPr="008A0B71">
        <w:rPr>
          <w:noProof/>
        </w:rPr>
        <w:drawing>
          <wp:inline distT="0" distB="0" distL="0" distR="0" wp14:anchorId="518A76F2" wp14:editId="4802093D">
            <wp:extent cx="3000375" cy="19288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09242" cy="1934513"/>
                    </a:xfrm>
                    <a:prstGeom prst="rect">
                      <a:avLst/>
                    </a:prstGeom>
                  </pic:spPr>
                </pic:pic>
              </a:graphicData>
            </a:graphic>
          </wp:inline>
        </w:drawing>
      </w:r>
    </w:p>
    <w:p w:rsidR="00033759" w:rsidRPr="008A0B71" w:rsidRDefault="00033759" w:rsidP="00033759">
      <w:pPr>
        <w:autoSpaceDE w:val="0"/>
        <w:autoSpaceDN w:val="0"/>
        <w:adjustRightInd w:val="0"/>
        <w:rPr>
          <w:rFonts w:eastAsia="HelenPro-Regular"/>
        </w:rPr>
      </w:pPr>
      <w:r w:rsidRPr="008A0B71">
        <w:rPr>
          <w:rFonts w:eastAsia="HelenPro-Regular"/>
        </w:rPr>
        <w:t xml:space="preserve">Reagents may be stored on or off the ARCHITECT </w:t>
      </w:r>
      <w:proofErr w:type="spellStart"/>
      <w:r w:rsidRPr="008A0B71">
        <w:rPr>
          <w:rFonts w:eastAsia="HelenPro-Regular"/>
        </w:rPr>
        <w:t>cSystem</w:t>
      </w:r>
      <w:proofErr w:type="spellEnd"/>
      <w:r w:rsidRPr="008A0B71">
        <w:rPr>
          <w:rFonts w:eastAsia="HelenPro-Regular"/>
        </w:rPr>
        <w:t>.</w:t>
      </w:r>
    </w:p>
    <w:p w:rsidR="00FE48B3" w:rsidRPr="008A0B71" w:rsidRDefault="00033759" w:rsidP="00033759">
      <w:pPr>
        <w:autoSpaceDE w:val="0"/>
        <w:autoSpaceDN w:val="0"/>
        <w:adjustRightInd w:val="0"/>
        <w:rPr>
          <w:rFonts w:eastAsia="HelenPro-Regular"/>
        </w:rPr>
      </w:pPr>
      <w:r w:rsidRPr="008A0B71">
        <w:rPr>
          <w:rFonts w:eastAsia="HelenPro-Regular"/>
        </w:rPr>
        <w:t>If reagents are removed from the system, store at 2-8°C (with replacement caps) in their original boxes. When reagent is placed back on the system, run controls and if appropriate criteria are not met, recalibration may be required. For information on unloading reagents, refer to the ARCHITECT System Operations Manual, Section 5.</w:t>
      </w:r>
    </w:p>
    <w:p w:rsidR="000F0494" w:rsidRPr="008A0B71" w:rsidRDefault="000F0494" w:rsidP="000F0494">
      <w:pPr>
        <w:spacing w:after="72"/>
        <w:rPr>
          <w:rStyle w:val="BodyBold"/>
          <w:rFonts w:ascii="Times New Roman" w:hAnsi="Times New Roman"/>
          <w:sz w:val="24"/>
          <w:szCs w:val="24"/>
        </w:rPr>
      </w:pPr>
    </w:p>
    <w:p w:rsidR="00180A92" w:rsidRPr="008A0B71" w:rsidRDefault="00180A92" w:rsidP="000F0494">
      <w:pPr>
        <w:spacing w:after="72"/>
        <w:rPr>
          <w:rStyle w:val="BodyBold"/>
          <w:rFonts w:ascii="Times New Roman" w:hAnsi="Times New Roman"/>
          <w:sz w:val="24"/>
          <w:szCs w:val="24"/>
        </w:rPr>
      </w:pPr>
      <w:r w:rsidRPr="008A0B71">
        <w:rPr>
          <w:noProof/>
        </w:rPr>
        <w:drawing>
          <wp:inline distT="0" distB="0" distL="0" distR="0" wp14:anchorId="11295582" wp14:editId="79C228BA">
            <wp:extent cx="4000500" cy="1933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0500" cy="1933575"/>
                    </a:xfrm>
                    <a:prstGeom prst="rect">
                      <a:avLst/>
                    </a:prstGeom>
                  </pic:spPr>
                </pic:pic>
              </a:graphicData>
            </a:graphic>
          </wp:inline>
        </w:drawing>
      </w:r>
    </w:p>
    <w:p w:rsidR="00953EA1" w:rsidRPr="008A0B71" w:rsidRDefault="00180A92" w:rsidP="009A32AB">
      <w:pPr>
        <w:spacing w:after="72"/>
      </w:pPr>
      <w:r w:rsidRPr="008A0B71">
        <w:rPr>
          <w:noProof/>
        </w:rPr>
        <w:drawing>
          <wp:inline distT="0" distB="0" distL="0" distR="0" wp14:anchorId="28A152DF" wp14:editId="4FF4ECAF">
            <wp:extent cx="3981450" cy="1885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81450" cy="1885950"/>
                    </a:xfrm>
                    <a:prstGeom prst="rect">
                      <a:avLst/>
                    </a:prstGeom>
                  </pic:spPr>
                </pic:pic>
              </a:graphicData>
            </a:graphic>
          </wp:inline>
        </w:drawing>
      </w:r>
    </w:p>
    <w:p w:rsidR="00D64E39" w:rsidRPr="008A0B71" w:rsidRDefault="00D64E39" w:rsidP="00D64E39">
      <w:pPr>
        <w:rPr>
          <w:rFonts w:eastAsia="HelenPro-Regular"/>
        </w:rPr>
      </w:pPr>
    </w:p>
    <w:p w:rsidR="00AB793D" w:rsidRPr="008A0B71" w:rsidRDefault="00AB793D" w:rsidP="00AB793D">
      <w:pPr>
        <w:rPr>
          <w:rFonts w:eastAsia="HelenPro-Regular"/>
        </w:rPr>
      </w:pPr>
    </w:p>
    <w:p w:rsidR="00973EAF" w:rsidRPr="008A0B71" w:rsidRDefault="000F0494" w:rsidP="00973EAF">
      <w:pPr>
        <w:spacing w:after="43"/>
        <w:rPr>
          <w:i/>
          <w:color w:val="FF0000"/>
          <w:szCs w:val="15"/>
        </w:rPr>
      </w:pPr>
      <w:r w:rsidRPr="008A0B71">
        <w:rPr>
          <w:b/>
          <w:szCs w:val="14"/>
        </w:rPr>
        <w:lastRenderedPageBreak/>
        <w:t>Q</w:t>
      </w:r>
      <w:r w:rsidR="00B36577" w:rsidRPr="008A0B71">
        <w:rPr>
          <w:b/>
          <w:szCs w:val="14"/>
        </w:rPr>
        <w:t>uality Control:</w:t>
      </w:r>
      <w:r w:rsidR="00CA11D0" w:rsidRPr="008A0B71">
        <w:rPr>
          <w:szCs w:val="14"/>
        </w:rPr>
        <w:t xml:space="preserve">  </w:t>
      </w:r>
      <w:r w:rsidR="0056023B" w:rsidRPr="008A0B71">
        <w:rPr>
          <w:szCs w:val="14"/>
        </w:rPr>
        <w:t xml:space="preserve">Minimum 2 levels of </w:t>
      </w:r>
      <w:r w:rsidR="0025031C" w:rsidRPr="008A0B71">
        <w:t>Chemistry</w:t>
      </w:r>
      <w:r w:rsidR="0025031C" w:rsidRPr="008A0B71">
        <w:rPr>
          <w:b/>
        </w:rPr>
        <w:t xml:space="preserve"> </w:t>
      </w:r>
      <w:r w:rsidR="0025031C" w:rsidRPr="008A0B71">
        <w:t>Control</w:t>
      </w:r>
      <w:r w:rsidR="00827DE8" w:rsidRPr="008A0B71">
        <w:t xml:space="preserve"> (Normal and Abnormal)</w:t>
      </w:r>
    </w:p>
    <w:p w:rsidR="00452710" w:rsidRPr="008A0B71" w:rsidRDefault="00452710" w:rsidP="00D60AFA">
      <w:pPr>
        <w:spacing w:after="43"/>
        <w:rPr>
          <w:b/>
          <w:sz w:val="28"/>
          <w:szCs w:val="28"/>
        </w:rPr>
      </w:pPr>
    </w:p>
    <w:p w:rsidR="00D60AFA" w:rsidRPr="008A0B71" w:rsidRDefault="00AE6F5B" w:rsidP="00D60AFA">
      <w:pPr>
        <w:spacing w:after="43"/>
        <w:rPr>
          <w:i/>
          <w:color w:val="FF0000"/>
          <w:szCs w:val="15"/>
        </w:rPr>
      </w:pPr>
      <w:r w:rsidRPr="008A0B71">
        <w:rPr>
          <w:b/>
          <w:sz w:val="28"/>
          <w:szCs w:val="28"/>
        </w:rPr>
        <w:t>Calibration</w:t>
      </w:r>
      <w:r w:rsidR="00D60AFA" w:rsidRPr="008A0B71">
        <w:rPr>
          <w:b/>
          <w:sz w:val="28"/>
          <w:szCs w:val="28"/>
        </w:rPr>
        <w:t xml:space="preserve"> </w:t>
      </w:r>
    </w:p>
    <w:p w:rsidR="00AE6F5B" w:rsidRPr="008A0B71" w:rsidRDefault="00AE6F5B" w:rsidP="00AE6F5B">
      <w:pPr>
        <w:rPr>
          <w:b/>
          <w:sz w:val="28"/>
          <w:szCs w:val="28"/>
        </w:rPr>
      </w:pPr>
    </w:p>
    <w:p w:rsidR="00644800" w:rsidRPr="008A0B71" w:rsidRDefault="00644800" w:rsidP="00644800">
      <w:pPr>
        <w:ind w:firstLine="720"/>
        <w:rPr>
          <w:b/>
        </w:rPr>
      </w:pPr>
      <w:r w:rsidRPr="008A0B71">
        <w:rPr>
          <w:b/>
        </w:rPr>
        <w:t xml:space="preserve">Frequency:  </w:t>
      </w:r>
    </w:p>
    <w:p w:rsidR="00CC3D62" w:rsidRPr="008A0B71" w:rsidRDefault="00E4787B" w:rsidP="00E4787B">
      <w:pPr>
        <w:autoSpaceDE w:val="0"/>
        <w:autoSpaceDN w:val="0"/>
        <w:adjustRightInd w:val="0"/>
        <w:ind w:left="720"/>
        <w:rPr>
          <w:sz w:val="16"/>
          <w:szCs w:val="16"/>
        </w:rPr>
      </w:pPr>
      <w:r w:rsidRPr="008A0B71">
        <w:t xml:space="preserve">Calibration is stable for </w:t>
      </w:r>
      <w:r w:rsidR="009A32AB" w:rsidRPr="008A0B71">
        <w:t>8</w:t>
      </w:r>
      <w:r w:rsidRPr="008A0B71">
        <w:t xml:space="preserve"> days (</w:t>
      </w:r>
      <w:r w:rsidR="009A32AB" w:rsidRPr="008A0B71">
        <w:t>192</w:t>
      </w:r>
      <w:r w:rsidRPr="008A0B71">
        <w:t xml:space="preserve"> hours)</w:t>
      </w:r>
      <w:r w:rsidR="00AF597C" w:rsidRPr="008A0B71">
        <w:t xml:space="preserve"> for any one lot.</w:t>
      </w:r>
      <w:r w:rsidRPr="008A0B71">
        <w:t xml:space="preserve"> </w:t>
      </w:r>
    </w:p>
    <w:p w:rsidR="0055619E" w:rsidRPr="008A0B71" w:rsidRDefault="0055619E" w:rsidP="00CC3D62">
      <w:pPr>
        <w:autoSpaceDE w:val="0"/>
        <w:autoSpaceDN w:val="0"/>
        <w:adjustRightInd w:val="0"/>
        <w:ind w:left="720"/>
        <w:rPr>
          <w:b/>
          <w:highlight w:val="cyan"/>
        </w:rPr>
      </w:pPr>
    </w:p>
    <w:p w:rsidR="00CC3D62" w:rsidRPr="008A0B71" w:rsidRDefault="00CC3D62" w:rsidP="00CC3D62">
      <w:pPr>
        <w:autoSpaceDE w:val="0"/>
        <w:autoSpaceDN w:val="0"/>
        <w:adjustRightInd w:val="0"/>
        <w:ind w:left="720"/>
        <w:rPr>
          <w:b/>
        </w:rPr>
      </w:pPr>
      <w:r w:rsidRPr="008A0B71">
        <w:rPr>
          <w:b/>
        </w:rPr>
        <w:t>A new calibration is required:</w:t>
      </w:r>
    </w:p>
    <w:p w:rsidR="00CC3D62" w:rsidRPr="008A0B71" w:rsidRDefault="00CC3D62" w:rsidP="00CC3D62">
      <w:pPr>
        <w:autoSpaceDE w:val="0"/>
        <w:autoSpaceDN w:val="0"/>
        <w:adjustRightInd w:val="0"/>
        <w:ind w:left="720"/>
        <w:rPr>
          <w:b/>
        </w:rPr>
      </w:pPr>
    </w:p>
    <w:p w:rsidR="0056023B" w:rsidRPr="008A0B71" w:rsidRDefault="0056023B" w:rsidP="0056023B">
      <w:pPr>
        <w:numPr>
          <w:ilvl w:val="0"/>
          <w:numId w:val="5"/>
        </w:numPr>
        <w:autoSpaceDE w:val="0"/>
        <w:autoSpaceDN w:val="0"/>
        <w:adjustRightInd w:val="0"/>
      </w:pPr>
      <w:r w:rsidRPr="008A0B71">
        <w:rPr>
          <w:rFonts w:eastAsia="HelenPro-Regular"/>
        </w:rPr>
        <w:t>If quality control results do not meet acceptance criteria defined by your</w:t>
      </w:r>
      <w:r w:rsidRPr="008A0B71">
        <w:t xml:space="preserve"> </w:t>
      </w:r>
      <w:r w:rsidRPr="008A0B71">
        <w:rPr>
          <w:rFonts w:eastAsia="HelenPro-Regular"/>
        </w:rPr>
        <w:t>laboratory, patient values may be suspect. Follow the established quality</w:t>
      </w:r>
      <w:r w:rsidRPr="008A0B71">
        <w:t xml:space="preserve"> </w:t>
      </w:r>
      <w:r w:rsidRPr="008A0B71">
        <w:rPr>
          <w:rFonts w:eastAsia="HelenPro-Regular"/>
        </w:rPr>
        <w:t>control procedures for your laboratory. Recalibration may be necessary.</w:t>
      </w:r>
    </w:p>
    <w:p w:rsidR="00CC3D62" w:rsidRPr="008A0B71" w:rsidRDefault="0056023B" w:rsidP="00912FE4">
      <w:pPr>
        <w:numPr>
          <w:ilvl w:val="0"/>
          <w:numId w:val="5"/>
        </w:numPr>
        <w:autoSpaceDE w:val="0"/>
        <w:autoSpaceDN w:val="0"/>
        <w:adjustRightInd w:val="0"/>
      </w:pPr>
      <w:r w:rsidRPr="008A0B71">
        <w:rPr>
          <w:rFonts w:eastAsia="HelenPro-Regular"/>
        </w:rPr>
        <w:t>Review quality control results and acceptance criteria following a</w:t>
      </w:r>
      <w:r w:rsidR="00912FE4" w:rsidRPr="008A0B71">
        <w:t xml:space="preserve"> </w:t>
      </w:r>
      <w:r w:rsidRPr="008A0B71">
        <w:rPr>
          <w:rFonts w:eastAsia="HelenPro-Regular"/>
        </w:rPr>
        <w:t>change of reagent or calibrator lot.</w:t>
      </w:r>
    </w:p>
    <w:p w:rsidR="00CC3D62" w:rsidRPr="008A0B71" w:rsidRDefault="00CC3D62" w:rsidP="00E4787B">
      <w:pPr>
        <w:autoSpaceDE w:val="0"/>
        <w:autoSpaceDN w:val="0"/>
        <w:adjustRightInd w:val="0"/>
        <w:ind w:left="720"/>
      </w:pPr>
    </w:p>
    <w:p w:rsidR="004F5F8A" w:rsidRPr="008A0B71" w:rsidRDefault="0025031C" w:rsidP="004F5F8A">
      <w:pPr>
        <w:ind w:left="720"/>
        <w:rPr>
          <w:b/>
        </w:rPr>
      </w:pPr>
      <w:r w:rsidRPr="008A0B71">
        <w:rPr>
          <w:b/>
        </w:rPr>
        <w:t>Calibration Procedure:</w:t>
      </w:r>
      <w:r w:rsidR="0006502B" w:rsidRPr="008A0B71">
        <w:rPr>
          <w:b/>
        </w:rPr>
        <w:t xml:space="preserve"> </w:t>
      </w:r>
    </w:p>
    <w:p w:rsidR="00180A92" w:rsidRPr="008A0B71" w:rsidRDefault="00180A92" w:rsidP="00180A92">
      <w:pPr>
        <w:autoSpaceDE w:val="0"/>
        <w:autoSpaceDN w:val="0"/>
        <w:adjustRightInd w:val="0"/>
        <w:ind w:left="720"/>
        <w:rPr>
          <w:rFonts w:eastAsia="HelenPro-Regular"/>
        </w:rPr>
      </w:pPr>
      <w:r w:rsidRPr="008A0B71">
        <w:rPr>
          <w:rFonts w:eastAsia="HelenPro-Regular"/>
        </w:rPr>
        <w:t>Calibration is stable for approximately 8 days (192 hours), but is required with each change in reagent lot. Verify calibration with at least two levels of controls according to the established quality control requirements for your laboratory. If control results fall outside</w:t>
      </w:r>
    </w:p>
    <w:p w:rsidR="00180A92" w:rsidRPr="008A0B71" w:rsidRDefault="00180A92" w:rsidP="00180A92">
      <w:pPr>
        <w:autoSpaceDE w:val="0"/>
        <w:autoSpaceDN w:val="0"/>
        <w:adjustRightInd w:val="0"/>
        <w:ind w:left="720"/>
        <w:rPr>
          <w:rFonts w:eastAsia="HelenPro-Regular"/>
        </w:rPr>
      </w:pPr>
      <w:r w:rsidRPr="008A0B71">
        <w:rPr>
          <w:rFonts w:eastAsia="HelenPro-Regular"/>
        </w:rPr>
        <w:t>acceptable ranges, recalibration may be necessary.</w:t>
      </w:r>
    </w:p>
    <w:p w:rsidR="00AF597C" w:rsidRPr="008A0B71" w:rsidRDefault="00180A92" w:rsidP="00180A92">
      <w:pPr>
        <w:autoSpaceDE w:val="0"/>
        <w:autoSpaceDN w:val="0"/>
        <w:adjustRightInd w:val="0"/>
        <w:ind w:left="720"/>
        <w:rPr>
          <w:rFonts w:eastAsia="HelenPro-Regular"/>
        </w:rPr>
      </w:pPr>
      <w:r w:rsidRPr="008A0B71">
        <w:rPr>
          <w:rFonts w:eastAsia="HelenPro-Regular"/>
        </w:rPr>
        <w:t>A calibration factor must be entered on the Configure assay parameters window, Calibration view.</w:t>
      </w:r>
    </w:p>
    <w:p w:rsidR="00180A92" w:rsidRPr="008A0B71" w:rsidRDefault="00180A92" w:rsidP="00180A92">
      <w:pPr>
        <w:autoSpaceDE w:val="0"/>
        <w:autoSpaceDN w:val="0"/>
        <w:adjustRightInd w:val="0"/>
        <w:ind w:left="720"/>
        <w:rPr>
          <w:rFonts w:eastAsia="HelenPro-Regular"/>
        </w:rPr>
      </w:pPr>
      <w:r w:rsidRPr="008A0B71">
        <w:rPr>
          <w:rFonts w:eastAsia="HelenPro-Regular"/>
        </w:rPr>
        <w:t>An optional IFCC (International Federation of Clinical Chemistry) factor is provided. See note in Assay Parameters. The IFCC factor provides traceability of serum and plasma sample results to the IFCC reference method.</w:t>
      </w:r>
    </w:p>
    <w:p w:rsidR="00AF597C" w:rsidRPr="008A0B71" w:rsidRDefault="0055619E" w:rsidP="00AF597C">
      <w:pPr>
        <w:ind w:left="720"/>
        <w:rPr>
          <w:bCs/>
          <w:highlight w:val="cyan"/>
        </w:rPr>
      </w:pPr>
      <w:r w:rsidRPr="008A0B71">
        <w:rPr>
          <w:bCs/>
        </w:rPr>
        <w:t>See ARCHITECT Operations Manual for further calibration troubleshooting.</w:t>
      </w:r>
    </w:p>
    <w:p w:rsidR="0055619E" w:rsidRPr="008A0B71" w:rsidRDefault="0055619E" w:rsidP="004F5F8A">
      <w:pPr>
        <w:ind w:left="720"/>
      </w:pPr>
    </w:p>
    <w:p w:rsidR="00912FE4" w:rsidRPr="008A0B71" w:rsidRDefault="00912FE4" w:rsidP="0025031C">
      <w:pPr>
        <w:rPr>
          <w:b/>
          <w:sz w:val="28"/>
          <w:szCs w:val="28"/>
        </w:rPr>
      </w:pPr>
    </w:p>
    <w:p w:rsidR="00D60AFA" w:rsidRPr="008A0B71" w:rsidRDefault="0025031C" w:rsidP="00D60AFA">
      <w:pPr>
        <w:spacing w:after="43"/>
        <w:rPr>
          <w:i/>
          <w:color w:val="FF0000"/>
          <w:szCs w:val="15"/>
        </w:rPr>
      </w:pPr>
      <w:r w:rsidRPr="008A0B71">
        <w:rPr>
          <w:b/>
          <w:sz w:val="28"/>
          <w:szCs w:val="28"/>
        </w:rPr>
        <w:t>Quality Control:</w:t>
      </w:r>
      <w:r w:rsidR="00D60AFA" w:rsidRPr="008A0B71">
        <w:rPr>
          <w:b/>
          <w:sz w:val="28"/>
          <w:szCs w:val="28"/>
        </w:rPr>
        <w:t xml:space="preserve"> </w:t>
      </w:r>
    </w:p>
    <w:p w:rsidR="00180A92" w:rsidRPr="008A0B71" w:rsidRDefault="00180A92" w:rsidP="00180A92">
      <w:pPr>
        <w:autoSpaceDE w:val="0"/>
        <w:autoSpaceDN w:val="0"/>
        <w:adjustRightInd w:val="0"/>
        <w:rPr>
          <w:rFonts w:eastAsia="HelenPro-Regular"/>
        </w:rPr>
      </w:pPr>
      <w:r w:rsidRPr="008A0B71">
        <w:rPr>
          <w:rFonts w:eastAsia="HelenPro-Regular"/>
        </w:rPr>
        <w:t>Abbott Recommends:</w:t>
      </w:r>
    </w:p>
    <w:p w:rsidR="00180A92" w:rsidRPr="008A0B71" w:rsidRDefault="00180A92" w:rsidP="00180A92">
      <w:pPr>
        <w:autoSpaceDE w:val="0"/>
        <w:autoSpaceDN w:val="0"/>
        <w:adjustRightInd w:val="0"/>
        <w:ind w:left="720"/>
        <w:rPr>
          <w:rFonts w:eastAsia="HelenPro-Regular"/>
        </w:rPr>
      </w:pPr>
      <w:r w:rsidRPr="008A0B71">
        <w:rPr>
          <w:rFonts w:eastAsia="HelenPro-Bold"/>
          <w:b/>
          <w:bCs/>
        </w:rPr>
        <w:t xml:space="preserve">• </w:t>
      </w:r>
      <w:r w:rsidRPr="008A0B71">
        <w:rPr>
          <w:rFonts w:eastAsia="HelenPro-Regular"/>
        </w:rPr>
        <w:t>Two levels of controls normal and abnormal are to be run every 24 hours.</w:t>
      </w:r>
    </w:p>
    <w:p w:rsidR="00180A92" w:rsidRPr="008A0B71" w:rsidRDefault="00180A92" w:rsidP="00180A92">
      <w:pPr>
        <w:autoSpaceDE w:val="0"/>
        <w:autoSpaceDN w:val="0"/>
        <w:adjustRightInd w:val="0"/>
        <w:ind w:left="720"/>
        <w:rPr>
          <w:rFonts w:eastAsia="HelenPro-Regular"/>
        </w:rPr>
      </w:pPr>
      <w:r w:rsidRPr="008A0B71">
        <w:rPr>
          <w:rFonts w:eastAsia="HelenPro-Bold"/>
          <w:b/>
          <w:bCs/>
        </w:rPr>
        <w:t xml:space="preserve">• </w:t>
      </w:r>
      <w:r w:rsidRPr="008A0B71">
        <w:rPr>
          <w:rFonts w:eastAsia="HelenPro-Regular"/>
        </w:rPr>
        <w:t>If more frequent control monitoring is required, follow the established quality control procedures for your laboratory.</w:t>
      </w:r>
    </w:p>
    <w:p w:rsidR="00180A92" w:rsidRPr="008A0B71" w:rsidRDefault="00180A92" w:rsidP="00180A92">
      <w:pPr>
        <w:autoSpaceDE w:val="0"/>
        <w:autoSpaceDN w:val="0"/>
        <w:adjustRightInd w:val="0"/>
        <w:ind w:left="720"/>
        <w:rPr>
          <w:rFonts w:eastAsia="HelenPro-Regular"/>
        </w:rPr>
      </w:pPr>
      <w:r w:rsidRPr="008A0B71">
        <w:rPr>
          <w:rFonts w:eastAsia="HelenPro-Bold"/>
          <w:b/>
          <w:bCs/>
        </w:rPr>
        <w:t xml:space="preserve">• </w:t>
      </w:r>
      <w:r w:rsidRPr="008A0B71">
        <w:rPr>
          <w:rFonts w:eastAsia="HelenPro-Regular"/>
        </w:rPr>
        <w:t>If quality control results do not meet the acceptance criteria defined by your laboratory, patient values may be suspect. Follow the established quality control procedures for your laboratory. Recalibration may be necessary.</w:t>
      </w:r>
    </w:p>
    <w:p w:rsidR="00973EAF" w:rsidRPr="008A0B71" w:rsidRDefault="00180A92" w:rsidP="00180A92">
      <w:pPr>
        <w:autoSpaceDE w:val="0"/>
        <w:autoSpaceDN w:val="0"/>
        <w:adjustRightInd w:val="0"/>
        <w:ind w:left="720"/>
        <w:rPr>
          <w:rFonts w:eastAsia="HelenPro-Regular"/>
        </w:rPr>
      </w:pPr>
      <w:r w:rsidRPr="008A0B71">
        <w:rPr>
          <w:rFonts w:eastAsia="HelenPro-Bold"/>
          <w:b/>
          <w:bCs/>
        </w:rPr>
        <w:t xml:space="preserve">• </w:t>
      </w:r>
      <w:r w:rsidRPr="008A0B71">
        <w:rPr>
          <w:rFonts w:eastAsia="HelenPro-Regular"/>
        </w:rPr>
        <w:t>Review quality control results and acceptance criteria following a change of reagent or calibrator lot.</w:t>
      </w:r>
    </w:p>
    <w:p w:rsidR="00F3700B" w:rsidRPr="008A0B71" w:rsidRDefault="00F3700B" w:rsidP="00F66836">
      <w:pPr>
        <w:rPr>
          <w:b/>
          <w:sz w:val="28"/>
          <w:szCs w:val="28"/>
        </w:rPr>
      </w:pPr>
    </w:p>
    <w:p w:rsidR="00F66836" w:rsidRPr="008A0B71" w:rsidRDefault="00F66836" w:rsidP="00F66836">
      <w:pPr>
        <w:rPr>
          <w:b/>
          <w:sz w:val="28"/>
          <w:szCs w:val="28"/>
        </w:rPr>
      </w:pPr>
      <w:r w:rsidRPr="008A0B71">
        <w:rPr>
          <w:b/>
          <w:sz w:val="28"/>
          <w:szCs w:val="28"/>
        </w:rPr>
        <w:t>Procedure</w:t>
      </w:r>
      <w:r w:rsidR="006D40ED" w:rsidRPr="008A0B71">
        <w:rPr>
          <w:b/>
          <w:sz w:val="28"/>
          <w:szCs w:val="28"/>
        </w:rPr>
        <w:t xml:space="preserve"> </w:t>
      </w:r>
    </w:p>
    <w:p w:rsidR="00B36577" w:rsidRPr="008A0B71" w:rsidRDefault="00A554D4" w:rsidP="002C7FD5">
      <w:pPr>
        <w:rPr>
          <w:rFonts w:eastAsia="HelenPro-Regular"/>
        </w:rPr>
      </w:pPr>
      <w:r w:rsidRPr="008A0B71">
        <w:rPr>
          <w:rFonts w:eastAsia="HelenPro-Regular"/>
        </w:rPr>
        <w:t xml:space="preserve">For a detailed description of how to run an assay, refer to </w:t>
      </w:r>
      <w:r w:rsidRPr="008A0B71">
        <w:rPr>
          <w:i/>
          <w:iCs/>
        </w:rPr>
        <w:t xml:space="preserve">Section 5 </w:t>
      </w:r>
      <w:r w:rsidRPr="008A0B71">
        <w:rPr>
          <w:rFonts w:eastAsia="HelenPro-Regular"/>
        </w:rPr>
        <w:t xml:space="preserve">of the </w:t>
      </w:r>
      <w:r w:rsidRPr="008A0B71">
        <w:rPr>
          <w:b/>
          <w:bCs/>
        </w:rPr>
        <w:t>ARCHITECT System Operations Manual</w:t>
      </w:r>
      <w:r w:rsidRPr="008A0B71">
        <w:rPr>
          <w:rFonts w:eastAsia="HelenPro-Regular"/>
        </w:rPr>
        <w:t>.</w:t>
      </w:r>
    </w:p>
    <w:p w:rsidR="00FE48B3" w:rsidRPr="008A0B71" w:rsidRDefault="00FE48B3" w:rsidP="002C7FD5">
      <w:pPr>
        <w:rPr>
          <w:rFonts w:eastAsia="HelenPro-Regular"/>
        </w:rPr>
      </w:pPr>
    </w:p>
    <w:p w:rsidR="00FE48B3" w:rsidRPr="008A0B71" w:rsidRDefault="00FE48B3" w:rsidP="00FE48B3">
      <w:pPr>
        <w:autoSpaceDE w:val="0"/>
        <w:autoSpaceDN w:val="0"/>
        <w:adjustRightInd w:val="0"/>
        <w:rPr>
          <w:rFonts w:eastAsia="HelenPro-Regular"/>
        </w:rPr>
      </w:pPr>
      <w:r w:rsidRPr="008A0B71">
        <w:rPr>
          <w:rFonts w:eastAsia="HelenPro-Regular"/>
        </w:rPr>
        <w:lastRenderedPageBreak/>
        <w:t xml:space="preserve">The Alkaline Phosphatase assay file must be installed on the ARCHITECT </w:t>
      </w:r>
      <w:proofErr w:type="spellStart"/>
      <w:r w:rsidRPr="008A0B71">
        <w:rPr>
          <w:rFonts w:eastAsia="HelenPro-Regular"/>
        </w:rPr>
        <w:t>cSystem</w:t>
      </w:r>
      <w:proofErr w:type="spellEnd"/>
      <w:r w:rsidRPr="008A0B71">
        <w:rPr>
          <w:rFonts w:eastAsia="HelenPro-Regular"/>
        </w:rPr>
        <w:t xml:space="preserve"> prior to performing the assay.</w:t>
      </w:r>
    </w:p>
    <w:p w:rsidR="00FE48B3" w:rsidRPr="008A0B71" w:rsidRDefault="00FE48B3" w:rsidP="00FE48B3">
      <w:pPr>
        <w:autoSpaceDE w:val="0"/>
        <w:autoSpaceDN w:val="0"/>
        <w:adjustRightInd w:val="0"/>
        <w:rPr>
          <w:rFonts w:eastAsia="HelenPro-Regular"/>
        </w:rPr>
      </w:pPr>
      <w:r w:rsidRPr="008A0B71">
        <w:rPr>
          <w:rFonts w:eastAsia="HelenPro-Regular"/>
        </w:rPr>
        <w:t>For detailed information on assay file installation and viewing and editing assay parameters, refer to the ARCHITECT System Operations Manual, Section 2.</w:t>
      </w:r>
    </w:p>
    <w:p w:rsidR="00FE48B3" w:rsidRPr="008A0B71" w:rsidRDefault="00FE48B3" w:rsidP="00FE48B3">
      <w:pPr>
        <w:autoSpaceDE w:val="0"/>
        <w:autoSpaceDN w:val="0"/>
        <w:adjustRightInd w:val="0"/>
        <w:rPr>
          <w:rFonts w:eastAsia="HelenPro-Regular"/>
        </w:rPr>
      </w:pPr>
      <w:r w:rsidRPr="008A0B71">
        <w:rPr>
          <w:rFonts w:eastAsia="HelenPro-Regular"/>
        </w:rPr>
        <w:t>For information on printing assay parameters or for a detailed description of system procedures, refer to the ARCHITECT System Operations Manual, Section 5</w:t>
      </w:r>
      <w:r w:rsidRPr="008A0B71">
        <w:rPr>
          <w:rFonts w:eastAsia="HelenPro-Regular"/>
          <w:sz w:val="17"/>
          <w:szCs w:val="17"/>
        </w:rPr>
        <w:t>.</w:t>
      </w:r>
    </w:p>
    <w:p w:rsidR="00452710" w:rsidRPr="008A0B71" w:rsidRDefault="00452710" w:rsidP="00F3700B">
      <w:pPr>
        <w:rPr>
          <w:b/>
          <w:sz w:val="28"/>
          <w:szCs w:val="28"/>
        </w:rPr>
      </w:pPr>
    </w:p>
    <w:p w:rsidR="006D40ED" w:rsidRPr="008A0B71" w:rsidRDefault="00132081" w:rsidP="00F3700B">
      <w:pPr>
        <w:rPr>
          <w:i/>
          <w:color w:val="FF0000"/>
          <w:sz w:val="28"/>
          <w:szCs w:val="28"/>
        </w:rPr>
      </w:pPr>
      <w:r w:rsidRPr="008A0B71">
        <w:rPr>
          <w:b/>
          <w:sz w:val="28"/>
          <w:szCs w:val="28"/>
        </w:rPr>
        <w:t>Calculations</w:t>
      </w:r>
      <w:r w:rsidR="00D60AFA" w:rsidRPr="008A0B71">
        <w:rPr>
          <w:b/>
          <w:sz w:val="28"/>
          <w:szCs w:val="28"/>
        </w:rPr>
        <w:t xml:space="preserve"> </w:t>
      </w:r>
    </w:p>
    <w:p w:rsidR="00A554D4" w:rsidRPr="008A0B71" w:rsidRDefault="00A554D4" w:rsidP="00AB793D">
      <w:pPr>
        <w:rPr>
          <w:rFonts w:eastAsia="HelenPro-Regular"/>
        </w:rPr>
      </w:pPr>
      <w:r w:rsidRPr="008A0B71">
        <w:rPr>
          <w:rFonts w:eastAsia="HelenPro-Regular"/>
        </w:rPr>
        <w:t xml:space="preserve">Refer to </w:t>
      </w:r>
      <w:r w:rsidRPr="008A0B71">
        <w:rPr>
          <w:rFonts w:eastAsia="HelenPro-Regular"/>
          <w:i/>
          <w:iCs/>
        </w:rPr>
        <w:t xml:space="preserve">Appendix C </w:t>
      </w:r>
      <w:r w:rsidRPr="008A0B71">
        <w:rPr>
          <w:rFonts w:eastAsia="HelenPro-Regular"/>
        </w:rPr>
        <w:t xml:space="preserve">of the </w:t>
      </w:r>
      <w:r w:rsidRPr="008A0B71">
        <w:rPr>
          <w:rFonts w:eastAsia="HelenPro-Regular"/>
          <w:b/>
          <w:bCs/>
        </w:rPr>
        <w:t xml:space="preserve">ARCHITECT System Operations Manual </w:t>
      </w:r>
      <w:r w:rsidRPr="008A0B71">
        <w:rPr>
          <w:rFonts w:eastAsia="HelenPro-Regular"/>
        </w:rPr>
        <w:t>for</w:t>
      </w:r>
      <w:r w:rsidR="00D64E39" w:rsidRPr="008A0B71">
        <w:rPr>
          <w:rFonts w:eastAsia="HelenPro-Regular"/>
        </w:rPr>
        <w:t xml:space="preserve"> </w:t>
      </w:r>
      <w:r w:rsidRPr="008A0B71">
        <w:rPr>
          <w:rFonts w:eastAsia="HelenPro-Regular"/>
        </w:rPr>
        <w:t>information on results calculations.</w:t>
      </w:r>
    </w:p>
    <w:p w:rsidR="00F92520" w:rsidRPr="008A0B71" w:rsidRDefault="00F92520" w:rsidP="00A554D4">
      <w:pPr>
        <w:ind w:left="1530"/>
        <w:rPr>
          <w:rFonts w:eastAsia="HelenPro-Regular"/>
        </w:rPr>
      </w:pPr>
    </w:p>
    <w:p w:rsidR="000A090B" w:rsidRPr="008A0B71" w:rsidRDefault="00132081" w:rsidP="000A090B">
      <w:pPr>
        <w:jc w:val="both"/>
        <w:rPr>
          <w:sz w:val="28"/>
          <w:szCs w:val="28"/>
        </w:rPr>
      </w:pPr>
      <w:r w:rsidRPr="008A0B71">
        <w:rPr>
          <w:b/>
          <w:sz w:val="28"/>
          <w:szCs w:val="28"/>
        </w:rPr>
        <w:t>Reporting Results</w:t>
      </w:r>
      <w:r w:rsidR="000A090B" w:rsidRPr="008A0B71">
        <w:rPr>
          <w:sz w:val="28"/>
          <w:szCs w:val="28"/>
        </w:rPr>
        <w:t xml:space="preserve"> </w:t>
      </w:r>
    </w:p>
    <w:p w:rsidR="00180A92" w:rsidRPr="008A0B71" w:rsidRDefault="00180A92" w:rsidP="00180A92">
      <w:pPr>
        <w:autoSpaceDE w:val="0"/>
        <w:autoSpaceDN w:val="0"/>
        <w:adjustRightInd w:val="0"/>
        <w:rPr>
          <w:rFonts w:eastAsia="HelenPro-Regular"/>
        </w:rPr>
      </w:pPr>
      <w:r w:rsidRPr="008A0B71">
        <w:rPr>
          <w:rFonts w:eastAsia="HelenPro-Regular"/>
        </w:rPr>
        <w:t>The Conventional result unit for the Alkaline Phosphatase assay is U/L. The corresponding SI result unit is U/L.</w:t>
      </w:r>
    </w:p>
    <w:p w:rsidR="00D64E39" w:rsidRPr="008A0B71" w:rsidRDefault="00180A92" w:rsidP="00180A92">
      <w:pPr>
        <w:autoSpaceDE w:val="0"/>
        <w:autoSpaceDN w:val="0"/>
        <w:adjustRightInd w:val="0"/>
        <w:rPr>
          <w:rFonts w:eastAsia="HelenPro-Regular"/>
        </w:rPr>
      </w:pPr>
      <w:r w:rsidRPr="008A0B71">
        <w:rPr>
          <w:rFonts w:eastAsia="HelenPro-Regular"/>
        </w:rPr>
        <w:t>When converting to units other than those listed, refer to the ARCHITECT System Operations Manual, Section 2.</w:t>
      </w:r>
    </w:p>
    <w:p w:rsidR="00FE48B3" w:rsidRPr="008A0B71" w:rsidRDefault="00FE48B3" w:rsidP="00AB793D">
      <w:pPr>
        <w:rPr>
          <w:b/>
          <w:bCs/>
          <w:sz w:val="28"/>
          <w:szCs w:val="28"/>
        </w:rPr>
      </w:pPr>
    </w:p>
    <w:p w:rsidR="00912FE4" w:rsidRPr="008A0B71" w:rsidRDefault="00912FE4" w:rsidP="00AB793D">
      <w:pPr>
        <w:rPr>
          <w:b/>
          <w:bCs/>
          <w:sz w:val="28"/>
          <w:szCs w:val="28"/>
        </w:rPr>
      </w:pPr>
      <w:r w:rsidRPr="008A0B71">
        <w:rPr>
          <w:b/>
          <w:bCs/>
          <w:sz w:val="28"/>
          <w:szCs w:val="28"/>
        </w:rPr>
        <w:t>Specific Performance Characteristics</w:t>
      </w:r>
      <w:r w:rsidR="00D60AFA" w:rsidRPr="008A0B71">
        <w:rPr>
          <w:b/>
          <w:bCs/>
          <w:sz w:val="28"/>
          <w:szCs w:val="28"/>
        </w:rPr>
        <w:t xml:space="preserve"> </w:t>
      </w:r>
    </w:p>
    <w:p w:rsidR="00CE2DC7" w:rsidRPr="008A0B71" w:rsidRDefault="00CE2DC7" w:rsidP="00AB793D">
      <w:pPr>
        <w:rPr>
          <w:b/>
          <w:bCs/>
        </w:rPr>
      </w:pPr>
      <w:r w:rsidRPr="008A0B71">
        <w:rPr>
          <w:b/>
          <w:bCs/>
        </w:rPr>
        <w:t>Reference Ranges</w:t>
      </w:r>
      <w:r w:rsidR="00D60AFA" w:rsidRPr="008A0B71">
        <w:rPr>
          <w:b/>
          <w:bCs/>
        </w:rPr>
        <w:t xml:space="preserve"> </w:t>
      </w:r>
    </w:p>
    <w:p w:rsidR="0055619E" w:rsidRPr="008A0B71" w:rsidRDefault="006D40ED" w:rsidP="006D40ED">
      <w:pPr>
        <w:autoSpaceDE w:val="0"/>
        <w:autoSpaceDN w:val="0"/>
        <w:adjustRightInd w:val="0"/>
        <w:rPr>
          <w:rFonts w:eastAsia="HelenPro-Regular"/>
        </w:rPr>
      </w:pPr>
      <w:r w:rsidRPr="008A0B71">
        <w:rPr>
          <w:rFonts w:eastAsia="HelenPro-Regular"/>
        </w:rPr>
        <w:t xml:space="preserve">It is recommended that each laboratory determine its own reference range based upon its </w:t>
      </w:r>
      <w:r w:rsidR="00180A92" w:rsidRPr="008A0B71">
        <w:rPr>
          <w:rFonts w:eastAsia="HelenPro-Regular"/>
        </w:rPr>
        <w:t>locale</w:t>
      </w:r>
      <w:r w:rsidRPr="008A0B71">
        <w:rPr>
          <w:rFonts w:eastAsia="HelenPro-Regular"/>
        </w:rPr>
        <w:t xml:space="preserve"> and population characteristics.</w:t>
      </w:r>
    </w:p>
    <w:p w:rsidR="006D40ED" w:rsidRPr="008A0B71" w:rsidRDefault="006D40ED" w:rsidP="00AB793D">
      <w:pPr>
        <w:rPr>
          <w:b/>
          <w:bCs/>
        </w:rPr>
      </w:pPr>
    </w:p>
    <w:p w:rsidR="0055619E" w:rsidRPr="008A0B71" w:rsidRDefault="008A0B71" w:rsidP="00AB793D">
      <w:pPr>
        <w:rPr>
          <w:b/>
          <w:bCs/>
        </w:rPr>
      </w:pPr>
      <w:r w:rsidRPr="008A0B71">
        <w:rPr>
          <w:b/>
          <w:bCs/>
        </w:rPr>
        <w:t>Serum/Plasma:</w:t>
      </w:r>
    </w:p>
    <w:p w:rsidR="008A0B71" w:rsidRPr="008A0B71" w:rsidRDefault="008A0B71" w:rsidP="00AB793D">
      <w:pPr>
        <w:rPr>
          <w:bCs/>
        </w:rPr>
      </w:pPr>
      <w:r w:rsidRPr="008A0B71">
        <w:rPr>
          <w:b/>
          <w:bCs/>
        </w:rPr>
        <w:tab/>
      </w:r>
      <w:r w:rsidR="00042881" w:rsidRPr="00042881">
        <w:rPr>
          <w:b/>
          <w:bCs/>
        </w:rPr>
        <w:t>0-14 days</w:t>
      </w:r>
      <w:r w:rsidRPr="00042881">
        <w:rPr>
          <w:b/>
          <w:bCs/>
        </w:rPr>
        <w:t>:</w:t>
      </w:r>
      <w:r w:rsidRPr="008A0B71">
        <w:rPr>
          <w:bCs/>
        </w:rPr>
        <w:tab/>
      </w:r>
      <w:r w:rsidR="00042881">
        <w:rPr>
          <w:bCs/>
        </w:rPr>
        <w:tab/>
      </w:r>
      <w:r w:rsidR="00042881">
        <w:rPr>
          <w:bCs/>
        </w:rPr>
        <w:tab/>
      </w:r>
      <w:r w:rsidRPr="008A0B71">
        <w:rPr>
          <w:bCs/>
        </w:rPr>
        <w:tab/>
        <w:t>83 – 24</w:t>
      </w:r>
      <w:r w:rsidR="00042881">
        <w:rPr>
          <w:bCs/>
        </w:rPr>
        <w:t>8</w:t>
      </w:r>
      <w:r w:rsidRPr="008A0B71">
        <w:rPr>
          <w:bCs/>
        </w:rPr>
        <w:t xml:space="preserve"> U/L</w:t>
      </w:r>
    </w:p>
    <w:p w:rsidR="008A0B71" w:rsidRPr="008A0B71" w:rsidRDefault="008A0B71" w:rsidP="00AB793D">
      <w:pPr>
        <w:rPr>
          <w:bCs/>
        </w:rPr>
      </w:pPr>
      <w:r w:rsidRPr="008A0B71">
        <w:rPr>
          <w:b/>
          <w:bCs/>
        </w:rPr>
        <w:tab/>
      </w:r>
      <w:r w:rsidR="00042881">
        <w:rPr>
          <w:b/>
          <w:bCs/>
        </w:rPr>
        <w:t>15 days to 11</w:t>
      </w:r>
      <w:r w:rsidRPr="008A0B71">
        <w:rPr>
          <w:b/>
          <w:bCs/>
        </w:rPr>
        <w:t xml:space="preserve"> months:</w:t>
      </w:r>
      <w:r w:rsidRPr="008A0B71">
        <w:rPr>
          <w:b/>
          <w:bCs/>
        </w:rPr>
        <w:tab/>
      </w:r>
      <w:r>
        <w:rPr>
          <w:b/>
          <w:bCs/>
        </w:rPr>
        <w:tab/>
      </w:r>
      <w:r w:rsidRPr="008A0B71">
        <w:rPr>
          <w:bCs/>
        </w:rPr>
        <w:t>122 – 469 U/L</w:t>
      </w:r>
    </w:p>
    <w:p w:rsidR="008A0B71" w:rsidRPr="008A0B71" w:rsidRDefault="008A0B71" w:rsidP="00AB793D">
      <w:pPr>
        <w:rPr>
          <w:bCs/>
        </w:rPr>
      </w:pPr>
      <w:r w:rsidRPr="008A0B71">
        <w:rPr>
          <w:b/>
          <w:bCs/>
        </w:rPr>
        <w:tab/>
      </w:r>
    </w:p>
    <w:p w:rsidR="00042881" w:rsidRDefault="008A0B71" w:rsidP="00AB793D">
      <w:pPr>
        <w:rPr>
          <w:b/>
          <w:bCs/>
        </w:rPr>
      </w:pPr>
      <w:r w:rsidRPr="008A0B71">
        <w:rPr>
          <w:b/>
          <w:bCs/>
        </w:rPr>
        <w:tab/>
        <w:t>Male,</w:t>
      </w:r>
    </w:p>
    <w:p w:rsidR="00042881" w:rsidRPr="00042881" w:rsidRDefault="00042881" w:rsidP="00042881">
      <w:pPr>
        <w:ind w:firstLine="720"/>
        <w:rPr>
          <w:bCs/>
        </w:rPr>
      </w:pPr>
      <w:r w:rsidRPr="00042881">
        <w:rPr>
          <w:bCs/>
        </w:rPr>
        <w:t>1 to 12 years</w:t>
      </w:r>
      <w:r w:rsidR="008A0B71" w:rsidRPr="00042881">
        <w:rPr>
          <w:bCs/>
        </w:rPr>
        <w:t>:</w:t>
      </w:r>
      <w:r w:rsidRPr="00042881">
        <w:rPr>
          <w:bCs/>
        </w:rPr>
        <w:tab/>
      </w:r>
      <w:r w:rsidR="008A0B71" w:rsidRPr="00042881">
        <w:rPr>
          <w:bCs/>
        </w:rPr>
        <w:tab/>
      </w:r>
      <w:r>
        <w:rPr>
          <w:bCs/>
        </w:rPr>
        <w:tab/>
      </w:r>
      <w:r>
        <w:rPr>
          <w:bCs/>
        </w:rPr>
        <w:tab/>
      </w:r>
      <w:r w:rsidRPr="00042881">
        <w:rPr>
          <w:bCs/>
        </w:rPr>
        <w:t xml:space="preserve">&lt;500 </w:t>
      </w:r>
      <w:r w:rsidRPr="00042881">
        <w:rPr>
          <w:bCs/>
        </w:rPr>
        <w:t>U/L</w:t>
      </w:r>
      <w:r w:rsidRPr="00042881">
        <w:rPr>
          <w:bCs/>
        </w:rPr>
        <w:t xml:space="preserve"> </w:t>
      </w:r>
    </w:p>
    <w:p w:rsidR="008A0B71" w:rsidRDefault="00042881" w:rsidP="00042881">
      <w:pPr>
        <w:ind w:firstLine="720"/>
        <w:rPr>
          <w:bCs/>
        </w:rPr>
      </w:pPr>
      <w:r>
        <w:rPr>
          <w:bCs/>
        </w:rPr>
        <w:t xml:space="preserve">12 to 15 years:           </w:t>
      </w:r>
      <w:r>
        <w:rPr>
          <w:bCs/>
        </w:rPr>
        <w:tab/>
      </w:r>
      <w:r>
        <w:rPr>
          <w:bCs/>
        </w:rPr>
        <w:tab/>
      </w:r>
      <w:r>
        <w:rPr>
          <w:bCs/>
        </w:rPr>
        <w:tab/>
      </w:r>
      <w:r w:rsidR="008A0B71" w:rsidRPr="008A0B71">
        <w:rPr>
          <w:bCs/>
        </w:rPr>
        <w:t>&lt;750 U/L</w:t>
      </w:r>
    </w:p>
    <w:p w:rsidR="00042881" w:rsidRDefault="00042881" w:rsidP="00042881">
      <w:pPr>
        <w:rPr>
          <w:bCs/>
        </w:rPr>
      </w:pPr>
      <w:r>
        <w:rPr>
          <w:bCs/>
        </w:rPr>
        <w:tab/>
        <w:t>&gt;20 years</w:t>
      </w:r>
      <w:r>
        <w:rPr>
          <w:bCs/>
        </w:rPr>
        <w:tab/>
      </w:r>
      <w:r>
        <w:rPr>
          <w:bCs/>
        </w:rPr>
        <w:tab/>
      </w:r>
      <w:r>
        <w:rPr>
          <w:bCs/>
        </w:rPr>
        <w:tab/>
      </w:r>
      <w:r>
        <w:rPr>
          <w:bCs/>
        </w:rPr>
        <w:tab/>
        <w:t xml:space="preserve">40-150 </w:t>
      </w:r>
      <w:r w:rsidRPr="008A0B71">
        <w:rPr>
          <w:bCs/>
        </w:rPr>
        <w:t>U/L</w:t>
      </w:r>
    </w:p>
    <w:p w:rsidR="00042881" w:rsidRPr="00042881" w:rsidRDefault="00042881" w:rsidP="00042881">
      <w:pPr>
        <w:ind w:firstLine="720"/>
        <w:rPr>
          <w:b/>
          <w:bCs/>
        </w:rPr>
      </w:pPr>
      <w:r w:rsidRPr="00042881">
        <w:rPr>
          <w:b/>
          <w:bCs/>
        </w:rPr>
        <w:t>Female</w:t>
      </w:r>
    </w:p>
    <w:p w:rsidR="00042881" w:rsidRDefault="00042881" w:rsidP="00042881">
      <w:pPr>
        <w:ind w:firstLine="720"/>
        <w:rPr>
          <w:bCs/>
        </w:rPr>
      </w:pPr>
      <w:r>
        <w:rPr>
          <w:bCs/>
        </w:rPr>
        <w:t>1 to 12 years:</w:t>
      </w:r>
      <w:bookmarkStart w:id="0" w:name="_GoBack"/>
      <w:bookmarkEnd w:id="0"/>
      <w:r>
        <w:rPr>
          <w:bCs/>
        </w:rPr>
        <w:t xml:space="preserve"> </w:t>
      </w:r>
      <w:r>
        <w:rPr>
          <w:bCs/>
        </w:rPr>
        <w:tab/>
      </w:r>
      <w:r>
        <w:rPr>
          <w:bCs/>
        </w:rPr>
        <w:tab/>
      </w:r>
      <w:r>
        <w:rPr>
          <w:bCs/>
        </w:rPr>
        <w:tab/>
      </w:r>
      <w:r>
        <w:rPr>
          <w:bCs/>
        </w:rPr>
        <w:tab/>
        <w:t xml:space="preserve">&lt;500 </w:t>
      </w:r>
      <w:r w:rsidRPr="008A0B71">
        <w:rPr>
          <w:bCs/>
        </w:rPr>
        <w:t>U/L</w:t>
      </w:r>
    </w:p>
    <w:p w:rsidR="008A0B71" w:rsidRPr="008A0B71" w:rsidRDefault="00042881" w:rsidP="00042881">
      <w:pPr>
        <w:ind w:firstLine="720"/>
        <w:rPr>
          <w:bCs/>
        </w:rPr>
      </w:pPr>
      <w:r>
        <w:rPr>
          <w:bCs/>
        </w:rPr>
        <w:t>&gt;15 years</w:t>
      </w:r>
      <w:r w:rsidR="008A0B71" w:rsidRPr="008A0B71">
        <w:rPr>
          <w:b/>
          <w:bCs/>
        </w:rPr>
        <w:t>:</w:t>
      </w:r>
      <w:r w:rsidR="008A0B71" w:rsidRPr="008A0B71">
        <w:rPr>
          <w:b/>
          <w:bCs/>
        </w:rPr>
        <w:tab/>
      </w:r>
      <w:r>
        <w:rPr>
          <w:b/>
          <w:bCs/>
        </w:rPr>
        <w:t xml:space="preserve">          </w:t>
      </w:r>
      <w:r>
        <w:rPr>
          <w:b/>
          <w:bCs/>
        </w:rPr>
        <w:tab/>
      </w:r>
      <w:r>
        <w:rPr>
          <w:b/>
          <w:bCs/>
        </w:rPr>
        <w:tab/>
      </w:r>
      <w:r>
        <w:rPr>
          <w:b/>
          <w:bCs/>
        </w:rPr>
        <w:tab/>
        <w:t xml:space="preserve">   </w:t>
      </w:r>
      <w:r w:rsidR="008A0B71" w:rsidRPr="008A0B71">
        <w:rPr>
          <w:bCs/>
        </w:rPr>
        <w:t>40–150 U/L</w:t>
      </w:r>
    </w:p>
    <w:p w:rsidR="00D64E39" w:rsidRPr="008A0B71" w:rsidRDefault="00D64E39" w:rsidP="00AB793D">
      <w:pPr>
        <w:rPr>
          <w:bCs/>
        </w:rPr>
      </w:pPr>
    </w:p>
    <w:p w:rsidR="00B63E8F" w:rsidRPr="008A0B71" w:rsidRDefault="00B63E8F" w:rsidP="00623EFB">
      <w:pPr>
        <w:ind w:right="720"/>
        <w:jc w:val="both"/>
        <w:rPr>
          <w:b/>
        </w:rPr>
      </w:pPr>
      <w:r w:rsidRPr="008A0B71">
        <w:rPr>
          <w:b/>
        </w:rPr>
        <w:t>Critical Values</w:t>
      </w:r>
      <w:r w:rsidR="008A0B71" w:rsidRPr="008A0B71">
        <w:rPr>
          <w:b/>
        </w:rPr>
        <w:t>: N/A</w:t>
      </w:r>
    </w:p>
    <w:p w:rsidR="0038442D" w:rsidRPr="008A0B71" w:rsidRDefault="0038442D" w:rsidP="00AB793D">
      <w:pPr>
        <w:rPr>
          <w:b/>
          <w:sz w:val="28"/>
          <w:szCs w:val="28"/>
        </w:rPr>
      </w:pPr>
    </w:p>
    <w:p w:rsidR="00D5211B" w:rsidRPr="008A0B71" w:rsidRDefault="005E3D52" w:rsidP="00AB793D">
      <w:pPr>
        <w:rPr>
          <w:i/>
          <w:color w:val="FF0000"/>
          <w:sz w:val="28"/>
          <w:szCs w:val="28"/>
        </w:rPr>
      </w:pPr>
      <w:r w:rsidRPr="008A0B71">
        <w:rPr>
          <w:b/>
          <w:sz w:val="28"/>
          <w:szCs w:val="28"/>
        </w:rPr>
        <w:t>Performance Characteristics</w:t>
      </w:r>
      <w:r w:rsidR="00973EAF" w:rsidRPr="008A0B71">
        <w:rPr>
          <w:b/>
          <w:sz w:val="28"/>
          <w:szCs w:val="28"/>
        </w:rPr>
        <w:t xml:space="preserve"> </w:t>
      </w:r>
    </w:p>
    <w:p w:rsidR="00E36B73" w:rsidRPr="008A0B71" w:rsidRDefault="00E36B73" w:rsidP="00AB793D">
      <w:pPr>
        <w:rPr>
          <w:b/>
          <w:sz w:val="28"/>
          <w:szCs w:val="28"/>
        </w:rPr>
      </w:pPr>
    </w:p>
    <w:p w:rsidR="00953EA1" w:rsidRPr="008A0B71" w:rsidRDefault="00953EA1" w:rsidP="00953EA1">
      <w:pPr>
        <w:autoSpaceDE w:val="0"/>
        <w:autoSpaceDN w:val="0"/>
        <w:adjustRightInd w:val="0"/>
        <w:rPr>
          <w:rFonts w:eastAsia="HelenPro-Bold"/>
          <w:b/>
          <w:bCs/>
        </w:rPr>
      </w:pPr>
      <w:r w:rsidRPr="008A0B71">
        <w:rPr>
          <w:rFonts w:eastAsia="HelenPro-Bold"/>
          <w:b/>
          <w:bCs/>
        </w:rPr>
        <w:t>Linearity</w:t>
      </w:r>
    </w:p>
    <w:p w:rsidR="00180A92" w:rsidRPr="008A0B71" w:rsidRDefault="00180A92" w:rsidP="00180A92">
      <w:pPr>
        <w:autoSpaceDE w:val="0"/>
        <w:autoSpaceDN w:val="0"/>
        <w:adjustRightInd w:val="0"/>
        <w:rPr>
          <w:rFonts w:eastAsia="HelenPro-Regular"/>
        </w:rPr>
      </w:pPr>
      <w:r w:rsidRPr="008A0B71">
        <w:rPr>
          <w:rFonts w:eastAsia="HelenPro-Regular"/>
        </w:rPr>
        <w:t>Alkaline Phosphatase is linear up to 2,200 U/L (2,343 U/L using IFCC factor).</w:t>
      </w:r>
    </w:p>
    <w:p w:rsidR="005E3D52" w:rsidRPr="008A0B71" w:rsidRDefault="00180A92" w:rsidP="00180A92">
      <w:pPr>
        <w:autoSpaceDE w:val="0"/>
        <w:autoSpaceDN w:val="0"/>
        <w:adjustRightInd w:val="0"/>
        <w:rPr>
          <w:rFonts w:eastAsia="HelenPro-Regular"/>
        </w:rPr>
      </w:pPr>
      <w:r w:rsidRPr="008A0B71">
        <w:rPr>
          <w:rFonts w:eastAsia="HelenPro-Regular"/>
        </w:rPr>
        <w:t>Flex Rate Linearity is 4,555 U/L (4,851 U/L using IFCC factor). To use Flex Rate Linearity, the operator must edit the linear high value to 4,555 U/L (4,851 U/L if using IFCC factor) on the Configure assay parameters window, Results view.</w:t>
      </w:r>
    </w:p>
    <w:p w:rsidR="00180A92" w:rsidRPr="008A0B71" w:rsidRDefault="00180A92" w:rsidP="00180A92">
      <w:pPr>
        <w:rPr>
          <w:rFonts w:eastAsia="HelenPro-Bold"/>
          <w:b/>
          <w:bCs/>
        </w:rPr>
      </w:pPr>
    </w:p>
    <w:p w:rsidR="00953EA1" w:rsidRPr="008A0B71" w:rsidRDefault="00953EA1" w:rsidP="00180A92">
      <w:pPr>
        <w:rPr>
          <w:rFonts w:eastAsia="HelenPro-Bold"/>
          <w:b/>
          <w:bCs/>
        </w:rPr>
      </w:pPr>
      <w:r w:rsidRPr="008A0B71">
        <w:rPr>
          <w:rFonts w:eastAsia="HelenPro-Bold"/>
          <w:b/>
          <w:bCs/>
        </w:rPr>
        <w:lastRenderedPageBreak/>
        <w:t>Dilution:</w:t>
      </w:r>
    </w:p>
    <w:p w:rsidR="00180A92" w:rsidRPr="008A0B71" w:rsidRDefault="00180A92" w:rsidP="00180A92">
      <w:pPr>
        <w:autoSpaceDE w:val="0"/>
        <w:autoSpaceDN w:val="0"/>
        <w:adjustRightInd w:val="0"/>
        <w:rPr>
          <w:rFonts w:eastAsia="HelenPro-Regular"/>
        </w:rPr>
      </w:pPr>
      <w:r w:rsidRPr="008A0B71">
        <w:rPr>
          <w:rFonts w:eastAsia="HelenPro-Regular"/>
        </w:rPr>
        <w:t>Specimens with alkaline phosphatase values exceeding the 2,200 U/L (4,555 U/L for Flex Rate Linearity) are flagged and may be diluted by following the Manual Dilution Procedure, or the Automatic Dilution Protocol provided in the assay parameters. If an Automatic Dilution Protocol is not provided, refer to the ARCHITECT System Operations Manual, Section 2 for configuration information, and verify results according to your laboratory’s standard operating procedures.</w:t>
      </w:r>
    </w:p>
    <w:p w:rsidR="00180A92" w:rsidRPr="008A0B71" w:rsidRDefault="00180A92" w:rsidP="00180A92">
      <w:pPr>
        <w:autoSpaceDE w:val="0"/>
        <w:autoSpaceDN w:val="0"/>
        <w:adjustRightInd w:val="0"/>
        <w:rPr>
          <w:rFonts w:eastAsia="HelenPro-Bold"/>
          <w:b/>
          <w:bCs/>
        </w:rPr>
      </w:pPr>
      <w:r w:rsidRPr="008A0B71">
        <w:rPr>
          <w:rFonts w:eastAsia="HelenPro-Bold"/>
          <w:b/>
          <w:bCs/>
        </w:rPr>
        <w:t>Automated Dilution Protocol</w:t>
      </w:r>
    </w:p>
    <w:p w:rsidR="00180A92" w:rsidRPr="008A0B71" w:rsidRDefault="00180A92" w:rsidP="00180A92">
      <w:pPr>
        <w:autoSpaceDE w:val="0"/>
        <w:autoSpaceDN w:val="0"/>
        <w:adjustRightInd w:val="0"/>
        <w:rPr>
          <w:rFonts w:eastAsia="HelenPro-Regular"/>
        </w:rPr>
      </w:pPr>
      <w:r w:rsidRPr="008A0B71">
        <w:rPr>
          <w:rFonts w:eastAsia="HelenPro-Regular"/>
        </w:rPr>
        <w:t>When using the Automated Dilution Protocol, the system performs a dilution of the specimen and automatically corrects the enzyme activity value by multiplying the result by the appropriate dilution</w:t>
      </w:r>
    </w:p>
    <w:p w:rsidR="00180A92" w:rsidRPr="008A0B71" w:rsidRDefault="00180A92" w:rsidP="00180A92">
      <w:pPr>
        <w:autoSpaceDE w:val="0"/>
        <w:autoSpaceDN w:val="0"/>
        <w:adjustRightInd w:val="0"/>
        <w:rPr>
          <w:rFonts w:eastAsia="HelenPro-Regular"/>
        </w:rPr>
      </w:pPr>
      <w:r w:rsidRPr="008A0B71">
        <w:rPr>
          <w:rFonts w:eastAsia="HelenPro-Regular"/>
        </w:rPr>
        <w:t>factor.</w:t>
      </w:r>
    </w:p>
    <w:p w:rsidR="00180A92" w:rsidRPr="008A0B71" w:rsidRDefault="00180A92" w:rsidP="00180A92">
      <w:pPr>
        <w:autoSpaceDE w:val="0"/>
        <w:autoSpaceDN w:val="0"/>
        <w:adjustRightInd w:val="0"/>
        <w:rPr>
          <w:rFonts w:eastAsia="HelenPro-Bold"/>
          <w:b/>
          <w:bCs/>
        </w:rPr>
      </w:pPr>
      <w:r w:rsidRPr="008A0B71">
        <w:rPr>
          <w:rFonts w:eastAsia="HelenPro-Bold"/>
          <w:b/>
          <w:bCs/>
        </w:rPr>
        <w:t>Manual Dilution Procedure</w:t>
      </w:r>
    </w:p>
    <w:p w:rsidR="00180A92" w:rsidRPr="008A0B71" w:rsidRDefault="00180A92" w:rsidP="00180A92">
      <w:pPr>
        <w:autoSpaceDE w:val="0"/>
        <w:autoSpaceDN w:val="0"/>
        <w:adjustRightInd w:val="0"/>
        <w:rPr>
          <w:rFonts w:eastAsia="HelenPro-Regular"/>
        </w:rPr>
      </w:pPr>
      <w:r w:rsidRPr="008A0B71">
        <w:rPr>
          <w:rFonts w:eastAsia="HelenPro-Regular"/>
        </w:rPr>
        <w:t>1. Dilute the specimen with saline (0.85% to 0.90% NaCl).</w:t>
      </w:r>
    </w:p>
    <w:p w:rsidR="00180A92" w:rsidRPr="008A0B71" w:rsidRDefault="00180A92" w:rsidP="00180A92">
      <w:pPr>
        <w:autoSpaceDE w:val="0"/>
        <w:autoSpaceDN w:val="0"/>
        <w:adjustRightInd w:val="0"/>
        <w:rPr>
          <w:rFonts w:eastAsia="HelenPro-Regular"/>
        </w:rPr>
      </w:pPr>
      <w:r w:rsidRPr="008A0B71">
        <w:rPr>
          <w:rFonts w:eastAsia="HelenPro-Regular"/>
        </w:rPr>
        <w:t>2. Enter the dilution factor in the Patient or Control order screen. The system uses this dilution factor to automatically correct the concentration by multiplying the result by the entered factor. If</w:t>
      </w:r>
    </w:p>
    <w:p w:rsidR="00180A92" w:rsidRPr="008A0B71" w:rsidRDefault="00180A92" w:rsidP="00180A92">
      <w:pPr>
        <w:autoSpaceDE w:val="0"/>
        <w:autoSpaceDN w:val="0"/>
        <w:adjustRightInd w:val="0"/>
        <w:rPr>
          <w:rFonts w:eastAsia="HelenPro-Regular"/>
        </w:rPr>
      </w:pPr>
      <w:r w:rsidRPr="008A0B71">
        <w:rPr>
          <w:rFonts w:eastAsia="HelenPro-Regular"/>
        </w:rPr>
        <w:t>the operator does not enter the dilution factor, the result must be manually multiplied by the appropriate dilution factor before reporting the result.</w:t>
      </w:r>
    </w:p>
    <w:p w:rsidR="000F0494" w:rsidRPr="008A0B71" w:rsidRDefault="00180A92" w:rsidP="00DA6C6A">
      <w:pPr>
        <w:autoSpaceDE w:val="0"/>
        <w:autoSpaceDN w:val="0"/>
        <w:adjustRightInd w:val="0"/>
        <w:rPr>
          <w:b/>
        </w:rPr>
      </w:pPr>
      <w:r w:rsidRPr="008A0B71">
        <w:rPr>
          <w:noProof/>
        </w:rPr>
        <w:drawing>
          <wp:inline distT="0" distB="0" distL="0" distR="0" wp14:anchorId="0228CDD8" wp14:editId="726D89E5">
            <wp:extent cx="3886200" cy="381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6200" cy="381000"/>
                    </a:xfrm>
                    <a:prstGeom prst="rect">
                      <a:avLst/>
                    </a:prstGeom>
                  </pic:spPr>
                </pic:pic>
              </a:graphicData>
            </a:graphic>
          </wp:inline>
        </w:drawing>
      </w:r>
    </w:p>
    <w:p w:rsidR="00180A92" w:rsidRPr="008A0B71" w:rsidRDefault="00180A92" w:rsidP="00180A92">
      <w:pPr>
        <w:autoSpaceDE w:val="0"/>
        <w:autoSpaceDN w:val="0"/>
        <w:adjustRightInd w:val="0"/>
        <w:rPr>
          <w:rFonts w:eastAsia="HelenPro-Regular"/>
        </w:rPr>
      </w:pPr>
      <w:r w:rsidRPr="008A0B71">
        <w:rPr>
          <w:rFonts w:eastAsia="HelenPro-Bold"/>
          <w:b/>
          <w:bCs/>
        </w:rPr>
        <w:t xml:space="preserve">NOTE: </w:t>
      </w:r>
      <w:r w:rsidRPr="008A0B71">
        <w:rPr>
          <w:rFonts w:eastAsia="HelenPro-Regular"/>
        </w:rPr>
        <w:t>If a diluted specimen result is flagged indicating it is less than the linear low limit, do not report the result. Rerun using an appropriate dilution.</w:t>
      </w:r>
    </w:p>
    <w:p w:rsidR="00180A92" w:rsidRPr="008A0B71" w:rsidRDefault="00180A92" w:rsidP="00180A92">
      <w:pPr>
        <w:autoSpaceDE w:val="0"/>
        <w:autoSpaceDN w:val="0"/>
        <w:adjustRightInd w:val="0"/>
        <w:rPr>
          <w:rFonts w:eastAsia="HelenPro-Regular"/>
        </w:rPr>
      </w:pPr>
      <w:r w:rsidRPr="008A0B71">
        <w:rPr>
          <w:rFonts w:eastAsia="HelenPro-Regular"/>
        </w:rPr>
        <w:t>For detailed information on ordering dilutions, refer to the ARCHITECT System Operations Manual, Section 5.</w:t>
      </w:r>
    </w:p>
    <w:p w:rsidR="00180A92" w:rsidRPr="008A0B71" w:rsidRDefault="00180A92" w:rsidP="00180A92">
      <w:pPr>
        <w:autoSpaceDE w:val="0"/>
        <w:autoSpaceDN w:val="0"/>
        <w:adjustRightInd w:val="0"/>
        <w:rPr>
          <w:b/>
        </w:rPr>
      </w:pPr>
    </w:p>
    <w:p w:rsidR="00912FE4" w:rsidRPr="008A0B71" w:rsidRDefault="00F95946" w:rsidP="00DA6C6A">
      <w:pPr>
        <w:autoSpaceDE w:val="0"/>
        <w:autoSpaceDN w:val="0"/>
        <w:adjustRightInd w:val="0"/>
        <w:rPr>
          <w:rFonts w:eastAsia="HelenPro-Regular"/>
        </w:rPr>
      </w:pPr>
      <w:r w:rsidRPr="008A0B71">
        <w:rPr>
          <w:b/>
        </w:rPr>
        <w:t>Limit of Quantitation (LOQ)</w:t>
      </w:r>
      <w:r w:rsidR="00F82D85" w:rsidRPr="008A0B71">
        <w:rPr>
          <w:b/>
          <w:lang w:val="ru-RU"/>
        </w:rPr>
        <w:t>:</w:t>
      </w:r>
      <w:r w:rsidR="00F82D85" w:rsidRPr="008A0B71">
        <w:rPr>
          <w:b/>
        </w:rPr>
        <w:t xml:space="preserve">  </w:t>
      </w:r>
      <w:r w:rsidR="00F82D85" w:rsidRPr="008A0B71">
        <w:rPr>
          <w:b/>
          <w:color w:val="000000"/>
          <w:lang w:val="ru-RU"/>
        </w:rPr>
        <w:t xml:space="preserve"> </w:t>
      </w:r>
      <w:r w:rsidR="00810F0F" w:rsidRPr="008A0B71">
        <w:rPr>
          <w:rFonts w:eastAsia="HelenPro-Regular"/>
        </w:rPr>
        <w:t>The LOQ for Alkaline Phosphatase is 5.0 U/L.</w:t>
      </w:r>
    </w:p>
    <w:p w:rsidR="008D7886" w:rsidRPr="008A0B71" w:rsidRDefault="008D7886" w:rsidP="00DA6C6A">
      <w:pPr>
        <w:autoSpaceDE w:val="0"/>
        <w:autoSpaceDN w:val="0"/>
        <w:adjustRightInd w:val="0"/>
        <w:rPr>
          <w:rFonts w:eastAsia="HelenPro-Regular"/>
        </w:rPr>
      </w:pPr>
      <w:r w:rsidRPr="008A0B71">
        <w:rPr>
          <w:rFonts w:eastAsia="HelenPro-Regular"/>
          <w:b/>
        </w:rPr>
        <w:t>Limit of Detection (LOD):</w:t>
      </w:r>
      <w:r w:rsidRPr="008A0B71">
        <w:rPr>
          <w:rFonts w:eastAsia="HelenPro-Regular"/>
        </w:rPr>
        <w:t xml:space="preserve">  </w:t>
      </w:r>
      <w:r w:rsidR="00C05469" w:rsidRPr="008A0B71">
        <w:rPr>
          <w:rFonts w:eastAsia="HelenPro-Regular"/>
        </w:rPr>
        <w:t>The LOD for Alkaline Phosphatase is 5.0 U/L.</w:t>
      </w:r>
    </w:p>
    <w:p w:rsidR="008D7886" w:rsidRPr="008A0B71" w:rsidRDefault="008D7886" w:rsidP="00DA6C6A">
      <w:pPr>
        <w:autoSpaceDE w:val="0"/>
        <w:autoSpaceDN w:val="0"/>
        <w:adjustRightInd w:val="0"/>
        <w:rPr>
          <w:rFonts w:eastAsia="HelenPro-Regular"/>
          <w:sz w:val="16"/>
          <w:szCs w:val="16"/>
        </w:rPr>
      </w:pPr>
    </w:p>
    <w:p w:rsidR="008D7886" w:rsidRPr="008A0B71" w:rsidRDefault="008D7886" w:rsidP="00DA6C6A">
      <w:pPr>
        <w:autoSpaceDE w:val="0"/>
        <w:autoSpaceDN w:val="0"/>
        <w:adjustRightInd w:val="0"/>
        <w:rPr>
          <w:rFonts w:eastAsia="HelenPro-Regular"/>
          <w:b/>
        </w:rPr>
      </w:pPr>
      <w:r w:rsidRPr="008A0B71">
        <w:rPr>
          <w:rFonts w:eastAsia="HelenPro-Regular"/>
          <w:b/>
        </w:rPr>
        <w:t>Limitation of Procedure:</w:t>
      </w:r>
    </w:p>
    <w:p w:rsidR="008D7886" w:rsidRPr="008A0B71" w:rsidRDefault="00180A92" w:rsidP="00757326">
      <w:pPr>
        <w:autoSpaceDE w:val="0"/>
        <w:autoSpaceDN w:val="0"/>
        <w:adjustRightInd w:val="0"/>
        <w:rPr>
          <w:rFonts w:eastAsia="HelenPro-Regular"/>
        </w:rPr>
      </w:pPr>
      <w:r w:rsidRPr="008A0B71">
        <w:rPr>
          <w:noProof/>
        </w:rPr>
        <w:drawing>
          <wp:inline distT="0" distB="0" distL="0" distR="0" wp14:anchorId="6F4FF965" wp14:editId="6A1F9B7D">
            <wp:extent cx="4105275" cy="2400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05275" cy="2400300"/>
                    </a:xfrm>
                    <a:prstGeom prst="rect">
                      <a:avLst/>
                    </a:prstGeom>
                  </pic:spPr>
                </pic:pic>
              </a:graphicData>
            </a:graphic>
          </wp:inline>
        </w:drawing>
      </w:r>
    </w:p>
    <w:p w:rsidR="00DA6C6A" w:rsidRPr="008A0B71" w:rsidRDefault="00DA6C6A" w:rsidP="00F95946">
      <w:pPr>
        <w:rPr>
          <w:b/>
          <w:color w:val="000000"/>
          <w:szCs w:val="15"/>
        </w:rPr>
      </w:pPr>
    </w:p>
    <w:p w:rsidR="00912FE4" w:rsidRPr="008A0B71" w:rsidRDefault="008D7886" w:rsidP="00F95946">
      <w:pPr>
        <w:rPr>
          <w:rFonts w:eastAsia="HelenPro-Regular"/>
        </w:rPr>
      </w:pPr>
      <w:r w:rsidRPr="008A0B71">
        <w:rPr>
          <w:b/>
          <w:color w:val="000000"/>
          <w:szCs w:val="15"/>
        </w:rPr>
        <w:t>P</w:t>
      </w:r>
      <w:r w:rsidR="00912FE4" w:rsidRPr="008A0B71">
        <w:rPr>
          <w:b/>
          <w:color w:val="000000"/>
          <w:szCs w:val="15"/>
        </w:rPr>
        <w:t>recision:</w:t>
      </w:r>
      <w:r w:rsidR="0038442D" w:rsidRPr="008A0B71">
        <w:rPr>
          <w:b/>
          <w:color w:val="000000"/>
          <w:szCs w:val="15"/>
        </w:rPr>
        <w:t xml:space="preserve"> </w:t>
      </w:r>
    </w:p>
    <w:p w:rsidR="008D7886" w:rsidRPr="008A0B71" w:rsidRDefault="00810F0F" w:rsidP="00F95946">
      <w:pPr>
        <w:autoSpaceDE w:val="0"/>
        <w:autoSpaceDN w:val="0"/>
        <w:adjustRightInd w:val="0"/>
        <w:rPr>
          <w:noProof/>
        </w:rPr>
      </w:pPr>
      <w:r w:rsidRPr="008A0B71">
        <w:rPr>
          <w:rFonts w:eastAsia="HelenPro-Regular"/>
        </w:rPr>
        <w:t>The imprecision of the Alkaline Phosphatase assay is ≤ 6.2% Total CV</w:t>
      </w:r>
      <w:r w:rsidRPr="008A0B71">
        <w:rPr>
          <w:rFonts w:eastAsia="HelenPro-Regular"/>
          <w:sz w:val="16"/>
          <w:szCs w:val="16"/>
        </w:rPr>
        <w:t>.</w:t>
      </w:r>
    </w:p>
    <w:p w:rsidR="00810F0F" w:rsidRPr="008A0B71" w:rsidRDefault="00E73F06" w:rsidP="00F95946">
      <w:pPr>
        <w:autoSpaceDE w:val="0"/>
        <w:autoSpaceDN w:val="0"/>
        <w:adjustRightInd w:val="0"/>
        <w:rPr>
          <w:rFonts w:eastAsia="HelenPro-Regular"/>
        </w:rPr>
      </w:pPr>
      <w:r w:rsidRPr="008A0B71">
        <w:rPr>
          <w:noProof/>
        </w:rPr>
        <w:lastRenderedPageBreak/>
        <w:drawing>
          <wp:inline distT="0" distB="0" distL="0" distR="0" wp14:anchorId="599CF7BB" wp14:editId="75D89B4B">
            <wp:extent cx="4000500" cy="2085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00500" cy="2085975"/>
                    </a:xfrm>
                    <a:prstGeom prst="rect">
                      <a:avLst/>
                    </a:prstGeom>
                  </pic:spPr>
                </pic:pic>
              </a:graphicData>
            </a:graphic>
          </wp:inline>
        </w:drawing>
      </w:r>
    </w:p>
    <w:p w:rsidR="00F95946" w:rsidRPr="008A0B71" w:rsidRDefault="00F95946" w:rsidP="00F95946">
      <w:pPr>
        <w:autoSpaceDE w:val="0"/>
        <w:autoSpaceDN w:val="0"/>
        <w:adjustRightInd w:val="0"/>
        <w:rPr>
          <w:rFonts w:eastAsia="HelenPro-Regular"/>
        </w:rPr>
      </w:pPr>
    </w:p>
    <w:p w:rsidR="00BC1EC4" w:rsidRPr="008A0B71" w:rsidRDefault="008D7886" w:rsidP="00BC1EC4">
      <w:pPr>
        <w:pStyle w:val="Heading4"/>
        <w:rPr>
          <w:sz w:val="32"/>
        </w:rPr>
      </w:pPr>
      <w:r w:rsidRPr="008A0B71">
        <w:t>I</w:t>
      </w:r>
      <w:r w:rsidR="00F05CCD" w:rsidRPr="008A0B71">
        <w:t xml:space="preserve">nterfering Substances: </w:t>
      </w:r>
    </w:p>
    <w:p w:rsidR="00F95946" w:rsidRPr="008A0B71" w:rsidRDefault="00F95946" w:rsidP="00F95946">
      <w:pPr>
        <w:autoSpaceDE w:val="0"/>
        <w:autoSpaceDN w:val="0"/>
        <w:adjustRightInd w:val="0"/>
        <w:rPr>
          <w:rFonts w:eastAsia="HelenPro-Bold"/>
          <w:b/>
          <w:bCs/>
        </w:rPr>
      </w:pPr>
      <w:r w:rsidRPr="008A0B71">
        <w:rPr>
          <w:rFonts w:eastAsia="HelenPro-Bold"/>
          <w:b/>
          <w:bCs/>
        </w:rPr>
        <w:t>Interfering Substances</w:t>
      </w:r>
    </w:p>
    <w:p w:rsidR="008D7886" w:rsidRPr="008A0B71" w:rsidRDefault="008D7886" w:rsidP="008D7886">
      <w:pPr>
        <w:autoSpaceDE w:val="0"/>
        <w:autoSpaceDN w:val="0"/>
        <w:adjustRightInd w:val="0"/>
        <w:rPr>
          <w:rFonts w:eastAsia="HelenPro-Regular"/>
        </w:rPr>
      </w:pPr>
      <w:r w:rsidRPr="008A0B71">
        <w:rPr>
          <w:rFonts w:eastAsia="HelenPro-Regular"/>
        </w:rPr>
        <w:t>Interference studies were conducted using CLSI protocol NCCLS EP7-P. Interference effects were assessed by Dose Response and Paired Difference methods, at the medical decision level of the analyte.</w:t>
      </w:r>
    </w:p>
    <w:p w:rsidR="008D7886" w:rsidRPr="008A0B71" w:rsidRDefault="008D7886" w:rsidP="008D7886">
      <w:pPr>
        <w:autoSpaceDE w:val="0"/>
        <w:autoSpaceDN w:val="0"/>
        <w:adjustRightInd w:val="0"/>
        <w:rPr>
          <w:rFonts w:eastAsia="HelenPro-Regular"/>
          <w:sz w:val="16"/>
          <w:szCs w:val="16"/>
        </w:rPr>
      </w:pPr>
    </w:p>
    <w:p w:rsidR="0074336C" w:rsidRPr="008A0B71" w:rsidRDefault="00E73F06" w:rsidP="0074336C">
      <w:pPr>
        <w:autoSpaceDE w:val="0"/>
        <w:autoSpaceDN w:val="0"/>
        <w:adjustRightInd w:val="0"/>
        <w:rPr>
          <w:rFonts w:eastAsia="HelenPro-Bold"/>
          <w:b/>
          <w:bCs/>
        </w:rPr>
      </w:pPr>
      <w:r w:rsidRPr="008A0B71">
        <w:rPr>
          <w:noProof/>
        </w:rPr>
        <w:drawing>
          <wp:inline distT="0" distB="0" distL="0" distR="0" wp14:anchorId="11CA8EB3" wp14:editId="22D125A5">
            <wp:extent cx="3990975" cy="1524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90975" cy="1524000"/>
                    </a:xfrm>
                    <a:prstGeom prst="rect">
                      <a:avLst/>
                    </a:prstGeom>
                  </pic:spPr>
                </pic:pic>
              </a:graphicData>
            </a:graphic>
          </wp:inline>
        </w:drawing>
      </w:r>
    </w:p>
    <w:p w:rsidR="00BC1EC4" w:rsidRPr="008A0B71" w:rsidRDefault="00BC1EC4" w:rsidP="00AB5354">
      <w:pPr>
        <w:rPr>
          <w:rFonts w:eastAsia="HelenPro-Regular"/>
        </w:rPr>
      </w:pPr>
    </w:p>
    <w:p w:rsidR="00D16B69" w:rsidRPr="008A0B71" w:rsidRDefault="00D16B69" w:rsidP="00D16B69">
      <w:pPr>
        <w:jc w:val="both"/>
        <w:rPr>
          <w:b/>
        </w:rPr>
      </w:pPr>
      <w:r w:rsidRPr="008A0B71">
        <w:rPr>
          <w:b/>
        </w:rPr>
        <w:t>References:</w:t>
      </w:r>
      <w:r w:rsidR="00973EAF" w:rsidRPr="008A0B71">
        <w:rPr>
          <w:b/>
        </w:rPr>
        <w:t xml:space="preserve"> </w:t>
      </w:r>
    </w:p>
    <w:p w:rsidR="000A13F2" w:rsidRPr="008A0B71" w:rsidRDefault="000A13F2" w:rsidP="00030CDD">
      <w:pPr>
        <w:pStyle w:val="ListParagraph"/>
        <w:numPr>
          <w:ilvl w:val="0"/>
          <w:numId w:val="4"/>
        </w:numPr>
        <w:rPr>
          <w:sz w:val="22"/>
          <w:szCs w:val="22"/>
        </w:rPr>
      </w:pPr>
      <w:r w:rsidRPr="008A0B71">
        <w:rPr>
          <w:sz w:val="22"/>
          <w:szCs w:val="22"/>
        </w:rPr>
        <w:t xml:space="preserve">ABBOTT ARCHITECT </w:t>
      </w:r>
      <w:r w:rsidR="005F3C0D" w:rsidRPr="008A0B71">
        <w:rPr>
          <w:sz w:val="22"/>
          <w:szCs w:val="22"/>
        </w:rPr>
        <w:t>Alkaline Phosphatase</w:t>
      </w:r>
      <w:r w:rsidRPr="008A0B71">
        <w:rPr>
          <w:sz w:val="22"/>
          <w:szCs w:val="22"/>
        </w:rPr>
        <w:t xml:space="preserve"> package insert</w:t>
      </w:r>
    </w:p>
    <w:p w:rsidR="000A13F2" w:rsidRPr="008A0B71" w:rsidRDefault="000A13F2" w:rsidP="000A13F2">
      <w:pPr>
        <w:pStyle w:val="ListParagraph"/>
        <w:rPr>
          <w:sz w:val="22"/>
          <w:szCs w:val="22"/>
        </w:rPr>
      </w:pPr>
      <w:r w:rsidRPr="008A0B71">
        <w:rPr>
          <w:sz w:val="22"/>
          <w:szCs w:val="22"/>
        </w:rPr>
        <w:t>Abbott Laboratories</w:t>
      </w:r>
    </w:p>
    <w:p w:rsidR="000A13F2" w:rsidRPr="008A0B71" w:rsidRDefault="000A13F2" w:rsidP="000A13F2">
      <w:pPr>
        <w:pStyle w:val="ListParagraph"/>
        <w:rPr>
          <w:sz w:val="22"/>
          <w:szCs w:val="22"/>
        </w:rPr>
      </w:pPr>
      <w:r w:rsidRPr="008A0B71">
        <w:rPr>
          <w:sz w:val="22"/>
          <w:szCs w:val="22"/>
        </w:rPr>
        <w:t>Diagnostics Division</w:t>
      </w:r>
    </w:p>
    <w:p w:rsidR="000A13F2" w:rsidRPr="008A0B71" w:rsidRDefault="000A13F2" w:rsidP="000A13F2">
      <w:pPr>
        <w:pStyle w:val="ListParagraph"/>
        <w:rPr>
          <w:sz w:val="22"/>
          <w:szCs w:val="22"/>
        </w:rPr>
      </w:pPr>
      <w:r w:rsidRPr="008A0B71">
        <w:rPr>
          <w:sz w:val="22"/>
          <w:szCs w:val="22"/>
        </w:rPr>
        <w:t>Abbott Park, IL  60064</w:t>
      </w:r>
    </w:p>
    <w:p w:rsidR="000A13F2" w:rsidRPr="008A0B71" w:rsidRDefault="00E73F06" w:rsidP="000A13F2">
      <w:pPr>
        <w:pStyle w:val="ListParagraph"/>
      </w:pPr>
      <w:r w:rsidRPr="008A0B71">
        <w:rPr>
          <w:bCs/>
          <w:sz w:val="22"/>
          <w:szCs w:val="22"/>
        </w:rPr>
        <w:t>March 2017</w:t>
      </w:r>
      <w:r w:rsidR="000A13F2" w:rsidRPr="008A0B71">
        <w:rPr>
          <w:bCs/>
          <w:sz w:val="22"/>
          <w:szCs w:val="22"/>
        </w:rPr>
        <w:t xml:space="preserve"> </w:t>
      </w:r>
      <w:r w:rsidRPr="008A0B71">
        <w:rPr>
          <w:rFonts w:eastAsia="HelenPro-Bold"/>
          <w:bCs/>
        </w:rPr>
        <w:t xml:space="preserve">307217 </w:t>
      </w:r>
      <w:r w:rsidRPr="008A0B71">
        <w:rPr>
          <w:rFonts w:eastAsia="HelenPro-Bold"/>
        </w:rPr>
        <w:t xml:space="preserve">/ </w:t>
      </w:r>
      <w:r w:rsidRPr="008A0B71">
        <w:rPr>
          <w:rFonts w:eastAsia="HelenPro-Bold"/>
          <w:bCs/>
        </w:rPr>
        <w:t>R01</w:t>
      </w:r>
    </w:p>
    <w:p w:rsidR="00881923" w:rsidRPr="008A0B71" w:rsidRDefault="000A13F2" w:rsidP="00030CDD">
      <w:pPr>
        <w:pStyle w:val="ListParagraph"/>
        <w:numPr>
          <w:ilvl w:val="0"/>
          <w:numId w:val="4"/>
        </w:numPr>
        <w:spacing w:after="72"/>
        <w:jc w:val="both"/>
      </w:pPr>
      <w:r w:rsidRPr="008A0B71">
        <w:t>Abbott ARCHITECT</w:t>
      </w:r>
      <w:r w:rsidR="00D16B69" w:rsidRPr="008A0B71">
        <w:rPr>
          <w:lang w:val="ru-RU"/>
        </w:rPr>
        <w:t xml:space="preserve"> Operator’s Guide</w:t>
      </w:r>
    </w:p>
    <w:p w:rsidR="00AB5354" w:rsidRPr="008A0B71" w:rsidRDefault="00AB5354" w:rsidP="0009322F">
      <w:pPr>
        <w:rPr>
          <w:b/>
        </w:rPr>
      </w:pPr>
    </w:p>
    <w:p w:rsidR="0074336C" w:rsidRPr="008A0B71" w:rsidRDefault="0074336C" w:rsidP="00246FA8">
      <w:pPr>
        <w:rPr>
          <w:b/>
        </w:rPr>
      </w:pPr>
    </w:p>
    <w:p w:rsidR="00E73F06" w:rsidRPr="008A0B71" w:rsidRDefault="00E73F06" w:rsidP="00246FA8">
      <w:pPr>
        <w:rPr>
          <w:b/>
        </w:rPr>
      </w:pPr>
    </w:p>
    <w:p w:rsidR="00E73F06" w:rsidRPr="008A0B71" w:rsidRDefault="00E73F06" w:rsidP="00246FA8">
      <w:pPr>
        <w:rPr>
          <w:b/>
        </w:rPr>
      </w:pPr>
    </w:p>
    <w:p w:rsidR="00E73F06" w:rsidRPr="008A0B71" w:rsidRDefault="00E73F06" w:rsidP="00246FA8">
      <w:pPr>
        <w:rPr>
          <w:b/>
        </w:rPr>
      </w:pPr>
    </w:p>
    <w:p w:rsidR="00E73F06" w:rsidRPr="008A0B71" w:rsidRDefault="00E73F06" w:rsidP="00246FA8">
      <w:pPr>
        <w:rPr>
          <w:b/>
        </w:rPr>
      </w:pPr>
    </w:p>
    <w:p w:rsidR="00E73F06" w:rsidRPr="008A0B71" w:rsidRDefault="00E73F06" w:rsidP="00246FA8">
      <w:pPr>
        <w:rPr>
          <w:b/>
        </w:rPr>
      </w:pPr>
    </w:p>
    <w:p w:rsidR="00881923" w:rsidRPr="008A0B71" w:rsidRDefault="0009322F" w:rsidP="00246FA8">
      <w:pPr>
        <w:rPr>
          <w:i/>
          <w:sz w:val="20"/>
          <w:szCs w:val="20"/>
        </w:rPr>
      </w:pPr>
      <w:r w:rsidRPr="008A0B71">
        <w:rPr>
          <w:b/>
        </w:rPr>
        <w:t xml:space="preserve">Related Documents: </w:t>
      </w:r>
    </w:p>
    <w:p w:rsidR="00157696" w:rsidRPr="008A0B71" w:rsidRDefault="00157696" w:rsidP="00246FA8">
      <w:pPr>
        <w:rPr>
          <w:i/>
          <w:color w:val="FF0000"/>
        </w:rPr>
      </w:pPr>
      <w:r w:rsidRPr="008A0B71">
        <w:rPr>
          <w:b/>
        </w:rPr>
        <w:t>Attachments:</w:t>
      </w:r>
      <w:r w:rsidR="00973EAF" w:rsidRPr="008A0B71">
        <w:rPr>
          <w:b/>
        </w:rPr>
        <w:t xml:space="preserve"> </w:t>
      </w:r>
    </w:p>
    <w:p w:rsidR="00157696" w:rsidRDefault="00157696" w:rsidP="0009322F">
      <w:pPr>
        <w:rPr>
          <w:b/>
        </w:rPr>
      </w:pPr>
    </w:p>
    <w:sectPr w:rsidR="00157696" w:rsidSect="00507B0C">
      <w:headerReference w:type="default"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469" w:rsidRDefault="00AB7469">
      <w:r>
        <w:separator/>
      </w:r>
    </w:p>
  </w:endnote>
  <w:endnote w:type="continuationSeparator" w:id="0">
    <w:p w:rsidR="00AB7469" w:rsidRDefault="00AB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AF53FD">
      <w:rPr>
        <w:noProof/>
        <w:sz w:val="20"/>
        <w:szCs w:val="20"/>
      </w:rPr>
      <w:t>8</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AF53FD">
      <w:rPr>
        <w:noProof/>
        <w:sz w:val="20"/>
        <w:szCs w:val="20"/>
      </w:rPr>
      <w:t>8</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469" w:rsidRDefault="00AB7469">
      <w:r>
        <w:separator/>
      </w:r>
    </w:p>
  </w:footnote>
  <w:footnote w:type="continuationSeparator" w:id="0">
    <w:p w:rsidR="00AB7469" w:rsidRDefault="00AB7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proofErr w:type="spellStart"/>
    <w:r w:rsidR="00B069C6">
      <w:rPr>
        <w:b/>
        <w:sz w:val="20"/>
        <w:szCs w:val="20"/>
      </w:rPr>
      <w:t>Proc</w:t>
    </w:r>
    <w:proofErr w:type="spellEnd"/>
    <w:r w:rsidR="00B069C6">
      <w:rPr>
        <w:b/>
        <w:sz w:val="20"/>
        <w:szCs w:val="20"/>
      </w:rPr>
      <w:t># 4840-CH-106</w:t>
    </w:r>
  </w:p>
  <w:p w:rsidR="00DA040A" w:rsidRDefault="00DA040A" w:rsidP="00100BF8">
    <w:pPr>
      <w:jc w:val="right"/>
      <w:rPr>
        <w:sz w:val="20"/>
        <w:szCs w:val="20"/>
      </w:rPr>
    </w:pPr>
    <w:r>
      <w:rPr>
        <w:sz w:val="20"/>
        <w:szCs w:val="20"/>
      </w:rPr>
      <w:t xml:space="preserve">ARCHITECT </w:t>
    </w:r>
    <w:r w:rsidR="005F3C0D">
      <w:rPr>
        <w:sz w:val="20"/>
        <w:szCs w:val="20"/>
      </w:rPr>
      <w:t>Alk Phos</w:t>
    </w:r>
    <w:r w:rsidR="00033759">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5B5059D"/>
    <w:multiLevelType w:val="hybridMultilevel"/>
    <w:tmpl w:val="FA843244"/>
    <w:lvl w:ilvl="0" w:tplc="91DAE056">
      <w:start w:val="1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C44412"/>
    <w:multiLevelType w:val="hybridMultilevel"/>
    <w:tmpl w:val="99C6B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3"/>
  </w:num>
  <w:num w:numId="3">
    <w:abstractNumId w:val="14"/>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0"/>
  </w:num>
  <w:num w:numId="9">
    <w:abstractNumId w:val="11"/>
  </w:num>
  <w:num w:numId="10">
    <w:abstractNumId w:val="9"/>
  </w:num>
  <w:num w:numId="11">
    <w:abstractNumId w:val="10"/>
  </w:num>
  <w:num w:numId="12">
    <w:abstractNumId w:val="1"/>
  </w:num>
  <w:num w:numId="13">
    <w:abstractNumId w:val="5"/>
  </w:num>
  <w:num w:numId="14">
    <w:abstractNumId w:val="7"/>
  </w:num>
  <w:num w:numId="15">
    <w:abstractNumId w:val="3"/>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33759"/>
    <w:rsid w:val="00042881"/>
    <w:rsid w:val="00043105"/>
    <w:rsid w:val="000454FD"/>
    <w:rsid w:val="0006011A"/>
    <w:rsid w:val="000602A5"/>
    <w:rsid w:val="0006502B"/>
    <w:rsid w:val="000743B7"/>
    <w:rsid w:val="00081C7F"/>
    <w:rsid w:val="00082648"/>
    <w:rsid w:val="0009322F"/>
    <w:rsid w:val="000A090B"/>
    <w:rsid w:val="000A13F2"/>
    <w:rsid w:val="000A341D"/>
    <w:rsid w:val="000A7D58"/>
    <w:rsid w:val="000B4575"/>
    <w:rsid w:val="000C1FD8"/>
    <w:rsid w:val="000E3328"/>
    <w:rsid w:val="000F0494"/>
    <w:rsid w:val="000F49B2"/>
    <w:rsid w:val="00100BF8"/>
    <w:rsid w:val="0010358F"/>
    <w:rsid w:val="00107444"/>
    <w:rsid w:val="00132081"/>
    <w:rsid w:val="00133F38"/>
    <w:rsid w:val="0014554C"/>
    <w:rsid w:val="00155687"/>
    <w:rsid w:val="00157696"/>
    <w:rsid w:val="0016247C"/>
    <w:rsid w:val="00167572"/>
    <w:rsid w:val="00172CF7"/>
    <w:rsid w:val="00180A92"/>
    <w:rsid w:val="0019760C"/>
    <w:rsid w:val="001A0637"/>
    <w:rsid w:val="001A639E"/>
    <w:rsid w:val="001B29A7"/>
    <w:rsid w:val="001B4267"/>
    <w:rsid w:val="001C48DA"/>
    <w:rsid w:val="001D3841"/>
    <w:rsid w:val="001D6AE0"/>
    <w:rsid w:val="001E079E"/>
    <w:rsid w:val="001F32A9"/>
    <w:rsid w:val="001F6B7B"/>
    <w:rsid w:val="00246FA8"/>
    <w:rsid w:val="0025031C"/>
    <w:rsid w:val="00255C54"/>
    <w:rsid w:val="002649AA"/>
    <w:rsid w:val="002746A8"/>
    <w:rsid w:val="002B0D2A"/>
    <w:rsid w:val="002B1993"/>
    <w:rsid w:val="002C0E55"/>
    <w:rsid w:val="002C7FD5"/>
    <w:rsid w:val="002D2075"/>
    <w:rsid w:val="002D370D"/>
    <w:rsid w:val="002D38DF"/>
    <w:rsid w:val="002E5C0B"/>
    <w:rsid w:val="002F52E0"/>
    <w:rsid w:val="003056A7"/>
    <w:rsid w:val="00317AA0"/>
    <w:rsid w:val="00347BEC"/>
    <w:rsid w:val="00353FD5"/>
    <w:rsid w:val="0037463A"/>
    <w:rsid w:val="0038442D"/>
    <w:rsid w:val="00386807"/>
    <w:rsid w:val="00396C4A"/>
    <w:rsid w:val="003B0F54"/>
    <w:rsid w:val="003B2E62"/>
    <w:rsid w:val="003B40E1"/>
    <w:rsid w:val="003C2522"/>
    <w:rsid w:val="003C596F"/>
    <w:rsid w:val="003D10DE"/>
    <w:rsid w:val="003D708C"/>
    <w:rsid w:val="003E62E7"/>
    <w:rsid w:val="00400A1A"/>
    <w:rsid w:val="00400CBA"/>
    <w:rsid w:val="00405EC8"/>
    <w:rsid w:val="00410514"/>
    <w:rsid w:val="00413FEE"/>
    <w:rsid w:val="00436811"/>
    <w:rsid w:val="0044058F"/>
    <w:rsid w:val="00443DB3"/>
    <w:rsid w:val="004477CB"/>
    <w:rsid w:val="00452710"/>
    <w:rsid w:val="00452D5E"/>
    <w:rsid w:val="0045570E"/>
    <w:rsid w:val="00456575"/>
    <w:rsid w:val="00461686"/>
    <w:rsid w:val="0046271A"/>
    <w:rsid w:val="004708FA"/>
    <w:rsid w:val="00493DD1"/>
    <w:rsid w:val="004A03BD"/>
    <w:rsid w:val="004A2AA3"/>
    <w:rsid w:val="004C05F8"/>
    <w:rsid w:val="004C104D"/>
    <w:rsid w:val="004C2C23"/>
    <w:rsid w:val="004C37CB"/>
    <w:rsid w:val="004F5F8A"/>
    <w:rsid w:val="00507B0C"/>
    <w:rsid w:val="00533CE1"/>
    <w:rsid w:val="00551335"/>
    <w:rsid w:val="0055619E"/>
    <w:rsid w:val="0056023B"/>
    <w:rsid w:val="00574309"/>
    <w:rsid w:val="005806E5"/>
    <w:rsid w:val="0058304A"/>
    <w:rsid w:val="005902C0"/>
    <w:rsid w:val="005A1D53"/>
    <w:rsid w:val="005A4739"/>
    <w:rsid w:val="005A7348"/>
    <w:rsid w:val="005B0D1C"/>
    <w:rsid w:val="005E3AB5"/>
    <w:rsid w:val="005E3D52"/>
    <w:rsid w:val="005F3C0D"/>
    <w:rsid w:val="005F3E81"/>
    <w:rsid w:val="00607638"/>
    <w:rsid w:val="00610572"/>
    <w:rsid w:val="006107A2"/>
    <w:rsid w:val="00621ABB"/>
    <w:rsid w:val="00623EFB"/>
    <w:rsid w:val="00626F02"/>
    <w:rsid w:val="0063150E"/>
    <w:rsid w:val="00644800"/>
    <w:rsid w:val="006559EB"/>
    <w:rsid w:val="00674186"/>
    <w:rsid w:val="006A5AAE"/>
    <w:rsid w:val="006B3C65"/>
    <w:rsid w:val="006D28ED"/>
    <w:rsid w:val="006D40ED"/>
    <w:rsid w:val="006E5155"/>
    <w:rsid w:val="006F7F4F"/>
    <w:rsid w:val="00714B7D"/>
    <w:rsid w:val="00714F24"/>
    <w:rsid w:val="0074336C"/>
    <w:rsid w:val="00757326"/>
    <w:rsid w:val="007703C0"/>
    <w:rsid w:val="00772966"/>
    <w:rsid w:val="007840DD"/>
    <w:rsid w:val="00795231"/>
    <w:rsid w:val="007B09E3"/>
    <w:rsid w:val="007B0CCE"/>
    <w:rsid w:val="007B247B"/>
    <w:rsid w:val="007E4CE6"/>
    <w:rsid w:val="007E6C3C"/>
    <w:rsid w:val="0080146D"/>
    <w:rsid w:val="00804822"/>
    <w:rsid w:val="00810F0F"/>
    <w:rsid w:val="00812CCF"/>
    <w:rsid w:val="00827DE8"/>
    <w:rsid w:val="00833E15"/>
    <w:rsid w:val="00841397"/>
    <w:rsid w:val="00846F9F"/>
    <w:rsid w:val="00847607"/>
    <w:rsid w:val="00863AA4"/>
    <w:rsid w:val="00864220"/>
    <w:rsid w:val="00880FDF"/>
    <w:rsid w:val="0088112F"/>
    <w:rsid w:val="00881923"/>
    <w:rsid w:val="00883611"/>
    <w:rsid w:val="00887139"/>
    <w:rsid w:val="008A0B71"/>
    <w:rsid w:val="008A1AF7"/>
    <w:rsid w:val="008A1CED"/>
    <w:rsid w:val="008A7551"/>
    <w:rsid w:val="008A7F96"/>
    <w:rsid w:val="008B590F"/>
    <w:rsid w:val="008C0AEF"/>
    <w:rsid w:val="008D4DF4"/>
    <w:rsid w:val="008D7886"/>
    <w:rsid w:val="008E00E3"/>
    <w:rsid w:val="008F7947"/>
    <w:rsid w:val="008F794A"/>
    <w:rsid w:val="0091292B"/>
    <w:rsid w:val="00912BAD"/>
    <w:rsid w:val="00912FE4"/>
    <w:rsid w:val="0092389D"/>
    <w:rsid w:val="00924B1D"/>
    <w:rsid w:val="00926E1B"/>
    <w:rsid w:val="009318E8"/>
    <w:rsid w:val="009467CE"/>
    <w:rsid w:val="00951C8E"/>
    <w:rsid w:val="00952933"/>
    <w:rsid w:val="00953BF2"/>
    <w:rsid w:val="00953EA1"/>
    <w:rsid w:val="00964971"/>
    <w:rsid w:val="00973EAF"/>
    <w:rsid w:val="00980C01"/>
    <w:rsid w:val="009841EC"/>
    <w:rsid w:val="009A32AB"/>
    <w:rsid w:val="009A4991"/>
    <w:rsid w:val="009B4C90"/>
    <w:rsid w:val="009C7BD7"/>
    <w:rsid w:val="009D1D61"/>
    <w:rsid w:val="009D498B"/>
    <w:rsid w:val="009E0FF1"/>
    <w:rsid w:val="009E49EB"/>
    <w:rsid w:val="009F648F"/>
    <w:rsid w:val="009F655A"/>
    <w:rsid w:val="00A016EE"/>
    <w:rsid w:val="00A06412"/>
    <w:rsid w:val="00A1152E"/>
    <w:rsid w:val="00A15B97"/>
    <w:rsid w:val="00A176F3"/>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271B"/>
    <w:rsid w:val="00AA7B6F"/>
    <w:rsid w:val="00AB5354"/>
    <w:rsid w:val="00AB7469"/>
    <w:rsid w:val="00AB793D"/>
    <w:rsid w:val="00AC0E64"/>
    <w:rsid w:val="00AE6F5B"/>
    <w:rsid w:val="00AF53FD"/>
    <w:rsid w:val="00AF597C"/>
    <w:rsid w:val="00B069C6"/>
    <w:rsid w:val="00B11C38"/>
    <w:rsid w:val="00B13AB5"/>
    <w:rsid w:val="00B30875"/>
    <w:rsid w:val="00B36577"/>
    <w:rsid w:val="00B434E9"/>
    <w:rsid w:val="00B438DB"/>
    <w:rsid w:val="00B46687"/>
    <w:rsid w:val="00B50C75"/>
    <w:rsid w:val="00B63263"/>
    <w:rsid w:val="00B63E8F"/>
    <w:rsid w:val="00B70AAC"/>
    <w:rsid w:val="00B72271"/>
    <w:rsid w:val="00B864B3"/>
    <w:rsid w:val="00BA0054"/>
    <w:rsid w:val="00BC1EC4"/>
    <w:rsid w:val="00BC5937"/>
    <w:rsid w:val="00BC76E2"/>
    <w:rsid w:val="00BE40A6"/>
    <w:rsid w:val="00C05469"/>
    <w:rsid w:val="00C31C60"/>
    <w:rsid w:val="00C32412"/>
    <w:rsid w:val="00C53E37"/>
    <w:rsid w:val="00C63D0C"/>
    <w:rsid w:val="00C90E57"/>
    <w:rsid w:val="00C912E2"/>
    <w:rsid w:val="00C967D5"/>
    <w:rsid w:val="00CA11D0"/>
    <w:rsid w:val="00CC2751"/>
    <w:rsid w:val="00CC37B4"/>
    <w:rsid w:val="00CC3D62"/>
    <w:rsid w:val="00CD4055"/>
    <w:rsid w:val="00CE2DC7"/>
    <w:rsid w:val="00CF3FB7"/>
    <w:rsid w:val="00CF7868"/>
    <w:rsid w:val="00D16262"/>
    <w:rsid w:val="00D16B69"/>
    <w:rsid w:val="00D27C5A"/>
    <w:rsid w:val="00D339B0"/>
    <w:rsid w:val="00D5070C"/>
    <w:rsid w:val="00D50F05"/>
    <w:rsid w:val="00D5211B"/>
    <w:rsid w:val="00D60AFA"/>
    <w:rsid w:val="00D64E39"/>
    <w:rsid w:val="00D71AF7"/>
    <w:rsid w:val="00D73BF8"/>
    <w:rsid w:val="00D77B64"/>
    <w:rsid w:val="00D80968"/>
    <w:rsid w:val="00D83D05"/>
    <w:rsid w:val="00D94BB8"/>
    <w:rsid w:val="00D97908"/>
    <w:rsid w:val="00DA040A"/>
    <w:rsid w:val="00DA4542"/>
    <w:rsid w:val="00DA6C6A"/>
    <w:rsid w:val="00DB49D0"/>
    <w:rsid w:val="00DB4A88"/>
    <w:rsid w:val="00DC56D1"/>
    <w:rsid w:val="00DD0481"/>
    <w:rsid w:val="00DE6C4E"/>
    <w:rsid w:val="00DF01DC"/>
    <w:rsid w:val="00DF022C"/>
    <w:rsid w:val="00E03B3D"/>
    <w:rsid w:val="00E07C43"/>
    <w:rsid w:val="00E12522"/>
    <w:rsid w:val="00E12AF4"/>
    <w:rsid w:val="00E36B73"/>
    <w:rsid w:val="00E40388"/>
    <w:rsid w:val="00E44BED"/>
    <w:rsid w:val="00E4698E"/>
    <w:rsid w:val="00E4787B"/>
    <w:rsid w:val="00E50643"/>
    <w:rsid w:val="00E73F06"/>
    <w:rsid w:val="00E840BC"/>
    <w:rsid w:val="00E97A8C"/>
    <w:rsid w:val="00EA1269"/>
    <w:rsid w:val="00EA713D"/>
    <w:rsid w:val="00EB2F9F"/>
    <w:rsid w:val="00EB33FE"/>
    <w:rsid w:val="00EC002B"/>
    <w:rsid w:val="00EC528B"/>
    <w:rsid w:val="00EC7B32"/>
    <w:rsid w:val="00ED2343"/>
    <w:rsid w:val="00ED4BBB"/>
    <w:rsid w:val="00ED5787"/>
    <w:rsid w:val="00EF4170"/>
    <w:rsid w:val="00F05CCD"/>
    <w:rsid w:val="00F13523"/>
    <w:rsid w:val="00F1787A"/>
    <w:rsid w:val="00F17F45"/>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A140D"/>
    <w:rsid w:val="00FB49F4"/>
    <w:rsid w:val="00FD6E32"/>
    <w:rsid w:val="00FE48B3"/>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A20B-5D9B-488E-860F-A036FBD8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1404</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9643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hupkem</cp:lastModifiedBy>
  <cp:revision>5</cp:revision>
  <cp:lastPrinted>2018-10-24T19:29:00Z</cp:lastPrinted>
  <dcterms:created xsi:type="dcterms:W3CDTF">2018-08-20T16:09:00Z</dcterms:created>
  <dcterms:modified xsi:type="dcterms:W3CDTF">2018-10-24T19:32:00Z</dcterms:modified>
</cp:coreProperties>
</file>