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267D3D" w:rsidRDefault="00C5609C">
      <w:pPr>
        <w:rPr>
          <w:b/>
          <w:sz w:val="28"/>
          <w:szCs w:val="28"/>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095500" cy="571500"/>
            <wp:effectExtent l="0" t="0" r="0" b="0"/>
            <wp:wrapSquare wrapText="bothSides"/>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w="9525">
                      <a:noFill/>
                      <a:miter lim="800000"/>
                      <a:headEnd/>
                      <a:tailEnd/>
                    </a:ln>
                  </pic:spPr>
                </pic:pic>
              </a:graphicData>
            </a:graphic>
          </wp:anchor>
        </w:drawing>
      </w:r>
      <w:r>
        <w:rPr>
          <w:b/>
          <w:sz w:val="28"/>
          <w:szCs w:val="28"/>
        </w:rPr>
        <w:br w:type="textWrapping" w:clear="all"/>
      </w:r>
    </w:p>
    <w:p w:rsidR="00267D3D" w:rsidRPr="006B051F" w:rsidRDefault="00966CB0" w:rsidP="006107A2">
      <w:pPr>
        <w:jc w:val="center"/>
        <w:rPr>
          <w:b/>
          <w:sz w:val="28"/>
          <w:szCs w:val="28"/>
        </w:rPr>
      </w:pPr>
      <w:r w:rsidRPr="006B051F">
        <w:rPr>
          <w:rFonts w:eastAsia="HelenPro-Regular"/>
          <w:b/>
          <w:sz w:val="28"/>
          <w:szCs w:val="28"/>
        </w:rPr>
        <w:t>TOTAL</w:t>
      </w:r>
      <w:r w:rsidR="00860C1E" w:rsidRPr="006B051F">
        <w:rPr>
          <w:rFonts w:eastAsia="HelenPro-Regular"/>
          <w:b/>
          <w:sz w:val="28"/>
          <w:szCs w:val="28"/>
        </w:rPr>
        <w:t xml:space="preserve"> </w:t>
      </w:r>
      <w:r w:rsidR="00B81E9E" w:rsidRPr="006B051F">
        <w:rPr>
          <w:rFonts w:eastAsia="HelenPro-Regular"/>
          <w:b/>
          <w:sz w:val="28"/>
          <w:szCs w:val="28"/>
        </w:rPr>
        <w:t>BILIRUBIN</w:t>
      </w:r>
    </w:p>
    <w:p w:rsidR="0056023B" w:rsidRPr="006B051F" w:rsidRDefault="004A2AA3" w:rsidP="006107A2">
      <w:pPr>
        <w:jc w:val="center"/>
        <w:rPr>
          <w:b/>
          <w:sz w:val="28"/>
          <w:szCs w:val="28"/>
        </w:rPr>
      </w:pPr>
      <w:r w:rsidRPr="006B051F">
        <w:rPr>
          <w:b/>
          <w:sz w:val="28"/>
          <w:szCs w:val="28"/>
        </w:rPr>
        <w:t>SERUM</w:t>
      </w:r>
      <w:r w:rsidR="00C32412" w:rsidRPr="006B051F">
        <w:rPr>
          <w:b/>
          <w:sz w:val="28"/>
          <w:szCs w:val="28"/>
        </w:rPr>
        <w:t xml:space="preserve"> OR PLASMA</w:t>
      </w:r>
    </w:p>
    <w:p w:rsidR="006107A2" w:rsidRPr="006B051F" w:rsidRDefault="0088112F" w:rsidP="006107A2">
      <w:pPr>
        <w:jc w:val="center"/>
        <w:rPr>
          <w:b/>
          <w:caps/>
          <w:sz w:val="28"/>
          <w:szCs w:val="28"/>
        </w:rPr>
      </w:pPr>
      <w:r w:rsidRPr="006B051F">
        <w:rPr>
          <w:b/>
          <w:caps/>
          <w:sz w:val="28"/>
          <w:szCs w:val="28"/>
        </w:rPr>
        <w:t>ABBOTT ARCHITECT</w:t>
      </w:r>
    </w:p>
    <w:p w:rsidR="006559EB" w:rsidRPr="006B051F" w:rsidRDefault="006559EB" w:rsidP="006559EB">
      <w:pPr>
        <w:rPr>
          <w:b/>
          <w:sz w:val="28"/>
          <w:szCs w:val="28"/>
        </w:rPr>
      </w:pPr>
    </w:p>
    <w:p w:rsidR="008A7F96" w:rsidRPr="006B051F" w:rsidRDefault="008A7F96" w:rsidP="008A7F96">
      <w:pPr>
        <w:rPr>
          <w:b/>
          <w:color w:val="FF0000"/>
          <w:sz w:val="28"/>
          <w:szCs w:val="28"/>
        </w:rPr>
      </w:pPr>
      <w:r w:rsidRPr="006B051F">
        <w:rPr>
          <w:b/>
          <w:sz w:val="28"/>
          <w:szCs w:val="28"/>
        </w:rPr>
        <w:t xml:space="preserve">Intended Use </w:t>
      </w:r>
    </w:p>
    <w:p w:rsidR="009E7B04" w:rsidRPr="006B051F" w:rsidRDefault="009E7B04" w:rsidP="009E7B04">
      <w:pPr>
        <w:autoSpaceDE w:val="0"/>
        <w:autoSpaceDN w:val="0"/>
        <w:adjustRightInd w:val="0"/>
        <w:rPr>
          <w:rFonts w:eastAsia="HelenPro-Regular"/>
        </w:rPr>
      </w:pPr>
      <w:r w:rsidRPr="006B051F">
        <w:rPr>
          <w:rFonts w:eastAsia="HelenPro-Regular"/>
        </w:rPr>
        <w:t>The Total Bilirubin assay is used for the quantitation of total bilirubin in human serum or plasma of adults and neonates on the ARCHITECT cSystems.</w:t>
      </w:r>
    </w:p>
    <w:p w:rsidR="009E7B04" w:rsidRPr="006B051F" w:rsidRDefault="009E7B04" w:rsidP="009E7B04">
      <w:pPr>
        <w:autoSpaceDE w:val="0"/>
        <w:autoSpaceDN w:val="0"/>
        <w:adjustRightInd w:val="0"/>
        <w:rPr>
          <w:rFonts w:eastAsia="HelenPro-Regular"/>
        </w:rPr>
      </w:pPr>
      <w:r w:rsidRPr="006B051F">
        <w:rPr>
          <w:rFonts w:eastAsia="HelenPro-Regular"/>
        </w:rPr>
        <w:t>Measurement of total bilirubin, an organic compound formed during the normal and abnormal destruction of red blood cells, is used in the diagnosis and treatment of liver, hemolytic, hematological and metabolic disorders, including hepatitis and disorders of the biliary tract.</w:t>
      </w:r>
    </w:p>
    <w:p w:rsidR="0060509E" w:rsidRPr="006B051F" w:rsidRDefault="009E7B04" w:rsidP="009E7B04">
      <w:pPr>
        <w:autoSpaceDE w:val="0"/>
        <w:autoSpaceDN w:val="0"/>
        <w:adjustRightInd w:val="0"/>
        <w:rPr>
          <w:rFonts w:eastAsia="HelenPro-Regular"/>
        </w:rPr>
      </w:pPr>
      <w:r w:rsidRPr="006B051F">
        <w:rPr>
          <w:rFonts w:eastAsia="HelenPro-Regular"/>
        </w:rPr>
        <w:t>Total bilirubin in neonates is also known as neonatal bilirubin. The Total Bilirubin assay is intended to measure the levels of bilirubin in the serum or plasma of newborn infants for use in the diagnosis and management of neonatal jaundice and hemolytic disease of the newborn.</w:t>
      </w:r>
    </w:p>
    <w:p w:rsidR="009E7B04" w:rsidRPr="006B051F" w:rsidRDefault="009E7B04" w:rsidP="009E7B04">
      <w:pPr>
        <w:autoSpaceDE w:val="0"/>
        <w:autoSpaceDN w:val="0"/>
        <w:adjustRightInd w:val="0"/>
        <w:rPr>
          <w:rFonts w:eastAsia="HelenPro-Regular"/>
        </w:rPr>
      </w:pPr>
    </w:p>
    <w:p w:rsidR="0009322F" w:rsidRPr="006B051F" w:rsidRDefault="006559EB" w:rsidP="006107A2">
      <w:pPr>
        <w:jc w:val="both"/>
        <w:rPr>
          <w:sz w:val="28"/>
          <w:szCs w:val="28"/>
        </w:rPr>
      </w:pPr>
      <w:r w:rsidRPr="006B051F">
        <w:rPr>
          <w:b/>
          <w:sz w:val="28"/>
          <w:szCs w:val="28"/>
        </w:rPr>
        <w:t>Clinical Significance</w:t>
      </w:r>
      <w:r w:rsidR="006107A2" w:rsidRPr="006B051F">
        <w:rPr>
          <w:sz w:val="28"/>
          <w:szCs w:val="28"/>
        </w:rPr>
        <w:t xml:space="preserve"> </w:t>
      </w:r>
    </w:p>
    <w:p w:rsidR="009E7B04" w:rsidRPr="006B051F" w:rsidRDefault="009E7B04" w:rsidP="009E7B04">
      <w:pPr>
        <w:autoSpaceDE w:val="0"/>
        <w:autoSpaceDN w:val="0"/>
        <w:adjustRightInd w:val="0"/>
        <w:rPr>
          <w:rFonts w:eastAsia="HelenPro-Regular"/>
        </w:rPr>
      </w:pPr>
      <w:r w:rsidRPr="006B051F">
        <w:rPr>
          <w:rFonts w:eastAsia="HelenPro-Regular"/>
        </w:rPr>
        <w:t>Bilirubin is a degradation product of hemoglobin and other hemecontaining compounds. There are four principle forms of bilirubin in the serum: unconjugated, mono-, and di-glucuronide conjugated, and δ-bilirubin. The unconjugated form, which is mostly insoluble in water, is transported to the liver by albumin. Once in the liver, unconjugated bilirubin is made water soluble by conjugation with glucuronic acid, forming the mono- and di-glucuronide conjugated species.</w:t>
      </w:r>
    </w:p>
    <w:p w:rsidR="009E7B04" w:rsidRPr="006B051F" w:rsidRDefault="009E7B04" w:rsidP="009E7B04">
      <w:pPr>
        <w:autoSpaceDE w:val="0"/>
        <w:autoSpaceDN w:val="0"/>
        <w:adjustRightInd w:val="0"/>
        <w:rPr>
          <w:rFonts w:eastAsia="HelenPro-Regular"/>
        </w:rPr>
      </w:pPr>
      <w:r w:rsidRPr="006B051F">
        <w:rPr>
          <w:rFonts w:eastAsia="HelenPro-Regular"/>
        </w:rPr>
        <w:t>These conjugated species are mostly excreted with bile. However, conjugated bilirubin can also react with albumin forming δ-bilirubin.</w:t>
      </w:r>
    </w:p>
    <w:p w:rsidR="009E7B04" w:rsidRPr="006B051F" w:rsidRDefault="009E7B04" w:rsidP="009E7B04">
      <w:pPr>
        <w:autoSpaceDE w:val="0"/>
        <w:autoSpaceDN w:val="0"/>
        <w:adjustRightInd w:val="0"/>
        <w:rPr>
          <w:rFonts w:eastAsia="HelenPro-Regular"/>
        </w:rPr>
      </w:pPr>
      <w:r w:rsidRPr="006B051F">
        <w:rPr>
          <w:rFonts w:eastAsia="HelenPro-Regular"/>
        </w:rPr>
        <w:t>Conjugated bilirubin is often called direct bilirubin. Unconjugated bilirubin, which is the difference between total and direct bilirubin, is often referred to as indirect bilirubin. Direct bilirubin assays measure conjugated bilirubin fractions (mono- and di-glucuronide, and δ-bilirubin). However, when the concentration of unconjugated bilirubin is high the direct assay may overestimate the conjugated bilirubin concentration due to cross-reactions within the assay.</w:t>
      </w:r>
    </w:p>
    <w:p w:rsidR="009E7B04" w:rsidRPr="006B051F" w:rsidRDefault="009E7B04" w:rsidP="009E7B04">
      <w:pPr>
        <w:autoSpaceDE w:val="0"/>
        <w:autoSpaceDN w:val="0"/>
        <w:adjustRightInd w:val="0"/>
        <w:rPr>
          <w:rFonts w:eastAsia="HelenPro-Regular"/>
        </w:rPr>
      </w:pPr>
      <w:r w:rsidRPr="006B051F">
        <w:rPr>
          <w:rFonts w:eastAsia="HelenPro-Regular"/>
        </w:rPr>
        <w:t>Neonatal bilirubin quantitation is used to monitor diseases causing jaundice in the newborn. Physiologic jaundice is seen at serum bilirubin concentrations from 7 to 17 mg/dL (119.7 to 290.7 μmol/L), and serum bilirubin concentrations greater than 17 mg/dL (290.7 μmol/L) may be pathologic for an average full-term newborn infant. In addition, there is concern for bilirubin encephalopathy or kernicterus (the yellow staining of the basal ganglia observed in infants), and erythroblastosis fetalis (also called hemolytic disease of the newborn or HDN) which is caused by maternal alloimmunization to RhD, antibodies involving additional blood groups, and ABO incompatibility.</w:t>
      </w:r>
    </w:p>
    <w:p w:rsidR="00A062F7" w:rsidRPr="006B051F" w:rsidRDefault="009E7B04" w:rsidP="009E7B04">
      <w:pPr>
        <w:autoSpaceDE w:val="0"/>
        <w:autoSpaceDN w:val="0"/>
        <w:adjustRightInd w:val="0"/>
        <w:rPr>
          <w:rFonts w:eastAsia="HelenPro-Regular"/>
        </w:rPr>
      </w:pPr>
      <w:r w:rsidRPr="006B051F">
        <w:rPr>
          <w:rFonts w:eastAsia="HelenPro-Regular"/>
        </w:rPr>
        <w:t>Additional causes of neonatal jaundice are hematoma/hemorrhage, hypothyroidism, Crigler-Najjar syndrome, obstructive jaundice, galactosemia, sepsis, syphilis, toxoplasmosis, cytomegalovirus, rubella, glucose</w:t>
      </w:r>
      <w:r w:rsidRPr="006B051F">
        <w:rPr>
          <w:rFonts w:ascii="MS Mincho" w:eastAsia="MS Mincho" w:hAnsi="MS Mincho" w:cs="MS Mincho" w:hint="eastAsia"/>
        </w:rPr>
        <w:t>‑</w:t>
      </w:r>
      <w:r w:rsidRPr="006B051F">
        <w:rPr>
          <w:rFonts w:eastAsia="HelenPro-Regular"/>
        </w:rPr>
        <w:t>6</w:t>
      </w:r>
      <w:r w:rsidRPr="006B051F">
        <w:rPr>
          <w:rFonts w:ascii="MS Mincho" w:eastAsia="MS Mincho" w:hAnsi="MS Mincho" w:cs="MS Mincho" w:hint="eastAsia"/>
        </w:rPr>
        <w:t>‑</w:t>
      </w:r>
      <w:r w:rsidRPr="006B051F">
        <w:rPr>
          <w:rFonts w:eastAsia="HelenPro-Regular"/>
        </w:rPr>
        <w:t>phosphate dehydrogenase (G-6-PDH) deficiency, pyruvate kinase deficiency, and spherocytosis.</w:t>
      </w:r>
    </w:p>
    <w:p w:rsidR="00B81E9E" w:rsidRPr="006B051F" w:rsidRDefault="00B81E9E" w:rsidP="008A7F96">
      <w:pPr>
        <w:jc w:val="both"/>
        <w:rPr>
          <w:b/>
          <w:sz w:val="28"/>
          <w:szCs w:val="28"/>
        </w:rPr>
      </w:pPr>
    </w:p>
    <w:p w:rsidR="008A7F96" w:rsidRPr="006B051F" w:rsidRDefault="008A7F96" w:rsidP="008A7F96">
      <w:pPr>
        <w:jc w:val="both"/>
        <w:rPr>
          <w:color w:val="FF0000"/>
          <w:sz w:val="28"/>
          <w:szCs w:val="28"/>
        </w:rPr>
      </w:pPr>
      <w:r w:rsidRPr="006B051F">
        <w:rPr>
          <w:b/>
          <w:sz w:val="28"/>
          <w:szCs w:val="28"/>
        </w:rPr>
        <w:t>Principle</w:t>
      </w:r>
      <w:r w:rsidRPr="006B051F">
        <w:rPr>
          <w:sz w:val="28"/>
          <w:szCs w:val="28"/>
        </w:rPr>
        <w:t xml:space="preserve"> </w:t>
      </w:r>
    </w:p>
    <w:p w:rsidR="008A7F96" w:rsidRPr="006B051F" w:rsidRDefault="008A7F96" w:rsidP="008A7F96">
      <w:pPr>
        <w:jc w:val="both"/>
      </w:pPr>
    </w:p>
    <w:p w:rsidR="009E7B04" w:rsidRPr="006B051F" w:rsidRDefault="009E7B04" w:rsidP="009E7B04">
      <w:pPr>
        <w:autoSpaceDE w:val="0"/>
        <w:autoSpaceDN w:val="0"/>
        <w:adjustRightInd w:val="0"/>
        <w:rPr>
          <w:rFonts w:eastAsia="HelenPro-Regular"/>
        </w:rPr>
      </w:pPr>
      <w:r w:rsidRPr="006B051F">
        <w:rPr>
          <w:rFonts w:eastAsia="HelenPro-Regular"/>
        </w:rPr>
        <w:t>Total (conjugated and unconjugated) bilirubin couples with a diazo reagent in the presence of a surfactant which acts as a solubilizing agent to form azobilirubin. The increase in absorbance at</w:t>
      </w:r>
    </w:p>
    <w:p w:rsidR="009E7B04" w:rsidRPr="006B051F" w:rsidRDefault="009E7B04" w:rsidP="009E7B04">
      <w:pPr>
        <w:autoSpaceDE w:val="0"/>
        <w:autoSpaceDN w:val="0"/>
        <w:adjustRightInd w:val="0"/>
        <w:rPr>
          <w:rFonts w:eastAsia="HelenPro-Regular"/>
        </w:rPr>
      </w:pPr>
      <w:r w:rsidRPr="006B051F">
        <w:rPr>
          <w:rFonts w:eastAsia="HelenPro-Regular"/>
        </w:rPr>
        <w:t>548 nm due to azobilirubin is directly proportional to the total bilirubin concentration.</w:t>
      </w:r>
    </w:p>
    <w:p w:rsidR="009E7B04" w:rsidRPr="006B051F" w:rsidRDefault="009E7B04" w:rsidP="009E7B04">
      <w:pPr>
        <w:rPr>
          <w:rFonts w:eastAsia="HelenPro-Bold"/>
          <w:b/>
          <w:bCs/>
        </w:rPr>
      </w:pPr>
    </w:p>
    <w:p w:rsidR="00DB7BA9" w:rsidRPr="006B051F" w:rsidRDefault="009E7B04" w:rsidP="009E7B04">
      <w:pPr>
        <w:rPr>
          <w:b/>
        </w:rPr>
      </w:pPr>
      <w:r w:rsidRPr="006B051F">
        <w:rPr>
          <w:rFonts w:eastAsia="HelenPro-Bold"/>
          <w:b/>
          <w:bCs/>
        </w:rPr>
        <w:t xml:space="preserve">Methodology: </w:t>
      </w:r>
      <w:r w:rsidRPr="006B051F">
        <w:rPr>
          <w:rFonts w:eastAsia="HelenPro-Regular"/>
        </w:rPr>
        <w:t>Diazonium Salt</w:t>
      </w:r>
    </w:p>
    <w:p w:rsidR="00CF2F62" w:rsidRPr="006B051F" w:rsidRDefault="00CF2F62" w:rsidP="006559EB">
      <w:pPr>
        <w:rPr>
          <w:b/>
        </w:rPr>
      </w:pPr>
    </w:p>
    <w:p w:rsidR="001A41B0" w:rsidRPr="006B051F" w:rsidRDefault="001A41B0" w:rsidP="006559EB">
      <w:pPr>
        <w:rPr>
          <w:b/>
          <w:sz w:val="28"/>
          <w:szCs w:val="28"/>
        </w:rPr>
      </w:pPr>
    </w:p>
    <w:p w:rsidR="006559EB" w:rsidRPr="006B051F" w:rsidRDefault="006559EB" w:rsidP="006559EB">
      <w:pPr>
        <w:rPr>
          <w:b/>
          <w:sz w:val="28"/>
          <w:szCs w:val="28"/>
        </w:rPr>
      </w:pPr>
      <w:r w:rsidRPr="006B051F">
        <w:rPr>
          <w:b/>
          <w:sz w:val="28"/>
          <w:szCs w:val="28"/>
        </w:rPr>
        <w:t>Specimen Collection and Handling</w:t>
      </w:r>
      <w:r w:rsidR="00D60AFA" w:rsidRPr="006B051F">
        <w:rPr>
          <w:b/>
          <w:sz w:val="28"/>
          <w:szCs w:val="28"/>
        </w:rPr>
        <w:t xml:space="preserve"> </w:t>
      </w:r>
    </w:p>
    <w:p w:rsidR="004A03BD" w:rsidRPr="006B051F" w:rsidRDefault="009E7B04" w:rsidP="006559EB">
      <w:pPr>
        <w:rPr>
          <w:b/>
        </w:rPr>
      </w:pPr>
      <w:r w:rsidRPr="006B051F">
        <w:rPr>
          <w:noProof/>
        </w:rPr>
        <w:drawing>
          <wp:inline distT="0" distB="0" distL="0" distR="0" wp14:anchorId="56992603" wp14:editId="4C5437C7">
            <wp:extent cx="4082903" cy="16577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4297"/>
                    <a:stretch/>
                  </pic:blipFill>
                  <pic:spPr bwMode="auto">
                    <a:xfrm>
                      <a:off x="0" y="0"/>
                      <a:ext cx="4086225" cy="1659062"/>
                    </a:xfrm>
                    <a:prstGeom prst="rect">
                      <a:avLst/>
                    </a:prstGeom>
                    <a:ln>
                      <a:noFill/>
                    </a:ln>
                    <a:extLst>
                      <a:ext uri="{53640926-AAD7-44D8-BBD7-CCE9431645EC}">
                        <a14:shadowObscured xmlns:a14="http://schemas.microsoft.com/office/drawing/2010/main"/>
                      </a:ext>
                    </a:extLst>
                  </pic:spPr>
                </pic:pic>
              </a:graphicData>
            </a:graphic>
          </wp:inline>
        </w:drawing>
      </w:r>
    </w:p>
    <w:p w:rsidR="009E7B04" w:rsidRPr="006B051F" w:rsidRDefault="009E7B04" w:rsidP="009E7B04">
      <w:pPr>
        <w:autoSpaceDE w:val="0"/>
        <w:autoSpaceDN w:val="0"/>
        <w:adjustRightInd w:val="0"/>
        <w:rPr>
          <w:rFonts w:eastAsia="HelenPro-Regular"/>
        </w:rPr>
      </w:pPr>
      <w:r w:rsidRPr="006B051F">
        <w:rPr>
          <w:rFonts w:eastAsia="HelenPro-Bold"/>
          <w:b/>
          <w:bCs/>
        </w:rPr>
        <w:t xml:space="preserve">• </w:t>
      </w:r>
      <w:r w:rsidRPr="006B051F">
        <w:rPr>
          <w:rFonts w:eastAsia="HelenPro-Regular"/>
        </w:rPr>
        <w:t>Some specimens, especially those from patients receiving anticoagulant or thrombolytic therapy, may take longer to complete the clotting processes. Fibrin clots may subsequently form in these specimens, and the clots could cause erroneous test results.</w:t>
      </w:r>
    </w:p>
    <w:p w:rsidR="009E7B04" w:rsidRPr="006B051F" w:rsidRDefault="009E7B04" w:rsidP="009E7B04">
      <w:pPr>
        <w:autoSpaceDE w:val="0"/>
        <w:autoSpaceDN w:val="0"/>
        <w:adjustRightInd w:val="0"/>
        <w:rPr>
          <w:rFonts w:eastAsia="HelenPro-Regular"/>
        </w:rPr>
      </w:pPr>
      <w:r w:rsidRPr="006B051F">
        <w:rPr>
          <w:rFonts w:eastAsia="HelenPro-Bold"/>
          <w:b/>
          <w:bCs/>
        </w:rPr>
        <w:t xml:space="preserve">• </w:t>
      </w:r>
      <w:r w:rsidRPr="006B051F">
        <w:rPr>
          <w:rFonts w:eastAsia="HelenPro-Regular"/>
        </w:rPr>
        <w:t>Liquid anticoagulants may have a dilution effect resulting in lower concentrations for individual patient samples.</w:t>
      </w:r>
    </w:p>
    <w:p w:rsidR="009E7B04" w:rsidRPr="006B051F" w:rsidRDefault="009E7B04" w:rsidP="009E7B04">
      <w:pPr>
        <w:autoSpaceDE w:val="0"/>
        <w:autoSpaceDN w:val="0"/>
        <w:adjustRightInd w:val="0"/>
        <w:rPr>
          <w:rFonts w:eastAsia="HelenPro-Regular"/>
        </w:rPr>
      </w:pPr>
      <w:r w:rsidRPr="006B051F">
        <w:rPr>
          <w:rFonts w:eastAsia="HelenPro-Bold"/>
          <w:b/>
          <w:bCs/>
        </w:rPr>
        <w:t xml:space="preserve">• </w:t>
      </w:r>
      <w:r w:rsidRPr="006B051F">
        <w:rPr>
          <w:rFonts w:eastAsia="HelenPro-Regular"/>
        </w:rPr>
        <w:t>Tubes containing sodium fluoride/potassium oxalate are not recommended due to the potential for hemolysis.</w:t>
      </w:r>
    </w:p>
    <w:p w:rsidR="009E7B04" w:rsidRPr="006B051F" w:rsidRDefault="009E7B04" w:rsidP="009E7B04">
      <w:pPr>
        <w:autoSpaceDE w:val="0"/>
        <w:autoSpaceDN w:val="0"/>
        <w:adjustRightInd w:val="0"/>
        <w:rPr>
          <w:rFonts w:eastAsia="HelenPro-Regular"/>
        </w:rPr>
      </w:pPr>
      <w:r w:rsidRPr="006B051F">
        <w:rPr>
          <w:rFonts w:eastAsia="HelenPro-Bold"/>
          <w:b/>
          <w:bCs/>
        </w:rPr>
        <w:t xml:space="preserve">• </w:t>
      </w:r>
      <w:r w:rsidRPr="006B051F">
        <w:rPr>
          <w:rFonts w:eastAsia="HelenPro-Regular"/>
        </w:rPr>
        <w:t>Other specimen types, collection tube types, and anticoagulants have not been verified with this assay.</w:t>
      </w:r>
    </w:p>
    <w:p w:rsidR="009E7B04" w:rsidRPr="006B051F" w:rsidRDefault="009E7B04" w:rsidP="009E7B04">
      <w:pPr>
        <w:rPr>
          <w:rFonts w:eastAsia="HelenPro-Regular"/>
        </w:rPr>
      </w:pPr>
    </w:p>
    <w:p w:rsidR="009E7B04" w:rsidRPr="006B051F" w:rsidRDefault="009E7B04" w:rsidP="009E7B04">
      <w:pPr>
        <w:rPr>
          <w:b/>
        </w:rPr>
      </w:pPr>
      <w:r w:rsidRPr="006B051F">
        <w:rPr>
          <w:rFonts w:eastAsia="HelenPro-Regular"/>
        </w:rPr>
        <w:t>Do not use specimens with fibrin.</w:t>
      </w:r>
    </w:p>
    <w:p w:rsidR="000448CF" w:rsidRPr="006B051F" w:rsidRDefault="000448CF" w:rsidP="00DC16C5">
      <w:pPr>
        <w:autoSpaceDE w:val="0"/>
        <w:autoSpaceDN w:val="0"/>
        <w:adjustRightInd w:val="0"/>
        <w:rPr>
          <w:rFonts w:eastAsia="HelenPro-Regular"/>
          <w:b/>
        </w:rPr>
      </w:pPr>
    </w:p>
    <w:p w:rsidR="00DC16C5" w:rsidRPr="006B051F" w:rsidRDefault="00DC16C5" w:rsidP="00DC16C5">
      <w:pPr>
        <w:autoSpaceDE w:val="0"/>
        <w:autoSpaceDN w:val="0"/>
        <w:adjustRightInd w:val="0"/>
        <w:rPr>
          <w:rFonts w:eastAsia="HelenPro-Regular"/>
          <w:b/>
        </w:rPr>
      </w:pPr>
      <w:r w:rsidRPr="006B051F">
        <w:rPr>
          <w:rFonts w:eastAsia="HelenPro-Regular"/>
          <w:b/>
        </w:rPr>
        <w:t>Specimen Storage</w:t>
      </w:r>
    </w:p>
    <w:p w:rsidR="000448CF" w:rsidRPr="006B051F" w:rsidRDefault="009E7B04" w:rsidP="000448CF">
      <w:pPr>
        <w:autoSpaceDE w:val="0"/>
        <w:autoSpaceDN w:val="0"/>
        <w:adjustRightInd w:val="0"/>
        <w:rPr>
          <w:rFonts w:eastAsia="HelenPro-Regular"/>
        </w:rPr>
      </w:pPr>
      <w:r w:rsidRPr="006B051F">
        <w:rPr>
          <w:noProof/>
        </w:rPr>
        <w:drawing>
          <wp:inline distT="0" distB="0" distL="0" distR="0" wp14:anchorId="55EC9C57" wp14:editId="7136A7A5">
            <wp:extent cx="2628900" cy="1133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28900" cy="1133475"/>
                    </a:xfrm>
                    <a:prstGeom prst="rect">
                      <a:avLst/>
                    </a:prstGeom>
                  </pic:spPr>
                </pic:pic>
              </a:graphicData>
            </a:graphic>
          </wp:inline>
        </w:drawing>
      </w:r>
    </w:p>
    <w:p w:rsidR="004F6C28" w:rsidRPr="006B051F" w:rsidRDefault="004F6C28" w:rsidP="00880899">
      <w:pPr>
        <w:autoSpaceDE w:val="0"/>
        <w:autoSpaceDN w:val="0"/>
        <w:adjustRightInd w:val="0"/>
        <w:rPr>
          <w:rFonts w:eastAsia="HelenPro-Bold"/>
          <w:b/>
          <w:bCs/>
        </w:rPr>
      </w:pPr>
    </w:p>
    <w:p w:rsidR="00316431" w:rsidRPr="006B051F" w:rsidRDefault="00316431" w:rsidP="00040E43">
      <w:pPr>
        <w:autoSpaceDE w:val="0"/>
        <w:autoSpaceDN w:val="0"/>
        <w:adjustRightInd w:val="0"/>
        <w:rPr>
          <w:rFonts w:eastAsia="HelenPro-Bold"/>
          <w:b/>
          <w:bCs/>
        </w:rPr>
      </w:pPr>
    </w:p>
    <w:p w:rsidR="009E7B04" w:rsidRPr="006B051F" w:rsidRDefault="009E7B04" w:rsidP="009E7B04">
      <w:pPr>
        <w:autoSpaceDE w:val="0"/>
        <w:autoSpaceDN w:val="0"/>
        <w:adjustRightInd w:val="0"/>
        <w:rPr>
          <w:rFonts w:eastAsia="HelenPro-Regular"/>
        </w:rPr>
      </w:pPr>
      <w:r w:rsidRPr="006B051F">
        <w:rPr>
          <w:rFonts w:eastAsia="HelenPro-Regular"/>
        </w:rPr>
        <w:t>* Limitations of laboratory equipment make it necessary, in practice, for clinical laboratories to establish a range around -20°C and/or -80 °C for specimen storage.</w:t>
      </w:r>
    </w:p>
    <w:p w:rsidR="009E7B04" w:rsidRPr="006B051F" w:rsidRDefault="009E7B04" w:rsidP="00C32412">
      <w:pPr>
        <w:autoSpaceDE w:val="0"/>
        <w:autoSpaceDN w:val="0"/>
        <w:adjustRightInd w:val="0"/>
        <w:rPr>
          <w:rFonts w:eastAsia="HelenPro-Bold"/>
          <w:b/>
          <w:bCs/>
        </w:rPr>
      </w:pPr>
    </w:p>
    <w:p w:rsidR="00D64E39" w:rsidRPr="006B051F" w:rsidRDefault="00C32412" w:rsidP="00C32412">
      <w:pPr>
        <w:autoSpaceDE w:val="0"/>
        <w:autoSpaceDN w:val="0"/>
        <w:adjustRightInd w:val="0"/>
        <w:rPr>
          <w:rFonts w:eastAsia="HelenPro-Regular"/>
        </w:rPr>
      </w:pPr>
      <w:r w:rsidRPr="006B051F">
        <w:rPr>
          <w:rFonts w:eastAsia="HelenPro-Bold"/>
          <w:b/>
          <w:bCs/>
        </w:rPr>
        <w:t xml:space="preserve">NOTE: </w:t>
      </w:r>
      <w:r w:rsidRPr="006B051F">
        <w:rPr>
          <w:rFonts w:eastAsia="HelenPro-Regular"/>
        </w:rPr>
        <w:t>Stored specimens must be inspected for particulates. If present, mix and centrifuge the specimen to remove particulates prior to testing</w:t>
      </w:r>
      <w:r w:rsidRPr="006B051F">
        <w:rPr>
          <w:rFonts w:eastAsia="HelenPro-Regular"/>
          <w:sz w:val="16"/>
          <w:szCs w:val="16"/>
        </w:rPr>
        <w:t>.</w:t>
      </w:r>
    </w:p>
    <w:p w:rsidR="0012178C" w:rsidRPr="006B051F" w:rsidRDefault="0012178C" w:rsidP="00AE6F5B">
      <w:pPr>
        <w:rPr>
          <w:b/>
          <w:sz w:val="28"/>
          <w:szCs w:val="28"/>
        </w:rPr>
      </w:pPr>
    </w:p>
    <w:p w:rsidR="007E4CE6" w:rsidRPr="006B051F" w:rsidRDefault="00AE6F5B" w:rsidP="00AE6F5B">
      <w:pPr>
        <w:rPr>
          <w:b/>
        </w:rPr>
      </w:pPr>
      <w:r w:rsidRPr="006B051F">
        <w:rPr>
          <w:b/>
          <w:sz w:val="28"/>
          <w:szCs w:val="28"/>
        </w:rPr>
        <w:lastRenderedPageBreak/>
        <w:t>Materials and Equipment Required</w:t>
      </w:r>
      <w:r w:rsidR="00D60AFA" w:rsidRPr="006B051F">
        <w:rPr>
          <w:b/>
          <w:sz w:val="28"/>
          <w:szCs w:val="28"/>
        </w:rPr>
        <w:t xml:space="preserve"> </w:t>
      </w:r>
    </w:p>
    <w:p w:rsidR="00F7103F" w:rsidRPr="006B051F" w:rsidRDefault="00F7103F" w:rsidP="00973EAF">
      <w:pPr>
        <w:ind w:firstLine="720"/>
      </w:pPr>
      <w:r w:rsidRPr="006B051F">
        <w:rPr>
          <w:b/>
        </w:rPr>
        <w:t>TEST INSTRUMENT</w:t>
      </w:r>
      <w:r w:rsidRPr="006B051F">
        <w:t>:  Abbott ARCHITECT System</w:t>
      </w:r>
    </w:p>
    <w:p w:rsidR="006D40ED" w:rsidRPr="006B051F" w:rsidRDefault="006D40ED" w:rsidP="00F7103F">
      <w:pPr>
        <w:rPr>
          <w:b/>
        </w:rPr>
      </w:pPr>
    </w:p>
    <w:p w:rsidR="00F7103F" w:rsidRPr="006B051F" w:rsidRDefault="00F7103F" w:rsidP="00973EAF">
      <w:pPr>
        <w:ind w:firstLine="720"/>
        <w:rPr>
          <w:b/>
        </w:rPr>
      </w:pPr>
      <w:r w:rsidRPr="006B051F">
        <w:rPr>
          <w:b/>
        </w:rPr>
        <w:t>MATERIALS PROVIDED</w:t>
      </w:r>
    </w:p>
    <w:p w:rsidR="00F7103F" w:rsidRPr="006B051F" w:rsidRDefault="00F7103F" w:rsidP="00F7103F"/>
    <w:p w:rsidR="00F7103F" w:rsidRPr="006B051F" w:rsidRDefault="00F7103F" w:rsidP="00973EAF">
      <w:pPr>
        <w:ind w:firstLine="720"/>
      </w:pPr>
      <w:r w:rsidRPr="006B051F">
        <w:rPr>
          <w:rFonts w:eastAsia="HelenPro-Regular"/>
        </w:rPr>
        <w:t xml:space="preserve"> </w:t>
      </w:r>
      <w:r w:rsidR="009E7B04" w:rsidRPr="006B051F">
        <w:rPr>
          <w:rFonts w:eastAsia="HelenPro-Regular"/>
        </w:rPr>
        <w:t>Total Bilirubin 7P32 Reagent Kit</w:t>
      </w:r>
    </w:p>
    <w:p w:rsidR="0060509E" w:rsidRPr="006B051F" w:rsidRDefault="0060509E" w:rsidP="00973EAF">
      <w:pPr>
        <w:ind w:firstLine="720"/>
        <w:rPr>
          <w:b/>
        </w:rPr>
      </w:pPr>
    </w:p>
    <w:p w:rsidR="00F7103F" w:rsidRPr="006B051F" w:rsidRDefault="00F7103F" w:rsidP="00973EAF">
      <w:pPr>
        <w:ind w:firstLine="720"/>
        <w:rPr>
          <w:b/>
        </w:rPr>
      </w:pPr>
      <w:r w:rsidRPr="006B051F">
        <w:rPr>
          <w:b/>
        </w:rPr>
        <w:t>MATERIALS REQUIRED BUT NOT PROVIDED</w:t>
      </w:r>
    </w:p>
    <w:p w:rsidR="00F7103F" w:rsidRPr="006B051F" w:rsidRDefault="00F7103F" w:rsidP="00F7103F"/>
    <w:p w:rsidR="009E7B04" w:rsidRPr="006B051F" w:rsidRDefault="009E7B04" w:rsidP="009E7B04">
      <w:pPr>
        <w:autoSpaceDE w:val="0"/>
        <w:autoSpaceDN w:val="0"/>
        <w:adjustRightInd w:val="0"/>
        <w:ind w:left="720"/>
        <w:rPr>
          <w:rFonts w:eastAsia="HelenPro-Regular"/>
        </w:rPr>
      </w:pPr>
      <w:r w:rsidRPr="006B051F">
        <w:rPr>
          <w:rFonts w:eastAsia="HelenPro-Bold"/>
          <w:b/>
          <w:bCs/>
        </w:rPr>
        <w:t xml:space="preserve">• </w:t>
      </w:r>
      <w:r w:rsidRPr="006B051F">
        <w:rPr>
          <w:rFonts w:eastAsia="HelenPro-Regular"/>
        </w:rPr>
        <w:t>1E66 Bilirubin Calibrator</w:t>
      </w:r>
    </w:p>
    <w:p w:rsidR="009E7B04" w:rsidRPr="006B051F" w:rsidRDefault="009E7B04" w:rsidP="009E7B04">
      <w:pPr>
        <w:autoSpaceDE w:val="0"/>
        <w:autoSpaceDN w:val="0"/>
        <w:adjustRightInd w:val="0"/>
        <w:ind w:left="720"/>
        <w:rPr>
          <w:rFonts w:eastAsia="HelenPro-Regular"/>
        </w:rPr>
      </w:pPr>
      <w:r w:rsidRPr="006B051F">
        <w:rPr>
          <w:rFonts w:eastAsia="HelenPro-Bold"/>
          <w:b/>
          <w:bCs/>
        </w:rPr>
        <w:t xml:space="preserve">• </w:t>
      </w:r>
      <w:r w:rsidRPr="006B051F">
        <w:rPr>
          <w:rFonts w:eastAsia="HelenPro-Regular"/>
        </w:rPr>
        <w:t>Control Material</w:t>
      </w:r>
    </w:p>
    <w:p w:rsidR="000448CF" w:rsidRPr="006B051F" w:rsidRDefault="009E7B04" w:rsidP="009E7B04">
      <w:pPr>
        <w:autoSpaceDE w:val="0"/>
        <w:autoSpaceDN w:val="0"/>
        <w:adjustRightInd w:val="0"/>
        <w:ind w:firstLine="720"/>
        <w:rPr>
          <w:rFonts w:eastAsia="HelenPro-Regular"/>
        </w:rPr>
      </w:pPr>
      <w:r w:rsidRPr="006B051F">
        <w:rPr>
          <w:rFonts w:eastAsia="HelenPro-Bold"/>
          <w:b/>
          <w:bCs/>
        </w:rPr>
        <w:t xml:space="preserve">• </w:t>
      </w:r>
      <w:r w:rsidRPr="006B051F">
        <w:rPr>
          <w:rFonts w:eastAsia="HelenPro-Regular"/>
        </w:rPr>
        <w:t>Saline (0.85% to 0.90% NaCl) for specimens that require dilution</w:t>
      </w:r>
    </w:p>
    <w:p w:rsidR="0012178C" w:rsidRPr="006B051F" w:rsidRDefault="0012178C" w:rsidP="00507B0C">
      <w:pPr>
        <w:rPr>
          <w:b/>
          <w:sz w:val="28"/>
          <w:szCs w:val="28"/>
        </w:rPr>
      </w:pPr>
    </w:p>
    <w:p w:rsidR="00507B0C" w:rsidRPr="006B051F" w:rsidRDefault="00507B0C" w:rsidP="00507B0C">
      <w:pPr>
        <w:rPr>
          <w:b/>
          <w:sz w:val="28"/>
          <w:szCs w:val="28"/>
        </w:rPr>
      </w:pPr>
      <w:r w:rsidRPr="006B051F">
        <w:rPr>
          <w:b/>
          <w:sz w:val="28"/>
          <w:szCs w:val="28"/>
        </w:rPr>
        <w:t xml:space="preserve">Reagent Handling and Storage: </w:t>
      </w:r>
    </w:p>
    <w:p w:rsidR="00507B0C" w:rsidRPr="006B051F" w:rsidRDefault="00507B0C" w:rsidP="004A03BD">
      <w:pPr>
        <w:spacing w:before="72" w:after="43"/>
        <w:rPr>
          <w:b/>
          <w:color w:val="000000"/>
          <w:szCs w:val="15"/>
        </w:rPr>
      </w:pPr>
    </w:p>
    <w:p w:rsidR="00F7103F" w:rsidRPr="006B051F" w:rsidRDefault="00F7103F" w:rsidP="00F7103F">
      <w:pPr>
        <w:pStyle w:val="txt"/>
        <w:numPr>
          <w:ilvl w:val="12"/>
          <w:numId w:val="0"/>
        </w:numPr>
        <w:rPr>
          <w:b/>
          <w:sz w:val="24"/>
          <w:szCs w:val="24"/>
        </w:rPr>
      </w:pPr>
      <w:r w:rsidRPr="006B051F">
        <w:rPr>
          <w:b/>
          <w:i/>
          <w:sz w:val="24"/>
          <w:szCs w:val="24"/>
        </w:rPr>
        <w:t>CAUTION</w:t>
      </w:r>
      <w:r w:rsidRPr="006B051F">
        <w:rPr>
          <w:b/>
          <w:sz w:val="24"/>
          <w:szCs w:val="24"/>
        </w:rPr>
        <w:t>:</w:t>
      </w:r>
    </w:p>
    <w:p w:rsidR="00F7103F" w:rsidRPr="006B051F" w:rsidRDefault="00F7103F" w:rsidP="00F7103F">
      <w:pPr>
        <w:rPr>
          <w:rFonts w:eastAsia="HelenPro-Regular"/>
        </w:rPr>
      </w:pPr>
      <w:r w:rsidRPr="006B051F">
        <w:rPr>
          <w:rFonts w:eastAsia="HelenPro-Regular"/>
        </w:rPr>
        <w:t>For in vitro diagnostic use.</w:t>
      </w:r>
    </w:p>
    <w:p w:rsidR="00DC16C5" w:rsidRPr="006B051F" w:rsidRDefault="00DC16C5" w:rsidP="004B5F9D">
      <w:pPr>
        <w:rPr>
          <w:rFonts w:eastAsia="HelenPro-Regular"/>
        </w:rPr>
      </w:pPr>
    </w:p>
    <w:p w:rsidR="00F7103F" w:rsidRPr="006B051F" w:rsidRDefault="00F7103F" w:rsidP="00F7103F">
      <w:pPr>
        <w:rPr>
          <w:rFonts w:eastAsia="HelenPro-Regular"/>
        </w:rPr>
      </w:pPr>
      <w:r w:rsidRPr="006B051F">
        <w:rPr>
          <w:rFonts w:eastAsia="HelenPro-Regular"/>
          <w:b/>
          <w:bCs/>
        </w:rPr>
        <w:t xml:space="preserve">CAUTION: </w:t>
      </w:r>
      <w:r w:rsidRPr="006B051F">
        <w:rPr>
          <w:rFonts w:eastAsia="HelenPro-Regular"/>
        </w:rPr>
        <w:t>This product requires the handling of human specimens.</w:t>
      </w:r>
    </w:p>
    <w:p w:rsidR="00F7103F" w:rsidRPr="006B051F" w:rsidRDefault="00F7103F" w:rsidP="00F7103F">
      <w:pPr>
        <w:rPr>
          <w:rFonts w:eastAsia="HelenPro-Regular"/>
        </w:rPr>
      </w:pPr>
      <w:r w:rsidRPr="006B051F">
        <w:rPr>
          <w:rFonts w:eastAsia="HelenPro-Regular"/>
        </w:rPr>
        <w:t>It is recommended that all human sourced materials be considered</w:t>
      </w:r>
    </w:p>
    <w:p w:rsidR="00F7103F" w:rsidRPr="006B051F" w:rsidRDefault="00F7103F" w:rsidP="00F7103F">
      <w:pPr>
        <w:rPr>
          <w:rFonts w:eastAsia="HelenPro-Regular"/>
        </w:rPr>
      </w:pPr>
      <w:r w:rsidRPr="006B051F">
        <w:rPr>
          <w:rFonts w:eastAsia="HelenPro-Regular"/>
        </w:rPr>
        <w:t>potentially infectious and be handled in accordance with the OSHA</w:t>
      </w:r>
    </w:p>
    <w:p w:rsidR="004A03BD" w:rsidRPr="006B051F" w:rsidRDefault="00F7103F" w:rsidP="00DC16C5">
      <w:pPr>
        <w:rPr>
          <w:rFonts w:eastAsia="HelenPro-Regular"/>
        </w:rPr>
      </w:pPr>
      <w:r w:rsidRPr="006B051F">
        <w:rPr>
          <w:rFonts w:eastAsia="HelenPro-Regular"/>
        </w:rPr>
        <w:t>Standard on Bloodborne Pathogens. Biosafety Level 2 or other</w:t>
      </w:r>
      <w:r w:rsidR="00DC16C5" w:rsidRPr="006B051F">
        <w:rPr>
          <w:rFonts w:eastAsia="HelenPro-Regular"/>
        </w:rPr>
        <w:t xml:space="preserve"> </w:t>
      </w:r>
      <w:r w:rsidRPr="006B051F">
        <w:rPr>
          <w:rFonts w:eastAsia="HelenPro-Regular"/>
        </w:rPr>
        <w:t>appropriate biosafety practices should be used for materials that contain or are suspected of containing infectious agents.</w:t>
      </w:r>
    </w:p>
    <w:p w:rsidR="00DC16C5" w:rsidRPr="006B051F" w:rsidRDefault="0091658D" w:rsidP="0038442D">
      <w:pPr>
        <w:autoSpaceDE w:val="0"/>
        <w:autoSpaceDN w:val="0"/>
        <w:adjustRightInd w:val="0"/>
        <w:rPr>
          <w:rFonts w:eastAsia="HelenPro-Bold"/>
          <w:b/>
          <w:bCs/>
        </w:rPr>
      </w:pPr>
      <w:r w:rsidRPr="006B051F">
        <w:rPr>
          <w:noProof/>
        </w:rPr>
        <w:drawing>
          <wp:inline distT="0" distB="0" distL="0" distR="0" wp14:anchorId="58CA5050" wp14:editId="6477F224">
            <wp:extent cx="2855888" cy="3519377"/>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56977" cy="3520719"/>
                    </a:xfrm>
                    <a:prstGeom prst="rect">
                      <a:avLst/>
                    </a:prstGeom>
                  </pic:spPr>
                </pic:pic>
              </a:graphicData>
            </a:graphic>
          </wp:inline>
        </w:drawing>
      </w:r>
    </w:p>
    <w:p w:rsidR="0091658D" w:rsidRPr="006B051F" w:rsidRDefault="0091658D" w:rsidP="0038442D">
      <w:pPr>
        <w:autoSpaceDE w:val="0"/>
        <w:autoSpaceDN w:val="0"/>
        <w:adjustRightInd w:val="0"/>
        <w:rPr>
          <w:rFonts w:eastAsia="HelenPro-Bold"/>
          <w:b/>
          <w:bCs/>
        </w:rPr>
      </w:pPr>
      <w:r w:rsidRPr="006B051F">
        <w:rPr>
          <w:noProof/>
        </w:rPr>
        <w:lastRenderedPageBreak/>
        <w:drawing>
          <wp:inline distT="0" distB="0" distL="0" distR="0" wp14:anchorId="68912A30" wp14:editId="240C6ED9">
            <wp:extent cx="3329316" cy="326419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32916" cy="3267725"/>
                    </a:xfrm>
                    <a:prstGeom prst="rect">
                      <a:avLst/>
                    </a:prstGeom>
                  </pic:spPr>
                </pic:pic>
              </a:graphicData>
            </a:graphic>
          </wp:inline>
        </w:drawing>
      </w:r>
    </w:p>
    <w:p w:rsidR="0091658D" w:rsidRPr="006B051F" w:rsidRDefault="0091658D" w:rsidP="0038442D">
      <w:pPr>
        <w:autoSpaceDE w:val="0"/>
        <w:autoSpaceDN w:val="0"/>
        <w:adjustRightInd w:val="0"/>
        <w:rPr>
          <w:rFonts w:eastAsia="HelenPro-Bold"/>
          <w:b/>
          <w:bCs/>
        </w:rPr>
      </w:pPr>
    </w:p>
    <w:p w:rsidR="0091658D" w:rsidRPr="006B051F" w:rsidRDefault="0091658D" w:rsidP="0038442D">
      <w:pPr>
        <w:autoSpaceDE w:val="0"/>
        <w:autoSpaceDN w:val="0"/>
        <w:adjustRightInd w:val="0"/>
        <w:rPr>
          <w:rFonts w:eastAsia="HelenPro-Bold"/>
          <w:b/>
          <w:bCs/>
        </w:rPr>
      </w:pPr>
    </w:p>
    <w:p w:rsidR="0091658D" w:rsidRPr="006B051F" w:rsidRDefault="0091658D" w:rsidP="0038442D">
      <w:pPr>
        <w:autoSpaceDE w:val="0"/>
        <w:autoSpaceDN w:val="0"/>
        <w:adjustRightInd w:val="0"/>
        <w:rPr>
          <w:rFonts w:eastAsia="HelenPro-Bold"/>
          <w:b/>
          <w:bCs/>
        </w:rPr>
      </w:pPr>
    </w:p>
    <w:p w:rsidR="0038442D" w:rsidRPr="006B051F" w:rsidRDefault="0038442D" w:rsidP="0038442D">
      <w:pPr>
        <w:autoSpaceDE w:val="0"/>
        <w:autoSpaceDN w:val="0"/>
        <w:adjustRightInd w:val="0"/>
        <w:rPr>
          <w:rFonts w:eastAsia="HelenPro-Bold"/>
          <w:b/>
          <w:bCs/>
        </w:rPr>
      </w:pPr>
      <w:r w:rsidRPr="006B051F">
        <w:rPr>
          <w:rFonts w:eastAsia="HelenPro-Bold"/>
          <w:b/>
          <w:bCs/>
        </w:rPr>
        <w:t>Reagent Handling</w:t>
      </w:r>
    </w:p>
    <w:p w:rsidR="0091658D" w:rsidRPr="006B051F" w:rsidRDefault="0091658D" w:rsidP="0091658D">
      <w:pPr>
        <w:autoSpaceDE w:val="0"/>
        <w:autoSpaceDN w:val="0"/>
        <w:adjustRightInd w:val="0"/>
        <w:rPr>
          <w:rFonts w:eastAsia="HelenPro-Regular"/>
        </w:rPr>
      </w:pPr>
      <w:r w:rsidRPr="006B051F">
        <w:rPr>
          <w:rFonts w:eastAsia="HelenPro-Bold"/>
          <w:b/>
          <w:bCs/>
        </w:rPr>
        <w:t xml:space="preserve">• </w:t>
      </w:r>
      <w:r w:rsidRPr="006B051F">
        <w:rPr>
          <w:rFonts w:eastAsia="HelenPro-Regular"/>
        </w:rPr>
        <w:t>Do not use reagent kits beyond the expiration date.</w:t>
      </w:r>
    </w:p>
    <w:p w:rsidR="0091658D" w:rsidRPr="006B051F" w:rsidRDefault="0091658D" w:rsidP="0091658D">
      <w:pPr>
        <w:autoSpaceDE w:val="0"/>
        <w:autoSpaceDN w:val="0"/>
        <w:adjustRightInd w:val="0"/>
        <w:rPr>
          <w:rFonts w:eastAsia="HelenPro-Regular"/>
        </w:rPr>
      </w:pPr>
      <w:r w:rsidRPr="006B051F">
        <w:rPr>
          <w:rFonts w:eastAsia="HelenPro-Bold"/>
          <w:b/>
          <w:bCs/>
        </w:rPr>
        <w:t xml:space="preserve">• </w:t>
      </w:r>
      <w:r w:rsidRPr="006B051F">
        <w:rPr>
          <w:rFonts w:eastAsia="HelenPro-Regular"/>
        </w:rPr>
        <w:t>Do not pool reagents within a kit or between kits.</w:t>
      </w:r>
    </w:p>
    <w:p w:rsidR="0091658D" w:rsidRPr="006B051F" w:rsidRDefault="0091658D" w:rsidP="0091658D">
      <w:pPr>
        <w:autoSpaceDE w:val="0"/>
        <w:autoSpaceDN w:val="0"/>
        <w:adjustRightInd w:val="0"/>
        <w:rPr>
          <w:rFonts w:eastAsia="HelenPro-Regular"/>
        </w:rPr>
      </w:pPr>
      <w:r w:rsidRPr="006B051F">
        <w:rPr>
          <w:rFonts w:eastAsia="HelenPro-Bold"/>
          <w:b/>
          <w:bCs/>
        </w:rPr>
        <w:t xml:space="preserve">• </w:t>
      </w:r>
      <w:r w:rsidRPr="006B051F">
        <w:rPr>
          <w:rFonts w:eastAsia="HelenPro-Regular"/>
        </w:rPr>
        <w:t>Do not use components from one lot with components from another lot.</w:t>
      </w:r>
    </w:p>
    <w:p w:rsidR="0091658D" w:rsidRPr="006B051F" w:rsidRDefault="0091658D" w:rsidP="0091658D">
      <w:pPr>
        <w:autoSpaceDE w:val="0"/>
        <w:autoSpaceDN w:val="0"/>
        <w:adjustRightInd w:val="0"/>
        <w:rPr>
          <w:rFonts w:eastAsia="HelenPro-Regular"/>
        </w:rPr>
      </w:pPr>
      <w:r w:rsidRPr="006B051F">
        <w:rPr>
          <w:rFonts w:eastAsia="HelenPro-Bold"/>
          <w:b/>
          <w:bCs/>
        </w:rPr>
        <w:t xml:space="preserve">• </w:t>
      </w:r>
      <w:r w:rsidRPr="006B051F">
        <w:rPr>
          <w:rFonts w:eastAsia="HelenPro-Regular"/>
        </w:rPr>
        <w:t>When either the R1 or R2 reagent cartridge becomes empty, replace both cartridges and validate the system by analyzing controls.</w:t>
      </w:r>
    </w:p>
    <w:p w:rsidR="00C32412" w:rsidRPr="006B051F" w:rsidRDefault="0091658D" w:rsidP="0091658D">
      <w:pPr>
        <w:autoSpaceDE w:val="0"/>
        <w:autoSpaceDN w:val="0"/>
        <w:adjustRightInd w:val="0"/>
        <w:rPr>
          <w:rFonts w:eastAsia="HelenPro-Bold"/>
          <w:b/>
          <w:bCs/>
        </w:rPr>
      </w:pPr>
      <w:r w:rsidRPr="006B051F">
        <w:rPr>
          <w:rFonts w:eastAsia="HelenPro-Bold"/>
          <w:b/>
          <w:bCs/>
        </w:rPr>
        <w:t>• Do not invert reagent cartridges prior to use. Reagents are susceptible to the formation of foam.</w:t>
      </w:r>
    </w:p>
    <w:p w:rsidR="0091658D" w:rsidRPr="006B051F" w:rsidRDefault="0091658D" w:rsidP="0091658D">
      <w:pPr>
        <w:autoSpaceDE w:val="0"/>
        <w:autoSpaceDN w:val="0"/>
        <w:adjustRightInd w:val="0"/>
        <w:rPr>
          <w:rFonts w:eastAsia="HelenPro-Regular"/>
        </w:rPr>
      </w:pPr>
      <w:r w:rsidRPr="006B051F">
        <w:rPr>
          <w:rFonts w:eastAsia="HelenPro-Bold"/>
          <w:b/>
          <w:bCs/>
        </w:rPr>
        <w:t xml:space="preserve">• </w:t>
      </w:r>
      <w:r w:rsidRPr="006B051F">
        <w:rPr>
          <w:rFonts w:eastAsia="HelenPro-Regular"/>
        </w:rPr>
        <w:t>Remove any air bubbles present in the reagent cartridge with a new applicator stick, or allow the reagents to sit at the appropriate storage temperature to allow the bubbles to dissipate.</w:t>
      </w:r>
    </w:p>
    <w:p w:rsidR="0091658D" w:rsidRPr="006B051F" w:rsidRDefault="0091658D" w:rsidP="0091658D">
      <w:pPr>
        <w:autoSpaceDE w:val="0"/>
        <w:autoSpaceDN w:val="0"/>
        <w:adjustRightInd w:val="0"/>
        <w:rPr>
          <w:rFonts w:eastAsia="HelenPro-Regular"/>
        </w:rPr>
      </w:pPr>
      <w:r w:rsidRPr="006B051F">
        <w:rPr>
          <w:rFonts w:eastAsia="HelenPro-Regular"/>
        </w:rPr>
        <w:t>To minimize volume depletion, do not use a transfer pipette to remove bubbles.</w:t>
      </w:r>
    </w:p>
    <w:p w:rsidR="0091658D" w:rsidRPr="006B051F" w:rsidRDefault="0091658D" w:rsidP="0091658D">
      <w:pPr>
        <w:autoSpaceDE w:val="0"/>
        <w:autoSpaceDN w:val="0"/>
        <w:adjustRightInd w:val="0"/>
        <w:rPr>
          <w:rFonts w:eastAsia="HelenPro-Regular"/>
        </w:rPr>
      </w:pPr>
      <w:r w:rsidRPr="006B051F">
        <w:rPr>
          <w:rFonts w:eastAsia="HelenPro-Bold"/>
          <w:b/>
          <w:bCs/>
        </w:rPr>
        <w:t xml:space="preserve">CAUTION: </w:t>
      </w:r>
      <w:r w:rsidRPr="006B051F">
        <w:rPr>
          <w:rFonts w:eastAsia="HelenPro-Regular"/>
        </w:rPr>
        <w:t>Bubbles may interfere with proper detection of reagent level in the cartridge and cause insufficient reagent aspiration which could impact results.</w:t>
      </w:r>
    </w:p>
    <w:p w:rsidR="002D6FB9" w:rsidRPr="006B051F" w:rsidRDefault="002D6FB9" w:rsidP="0038442D">
      <w:pPr>
        <w:autoSpaceDE w:val="0"/>
        <w:autoSpaceDN w:val="0"/>
        <w:adjustRightInd w:val="0"/>
        <w:rPr>
          <w:rFonts w:eastAsia="HelenPro-Bold"/>
          <w:b/>
          <w:bCs/>
        </w:rPr>
      </w:pPr>
    </w:p>
    <w:p w:rsidR="0038442D" w:rsidRPr="006B051F" w:rsidRDefault="0038442D" w:rsidP="0038442D">
      <w:pPr>
        <w:autoSpaceDE w:val="0"/>
        <w:autoSpaceDN w:val="0"/>
        <w:adjustRightInd w:val="0"/>
        <w:rPr>
          <w:rFonts w:eastAsia="HelenPro-Bold"/>
          <w:b/>
          <w:bCs/>
        </w:rPr>
      </w:pPr>
      <w:r w:rsidRPr="006B051F">
        <w:rPr>
          <w:rFonts w:eastAsia="HelenPro-Bold"/>
          <w:b/>
          <w:bCs/>
        </w:rPr>
        <w:t>Reagent Storage</w:t>
      </w:r>
    </w:p>
    <w:p w:rsidR="0038442D" w:rsidRPr="006B051F" w:rsidRDefault="0091658D" w:rsidP="0096561C">
      <w:pPr>
        <w:autoSpaceDE w:val="0"/>
        <w:autoSpaceDN w:val="0"/>
        <w:adjustRightInd w:val="0"/>
        <w:rPr>
          <w:rFonts w:eastAsia="HelenPro-Regular"/>
        </w:rPr>
      </w:pPr>
      <w:r w:rsidRPr="006B051F">
        <w:rPr>
          <w:noProof/>
        </w:rPr>
        <w:drawing>
          <wp:inline distT="0" distB="0" distL="0" distR="0" wp14:anchorId="0C053488" wp14:editId="3EBCF3A3">
            <wp:extent cx="4061637" cy="14307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3583"/>
                    <a:stretch/>
                  </pic:blipFill>
                  <pic:spPr bwMode="auto">
                    <a:xfrm>
                      <a:off x="0" y="0"/>
                      <a:ext cx="4067175" cy="1432665"/>
                    </a:xfrm>
                    <a:prstGeom prst="rect">
                      <a:avLst/>
                    </a:prstGeom>
                    <a:ln>
                      <a:noFill/>
                    </a:ln>
                    <a:extLst>
                      <a:ext uri="{53640926-AAD7-44D8-BBD7-CCE9431645EC}">
                        <a14:shadowObscured xmlns:a14="http://schemas.microsoft.com/office/drawing/2010/main"/>
                      </a:ext>
                    </a:extLst>
                  </pic:spPr>
                </pic:pic>
              </a:graphicData>
            </a:graphic>
          </wp:inline>
        </w:drawing>
      </w:r>
    </w:p>
    <w:p w:rsidR="003D376A" w:rsidRPr="006B051F" w:rsidRDefault="003D376A" w:rsidP="00B36577">
      <w:pPr>
        <w:spacing w:after="72"/>
        <w:rPr>
          <w:rStyle w:val="BodyBold"/>
          <w:rFonts w:ascii="Times New Roman" w:hAnsi="Times New Roman"/>
          <w:sz w:val="24"/>
          <w:szCs w:val="24"/>
        </w:rPr>
      </w:pPr>
    </w:p>
    <w:p w:rsidR="00CA11D0" w:rsidRPr="006B051F" w:rsidRDefault="00B36577" w:rsidP="00B36577">
      <w:pPr>
        <w:spacing w:after="72"/>
      </w:pPr>
      <w:r w:rsidRPr="006B051F">
        <w:rPr>
          <w:rStyle w:val="BodyBold"/>
          <w:rFonts w:ascii="Times New Roman" w:hAnsi="Times New Roman"/>
          <w:sz w:val="24"/>
          <w:szCs w:val="24"/>
          <w:lang w:val="ru-RU"/>
        </w:rPr>
        <w:lastRenderedPageBreak/>
        <w:t>Reagent Preparation:</w:t>
      </w:r>
      <w:r w:rsidRPr="006B051F">
        <w:rPr>
          <w:lang w:val="ru-RU"/>
        </w:rPr>
        <w:t xml:space="preserve"> </w:t>
      </w:r>
    </w:p>
    <w:p w:rsidR="00D64E39" w:rsidRPr="006B051F" w:rsidRDefault="0091658D" w:rsidP="0091658D">
      <w:pPr>
        <w:autoSpaceDE w:val="0"/>
        <w:autoSpaceDN w:val="0"/>
        <w:adjustRightInd w:val="0"/>
        <w:rPr>
          <w:rFonts w:eastAsia="HelenPro-Regular"/>
        </w:rPr>
      </w:pPr>
      <w:r w:rsidRPr="006B051F">
        <w:rPr>
          <w:rFonts w:eastAsia="HelenPro-Regular"/>
        </w:rPr>
        <w:t>Total Bilirubin 7P32 Supplied as liquid, ready-to-use, two-reagent kit.</w:t>
      </w:r>
    </w:p>
    <w:p w:rsidR="00D64E39" w:rsidRPr="006B051F" w:rsidRDefault="0091658D" w:rsidP="00D64E39">
      <w:pPr>
        <w:rPr>
          <w:rFonts w:eastAsia="HelenPro-Regular"/>
        </w:rPr>
      </w:pPr>
      <w:r w:rsidRPr="006B051F">
        <w:rPr>
          <w:noProof/>
        </w:rPr>
        <w:drawing>
          <wp:inline distT="0" distB="0" distL="0" distR="0" wp14:anchorId="71DB90D3" wp14:editId="0F4FDBFA">
            <wp:extent cx="3990975" cy="1457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90975" cy="1457325"/>
                    </a:xfrm>
                    <a:prstGeom prst="rect">
                      <a:avLst/>
                    </a:prstGeom>
                  </pic:spPr>
                </pic:pic>
              </a:graphicData>
            </a:graphic>
          </wp:inline>
        </w:drawing>
      </w:r>
    </w:p>
    <w:p w:rsidR="0091658D" w:rsidRPr="006B051F" w:rsidRDefault="0091658D" w:rsidP="00C3571A">
      <w:pPr>
        <w:autoSpaceDE w:val="0"/>
        <w:autoSpaceDN w:val="0"/>
        <w:adjustRightInd w:val="0"/>
        <w:rPr>
          <w:b/>
        </w:rPr>
      </w:pPr>
    </w:p>
    <w:p w:rsidR="00C3571A" w:rsidRPr="006B051F" w:rsidRDefault="00B36577" w:rsidP="00C3571A">
      <w:pPr>
        <w:autoSpaceDE w:val="0"/>
        <w:autoSpaceDN w:val="0"/>
        <w:adjustRightInd w:val="0"/>
        <w:rPr>
          <w:rFonts w:eastAsia="HelenPro-Regular"/>
        </w:rPr>
      </w:pPr>
      <w:r w:rsidRPr="006B051F">
        <w:rPr>
          <w:b/>
        </w:rPr>
        <w:t>Calibrator:</w:t>
      </w:r>
      <w:r w:rsidRPr="006B051F">
        <w:t xml:space="preserve">  </w:t>
      </w:r>
      <w:r w:rsidR="00B81E9E" w:rsidRPr="006B051F">
        <w:rPr>
          <w:rFonts w:eastAsia="HelenPro-Regular"/>
        </w:rPr>
        <w:t>1E66 Bilirubin Calibrator</w:t>
      </w:r>
    </w:p>
    <w:p w:rsidR="00507B0C" w:rsidRPr="006B051F" w:rsidRDefault="00507B0C" w:rsidP="00507B0C">
      <w:pPr>
        <w:spacing w:after="43"/>
        <w:rPr>
          <w:i/>
          <w:color w:val="FF0000"/>
          <w:szCs w:val="15"/>
        </w:rPr>
      </w:pPr>
    </w:p>
    <w:p w:rsidR="00973EAF" w:rsidRPr="006B051F" w:rsidRDefault="00B36577" w:rsidP="00973EAF">
      <w:pPr>
        <w:spacing w:after="43"/>
        <w:rPr>
          <w:i/>
          <w:color w:val="FF0000"/>
          <w:szCs w:val="15"/>
        </w:rPr>
      </w:pPr>
      <w:r w:rsidRPr="006B051F">
        <w:rPr>
          <w:b/>
          <w:szCs w:val="14"/>
        </w:rPr>
        <w:t>Quality Control:</w:t>
      </w:r>
      <w:r w:rsidR="00CA11D0" w:rsidRPr="006B051F">
        <w:rPr>
          <w:szCs w:val="14"/>
        </w:rPr>
        <w:t xml:space="preserve">  </w:t>
      </w:r>
      <w:r w:rsidR="0056023B" w:rsidRPr="006B051F">
        <w:rPr>
          <w:szCs w:val="14"/>
        </w:rPr>
        <w:t xml:space="preserve">Minimum 2 levels of </w:t>
      </w:r>
      <w:r w:rsidR="0025031C" w:rsidRPr="006B051F">
        <w:t>Chemistry</w:t>
      </w:r>
      <w:r w:rsidR="0025031C" w:rsidRPr="006B051F">
        <w:rPr>
          <w:b/>
        </w:rPr>
        <w:t xml:space="preserve"> </w:t>
      </w:r>
      <w:r w:rsidR="0025031C" w:rsidRPr="006B051F">
        <w:t>Control</w:t>
      </w:r>
      <w:r w:rsidR="0061553C" w:rsidRPr="006B051F">
        <w:t xml:space="preserve"> (Normal and Abnormal)</w:t>
      </w:r>
    </w:p>
    <w:p w:rsidR="00316431" w:rsidRPr="006B051F" w:rsidRDefault="00316431" w:rsidP="00D60AFA">
      <w:pPr>
        <w:spacing w:after="43"/>
        <w:rPr>
          <w:b/>
          <w:sz w:val="28"/>
          <w:szCs w:val="28"/>
        </w:rPr>
      </w:pPr>
    </w:p>
    <w:p w:rsidR="0091658D" w:rsidRPr="006B051F" w:rsidRDefault="0091658D" w:rsidP="00D60AFA">
      <w:pPr>
        <w:spacing w:after="43"/>
        <w:rPr>
          <w:b/>
          <w:sz w:val="28"/>
          <w:szCs w:val="28"/>
        </w:rPr>
      </w:pPr>
    </w:p>
    <w:p w:rsidR="0091658D" w:rsidRPr="006B051F" w:rsidRDefault="0091658D" w:rsidP="00D60AFA">
      <w:pPr>
        <w:spacing w:after="43"/>
        <w:rPr>
          <w:b/>
          <w:sz w:val="28"/>
          <w:szCs w:val="28"/>
        </w:rPr>
      </w:pPr>
    </w:p>
    <w:p w:rsidR="00D60AFA" w:rsidRPr="006B051F" w:rsidRDefault="00AE6F5B" w:rsidP="00D60AFA">
      <w:pPr>
        <w:spacing w:after="43"/>
        <w:rPr>
          <w:i/>
          <w:color w:val="FF0000"/>
          <w:szCs w:val="15"/>
        </w:rPr>
      </w:pPr>
      <w:r w:rsidRPr="006B051F">
        <w:rPr>
          <w:b/>
          <w:sz w:val="28"/>
          <w:szCs w:val="28"/>
        </w:rPr>
        <w:t>Calibration</w:t>
      </w:r>
      <w:r w:rsidR="00D60AFA" w:rsidRPr="006B051F">
        <w:rPr>
          <w:b/>
          <w:sz w:val="28"/>
          <w:szCs w:val="28"/>
        </w:rPr>
        <w:t xml:space="preserve"> </w:t>
      </w:r>
    </w:p>
    <w:p w:rsidR="00AE6F5B" w:rsidRPr="006B051F" w:rsidRDefault="00AE6F5B" w:rsidP="00AE6F5B">
      <w:pPr>
        <w:rPr>
          <w:b/>
          <w:sz w:val="28"/>
          <w:szCs w:val="28"/>
        </w:rPr>
      </w:pPr>
    </w:p>
    <w:p w:rsidR="00644800" w:rsidRPr="006B051F" w:rsidRDefault="00644800" w:rsidP="00644800">
      <w:pPr>
        <w:ind w:firstLine="720"/>
        <w:rPr>
          <w:b/>
        </w:rPr>
      </w:pPr>
      <w:r w:rsidRPr="006B051F">
        <w:rPr>
          <w:b/>
        </w:rPr>
        <w:t xml:space="preserve">Frequency:  </w:t>
      </w:r>
    </w:p>
    <w:p w:rsidR="00CC3D62" w:rsidRPr="006B051F" w:rsidRDefault="00E4787B" w:rsidP="00316431">
      <w:pPr>
        <w:autoSpaceDE w:val="0"/>
        <w:autoSpaceDN w:val="0"/>
        <w:adjustRightInd w:val="0"/>
        <w:ind w:left="720"/>
        <w:rPr>
          <w:rFonts w:eastAsia="HelenPro-Regular"/>
        </w:rPr>
      </w:pPr>
      <w:r w:rsidRPr="006B051F">
        <w:t xml:space="preserve">Calibration is stable for </w:t>
      </w:r>
      <w:r w:rsidR="0091658D" w:rsidRPr="006B051F">
        <w:rPr>
          <w:rFonts w:eastAsia="HelenPro-Regular"/>
        </w:rPr>
        <w:t>21 days (504 hours)</w:t>
      </w:r>
      <w:r w:rsidR="003532B4" w:rsidRPr="006B051F">
        <w:rPr>
          <w:rFonts w:eastAsia="HelenPro-Regular"/>
        </w:rPr>
        <w:t xml:space="preserve"> </w:t>
      </w:r>
      <w:r w:rsidR="00AF597C" w:rsidRPr="006B051F">
        <w:t>for any one lot.</w:t>
      </w:r>
      <w:r w:rsidRPr="006B051F">
        <w:t xml:space="preserve"> </w:t>
      </w:r>
      <w:r w:rsidR="00316431" w:rsidRPr="006B051F">
        <w:rPr>
          <w:rFonts w:eastAsia="HelenPro-Regular"/>
        </w:rPr>
        <w:t>Calibration is required with each change in reagent lot number.</w:t>
      </w:r>
    </w:p>
    <w:p w:rsidR="0055619E" w:rsidRPr="006B051F" w:rsidRDefault="0055619E" w:rsidP="00CC3D62">
      <w:pPr>
        <w:autoSpaceDE w:val="0"/>
        <w:autoSpaceDN w:val="0"/>
        <w:adjustRightInd w:val="0"/>
        <w:ind w:left="720"/>
        <w:rPr>
          <w:b/>
          <w:highlight w:val="cyan"/>
        </w:rPr>
      </w:pPr>
    </w:p>
    <w:p w:rsidR="00CC3D62" w:rsidRPr="006B051F" w:rsidRDefault="00CC3D62" w:rsidP="00CC3D62">
      <w:pPr>
        <w:autoSpaceDE w:val="0"/>
        <w:autoSpaceDN w:val="0"/>
        <w:adjustRightInd w:val="0"/>
        <w:ind w:left="720"/>
        <w:rPr>
          <w:b/>
        </w:rPr>
      </w:pPr>
      <w:r w:rsidRPr="006B051F">
        <w:rPr>
          <w:b/>
        </w:rPr>
        <w:t>A new calibration is required:</w:t>
      </w:r>
    </w:p>
    <w:p w:rsidR="00CC3D62" w:rsidRPr="006B051F" w:rsidRDefault="00CC3D62" w:rsidP="00CC3D62">
      <w:pPr>
        <w:autoSpaceDE w:val="0"/>
        <w:autoSpaceDN w:val="0"/>
        <w:adjustRightInd w:val="0"/>
        <w:ind w:left="720"/>
        <w:rPr>
          <w:b/>
        </w:rPr>
      </w:pPr>
    </w:p>
    <w:p w:rsidR="0056023B" w:rsidRPr="006B051F" w:rsidRDefault="0056023B" w:rsidP="0056023B">
      <w:pPr>
        <w:numPr>
          <w:ilvl w:val="0"/>
          <w:numId w:val="5"/>
        </w:numPr>
        <w:autoSpaceDE w:val="0"/>
        <w:autoSpaceDN w:val="0"/>
        <w:adjustRightInd w:val="0"/>
      </w:pPr>
      <w:r w:rsidRPr="006B051F">
        <w:rPr>
          <w:rFonts w:eastAsia="HelenPro-Regular"/>
        </w:rPr>
        <w:t>If quality control results do not meet acceptance criteria defined by your</w:t>
      </w:r>
      <w:r w:rsidRPr="006B051F">
        <w:t xml:space="preserve"> </w:t>
      </w:r>
      <w:r w:rsidRPr="006B051F">
        <w:rPr>
          <w:rFonts w:eastAsia="HelenPro-Regular"/>
        </w:rPr>
        <w:t>laboratory, patient values may be suspect. Follow the established quality</w:t>
      </w:r>
      <w:r w:rsidRPr="006B051F">
        <w:t xml:space="preserve"> </w:t>
      </w:r>
      <w:r w:rsidRPr="006B051F">
        <w:rPr>
          <w:rFonts w:eastAsia="HelenPro-Regular"/>
        </w:rPr>
        <w:t>control procedures for your laboratory. Recalibration may be necessary.</w:t>
      </w:r>
    </w:p>
    <w:p w:rsidR="00CC3D62" w:rsidRPr="006B051F" w:rsidRDefault="0056023B" w:rsidP="00912FE4">
      <w:pPr>
        <w:numPr>
          <w:ilvl w:val="0"/>
          <w:numId w:val="5"/>
        </w:numPr>
        <w:autoSpaceDE w:val="0"/>
        <w:autoSpaceDN w:val="0"/>
        <w:adjustRightInd w:val="0"/>
      </w:pPr>
      <w:r w:rsidRPr="006B051F">
        <w:rPr>
          <w:rFonts w:eastAsia="HelenPro-Regular"/>
        </w:rPr>
        <w:t>Review quality control results and acceptance criteria following a</w:t>
      </w:r>
      <w:r w:rsidR="00912FE4" w:rsidRPr="006B051F">
        <w:t xml:space="preserve"> </w:t>
      </w:r>
      <w:r w:rsidRPr="006B051F">
        <w:rPr>
          <w:rFonts w:eastAsia="HelenPro-Regular"/>
        </w:rPr>
        <w:t>change of reagent or calibrator lot.</w:t>
      </w:r>
    </w:p>
    <w:p w:rsidR="00CC3D62" w:rsidRPr="006B051F" w:rsidRDefault="00CC3D62" w:rsidP="00E4787B">
      <w:pPr>
        <w:autoSpaceDE w:val="0"/>
        <w:autoSpaceDN w:val="0"/>
        <w:adjustRightInd w:val="0"/>
        <w:ind w:left="720"/>
      </w:pPr>
    </w:p>
    <w:p w:rsidR="00656BB9" w:rsidRPr="006B051F" w:rsidRDefault="005E3AB5" w:rsidP="00656BB9">
      <w:pPr>
        <w:spacing w:after="43"/>
        <w:ind w:firstLine="720"/>
        <w:rPr>
          <w:i/>
          <w:color w:val="FF0000"/>
          <w:szCs w:val="15"/>
        </w:rPr>
      </w:pPr>
      <w:r w:rsidRPr="006B051F">
        <w:rPr>
          <w:b/>
        </w:rPr>
        <w:t>Calibrator Required:</w:t>
      </w:r>
      <w:r w:rsidRPr="006B051F">
        <w:t xml:space="preserve">  </w:t>
      </w:r>
      <w:r w:rsidR="00B81E9E" w:rsidRPr="006B051F">
        <w:rPr>
          <w:rFonts w:eastAsia="HelenPro-Regular"/>
        </w:rPr>
        <w:t>1E66 Bilirubin Calibrator</w:t>
      </w:r>
    </w:p>
    <w:p w:rsidR="00714F24" w:rsidRPr="006B051F" w:rsidRDefault="00714F24" w:rsidP="0025031C">
      <w:pPr>
        <w:spacing w:after="43"/>
        <w:ind w:firstLine="720"/>
        <w:rPr>
          <w:color w:val="000000"/>
          <w:szCs w:val="14"/>
        </w:rPr>
      </w:pPr>
    </w:p>
    <w:p w:rsidR="0025031C" w:rsidRPr="006B051F" w:rsidRDefault="0025031C" w:rsidP="004F5F8A">
      <w:pPr>
        <w:ind w:firstLine="720"/>
        <w:rPr>
          <w:b/>
        </w:rPr>
      </w:pPr>
      <w:r w:rsidRPr="006B051F">
        <w:rPr>
          <w:b/>
        </w:rPr>
        <w:t>Reagents:</w:t>
      </w:r>
    </w:p>
    <w:p w:rsidR="00CF2F62" w:rsidRPr="006B051F" w:rsidRDefault="0012178C" w:rsidP="0012178C">
      <w:pPr>
        <w:autoSpaceDE w:val="0"/>
        <w:autoSpaceDN w:val="0"/>
        <w:adjustRightInd w:val="0"/>
        <w:ind w:left="720"/>
        <w:rPr>
          <w:rFonts w:eastAsia="HelenPro-Regular"/>
        </w:rPr>
      </w:pPr>
      <w:r w:rsidRPr="006B051F">
        <w:rPr>
          <w:rFonts w:eastAsia="HelenPro-Regular"/>
        </w:rPr>
        <w:t>Bilirubin Calibrator is prepared in a bovine serum-based solution. Analyte levels are adjusted with bilirubin extracts and synthetic derivatives. Preservatives are also present.</w:t>
      </w:r>
    </w:p>
    <w:p w:rsidR="003D376A" w:rsidRPr="006B051F" w:rsidRDefault="003D376A" w:rsidP="00F3700B">
      <w:pPr>
        <w:ind w:left="720"/>
        <w:rPr>
          <w:b/>
        </w:rPr>
      </w:pPr>
    </w:p>
    <w:p w:rsidR="00F3700B" w:rsidRPr="006B051F" w:rsidRDefault="0037463A" w:rsidP="00F3700B">
      <w:pPr>
        <w:ind w:left="720"/>
      </w:pPr>
      <w:r w:rsidRPr="006B051F">
        <w:rPr>
          <w:b/>
        </w:rPr>
        <w:t xml:space="preserve">Calibrator Preparation: </w:t>
      </w:r>
    </w:p>
    <w:p w:rsidR="003D38B7" w:rsidRPr="006B051F" w:rsidRDefault="0012178C" w:rsidP="00DC4702">
      <w:pPr>
        <w:autoSpaceDE w:val="0"/>
        <w:autoSpaceDN w:val="0"/>
        <w:adjustRightInd w:val="0"/>
        <w:ind w:left="720"/>
        <w:rPr>
          <w:rFonts w:eastAsia="HelenPro-Regular"/>
        </w:rPr>
      </w:pPr>
      <w:r w:rsidRPr="006B051F">
        <w:rPr>
          <w:rFonts w:eastAsia="HelenPro-Regular"/>
        </w:rPr>
        <w:t>Bilirubin Calibrator requires no preparation prior to use.</w:t>
      </w:r>
    </w:p>
    <w:p w:rsidR="00DC4702" w:rsidRPr="006B051F" w:rsidRDefault="00DC4702" w:rsidP="00AD402C">
      <w:pPr>
        <w:ind w:firstLine="720"/>
        <w:rPr>
          <w:b/>
        </w:rPr>
      </w:pPr>
    </w:p>
    <w:p w:rsidR="004F5F8A" w:rsidRPr="006B051F" w:rsidRDefault="0025031C" w:rsidP="00AD402C">
      <w:pPr>
        <w:ind w:firstLine="720"/>
        <w:rPr>
          <w:b/>
        </w:rPr>
      </w:pPr>
      <w:r w:rsidRPr="006B051F">
        <w:rPr>
          <w:b/>
        </w:rPr>
        <w:t>Calibration Procedure:</w:t>
      </w:r>
      <w:r w:rsidR="0006502B" w:rsidRPr="006B051F">
        <w:rPr>
          <w:b/>
        </w:rPr>
        <w:t xml:space="preserve"> </w:t>
      </w:r>
    </w:p>
    <w:p w:rsidR="0012178C" w:rsidRPr="006B051F" w:rsidRDefault="0012178C" w:rsidP="0012178C">
      <w:pPr>
        <w:autoSpaceDE w:val="0"/>
        <w:autoSpaceDN w:val="0"/>
        <w:adjustRightInd w:val="0"/>
        <w:ind w:left="720"/>
        <w:rPr>
          <w:rFonts w:eastAsia="HelenPro-Regular"/>
        </w:rPr>
      </w:pPr>
      <w:r w:rsidRPr="006B051F">
        <w:rPr>
          <w:rFonts w:eastAsia="HelenPro-Regular"/>
        </w:rPr>
        <w:t>Calibration is performed by running a water blank and the Bilirubin Calibrator set. Water for the blank is provided by the instrument.</w:t>
      </w:r>
    </w:p>
    <w:p w:rsidR="0012178C" w:rsidRPr="006B051F" w:rsidRDefault="0012178C" w:rsidP="0012178C">
      <w:pPr>
        <w:autoSpaceDE w:val="0"/>
        <w:autoSpaceDN w:val="0"/>
        <w:adjustRightInd w:val="0"/>
        <w:ind w:left="720"/>
        <w:rPr>
          <w:rFonts w:eastAsia="HelenPro-Regular"/>
        </w:rPr>
      </w:pPr>
      <w:r w:rsidRPr="006B051F">
        <w:rPr>
          <w:rFonts w:eastAsia="HelenPro-Regular"/>
        </w:rPr>
        <w:lastRenderedPageBreak/>
        <w:t>1. Verify that the correct calibrator values have been entered into the calibration file.</w:t>
      </w:r>
    </w:p>
    <w:p w:rsidR="0012178C" w:rsidRPr="006B051F" w:rsidRDefault="0012178C" w:rsidP="0012178C">
      <w:pPr>
        <w:autoSpaceDE w:val="0"/>
        <w:autoSpaceDN w:val="0"/>
        <w:adjustRightInd w:val="0"/>
        <w:ind w:left="720"/>
        <w:rPr>
          <w:rFonts w:eastAsia="HelenPro-Regular"/>
        </w:rPr>
      </w:pPr>
      <w:r w:rsidRPr="006B051F">
        <w:rPr>
          <w:rFonts w:eastAsia="HelenPro-Regular"/>
        </w:rPr>
        <w:t>2. Allow calibrator to come to room temperature.</w:t>
      </w:r>
    </w:p>
    <w:p w:rsidR="0012178C" w:rsidRPr="006B051F" w:rsidRDefault="0012178C" w:rsidP="0012178C">
      <w:pPr>
        <w:autoSpaceDE w:val="0"/>
        <w:autoSpaceDN w:val="0"/>
        <w:adjustRightInd w:val="0"/>
        <w:ind w:left="720"/>
        <w:rPr>
          <w:rFonts w:eastAsia="HelenPro-Regular"/>
        </w:rPr>
      </w:pPr>
      <w:r w:rsidRPr="006B051F">
        <w:rPr>
          <w:rFonts w:eastAsia="HelenPro-Regular"/>
        </w:rPr>
        <w:t>3. Mix bottle several times by gentle inversion.</w:t>
      </w:r>
    </w:p>
    <w:p w:rsidR="0012178C" w:rsidRPr="006B051F" w:rsidRDefault="0012178C" w:rsidP="0012178C">
      <w:pPr>
        <w:autoSpaceDE w:val="0"/>
        <w:autoSpaceDN w:val="0"/>
        <w:adjustRightInd w:val="0"/>
        <w:ind w:left="720"/>
        <w:rPr>
          <w:rFonts w:eastAsia="HelenPro-Regular"/>
        </w:rPr>
      </w:pPr>
      <w:r w:rsidRPr="006B051F">
        <w:rPr>
          <w:rFonts w:eastAsia="HelenPro-Regular"/>
        </w:rPr>
        <w:t>4. Open bottle, place an appropriate amount of each calibrator in a separate sample cup, and place in the assigned positions.</w:t>
      </w:r>
    </w:p>
    <w:p w:rsidR="0012178C" w:rsidRPr="006B051F" w:rsidRDefault="0012178C" w:rsidP="0012178C">
      <w:pPr>
        <w:autoSpaceDE w:val="0"/>
        <w:autoSpaceDN w:val="0"/>
        <w:adjustRightInd w:val="0"/>
        <w:ind w:left="720"/>
        <w:rPr>
          <w:rFonts w:eastAsia="HelenPro-Regular"/>
        </w:rPr>
      </w:pPr>
      <w:r w:rsidRPr="006B051F">
        <w:rPr>
          <w:rFonts w:eastAsia="HelenPro-Regular"/>
        </w:rPr>
        <w:t>5. Cap bottle tightly and return to refrigerated storage immediately after use.</w:t>
      </w:r>
    </w:p>
    <w:p w:rsidR="00CF2F62" w:rsidRPr="006B051F" w:rsidRDefault="0012178C" w:rsidP="0012178C">
      <w:pPr>
        <w:autoSpaceDE w:val="0"/>
        <w:autoSpaceDN w:val="0"/>
        <w:adjustRightInd w:val="0"/>
        <w:ind w:left="720"/>
        <w:rPr>
          <w:rFonts w:eastAsia="HelenPro-Bold"/>
          <w:b/>
          <w:bCs/>
        </w:rPr>
      </w:pPr>
      <w:r w:rsidRPr="006B051F">
        <w:rPr>
          <w:rFonts w:eastAsia="HelenPro-Regular"/>
        </w:rPr>
        <w:t xml:space="preserve">6. Perform calibration as indicated in the </w:t>
      </w:r>
      <w:r w:rsidRPr="006B051F">
        <w:rPr>
          <w:rFonts w:eastAsia="HelenPro-Bold"/>
          <w:b/>
          <w:bCs/>
        </w:rPr>
        <w:t>ARCHITECT System Operations Manual</w:t>
      </w:r>
      <w:r w:rsidRPr="006B051F">
        <w:rPr>
          <w:rFonts w:eastAsia="HelenPro-Regular"/>
        </w:rPr>
        <w:t>.</w:t>
      </w:r>
    </w:p>
    <w:p w:rsidR="00F3700B" w:rsidRPr="006B051F" w:rsidRDefault="00F3700B" w:rsidP="00DB679E">
      <w:pPr>
        <w:autoSpaceDE w:val="0"/>
        <w:autoSpaceDN w:val="0"/>
        <w:adjustRightInd w:val="0"/>
        <w:ind w:left="720"/>
        <w:rPr>
          <w:rFonts w:eastAsia="HelenPro-Regular"/>
        </w:rPr>
      </w:pPr>
    </w:p>
    <w:p w:rsidR="00AF597C" w:rsidRPr="006B051F" w:rsidRDefault="00AF597C" w:rsidP="0055619E">
      <w:pPr>
        <w:ind w:left="720"/>
        <w:rPr>
          <w:b/>
          <w:bCs/>
        </w:rPr>
      </w:pPr>
      <w:r w:rsidRPr="006B051F">
        <w:rPr>
          <w:b/>
          <w:bCs/>
        </w:rPr>
        <w:t>Troubleshooting and Overall Acceptance Criteria Failure</w:t>
      </w:r>
    </w:p>
    <w:p w:rsidR="00AF597C" w:rsidRPr="006B051F" w:rsidRDefault="00AF597C" w:rsidP="00AF597C">
      <w:pPr>
        <w:ind w:left="900"/>
        <w:rPr>
          <w:bCs/>
        </w:rPr>
      </w:pPr>
    </w:p>
    <w:p w:rsidR="00AF597C" w:rsidRPr="006B051F" w:rsidRDefault="0055619E" w:rsidP="00AF597C">
      <w:pPr>
        <w:ind w:left="720"/>
        <w:rPr>
          <w:bCs/>
          <w:highlight w:val="cyan"/>
        </w:rPr>
      </w:pPr>
      <w:r w:rsidRPr="006B051F">
        <w:rPr>
          <w:bCs/>
        </w:rPr>
        <w:t>See ARCHITECT Operations Manual for further calibration troubleshooting.</w:t>
      </w:r>
    </w:p>
    <w:p w:rsidR="0055619E" w:rsidRPr="006B051F" w:rsidRDefault="0055619E" w:rsidP="004F5F8A">
      <w:pPr>
        <w:ind w:left="720"/>
      </w:pPr>
    </w:p>
    <w:p w:rsidR="00D60AFA" w:rsidRPr="006B051F" w:rsidRDefault="0025031C" w:rsidP="00D60AFA">
      <w:pPr>
        <w:spacing w:after="43"/>
        <w:rPr>
          <w:i/>
          <w:color w:val="FF0000"/>
          <w:szCs w:val="15"/>
        </w:rPr>
      </w:pPr>
      <w:r w:rsidRPr="006B051F">
        <w:rPr>
          <w:b/>
          <w:sz w:val="28"/>
          <w:szCs w:val="28"/>
        </w:rPr>
        <w:t>Quality Control:</w:t>
      </w:r>
      <w:r w:rsidR="00D60AFA" w:rsidRPr="006B051F">
        <w:rPr>
          <w:b/>
          <w:sz w:val="28"/>
          <w:szCs w:val="28"/>
        </w:rPr>
        <w:t xml:space="preserve"> </w:t>
      </w:r>
    </w:p>
    <w:p w:rsidR="00F3700B" w:rsidRPr="006B051F" w:rsidRDefault="00F3700B" w:rsidP="00F3700B">
      <w:pPr>
        <w:autoSpaceDE w:val="0"/>
        <w:autoSpaceDN w:val="0"/>
        <w:adjustRightInd w:val="0"/>
        <w:ind w:left="720"/>
        <w:rPr>
          <w:rFonts w:eastAsia="HelenPro-Regular"/>
        </w:rPr>
      </w:pPr>
      <w:r w:rsidRPr="006B051F">
        <w:rPr>
          <w:rFonts w:eastAsia="HelenPro-Regular"/>
        </w:rPr>
        <w:t>Abbott recommends, refer to your laboratory standard operating procedure(s) and/or quality assurance plan for additional quality control requirements and potential corrective actions:</w:t>
      </w:r>
    </w:p>
    <w:p w:rsidR="00F3700B" w:rsidRPr="006B051F" w:rsidRDefault="00F3700B" w:rsidP="00F3700B">
      <w:pPr>
        <w:autoSpaceDE w:val="0"/>
        <w:autoSpaceDN w:val="0"/>
        <w:adjustRightInd w:val="0"/>
        <w:ind w:left="720"/>
        <w:rPr>
          <w:rFonts w:eastAsia="HelenPro-Regular"/>
        </w:rPr>
      </w:pPr>
      <w:r w:rsidRPr="006B051F">
        <w:rPr>
          <w:rFonts w:eastAsia="HelenPro-Regular"/>
        </w:rPr>
        <w:t>• Two levels of controls (normal and abnormal) are to be run every 24 hours.</w:t>
      </w:r>
    </w:p>
    <w:p w:rsidR="00F3700B" w:rsidRPr="006B051F" w:rsidRDefault="00F3700B" w:rsidP="00F3700B">
      <w:pPr>
        <w:autoSpaceDE w:val="0"/>
        <w:autoSpaceDN w:val="0"/>
        <w:adjustRightInd w:val="0"/>
        <w:ind w:left="720"/>
        <w:rPr>
          <w:rFonts w:eastAsia="HelenPro-Regular"/>
        </w:rPr>
      </w:pPr>
      <w:r w:rsidRPr="006B051F">
        <w:rPr>
          <w:rFonts w:eastAsia="HelenPro-Regular"/>
        </w:rPr>
        <w:t>• If more frequent control monitoring is required, follow the established quality control procedures for your laboratory.</w:t>
      </w:r>
    </w:p>
    <w:p w:rsidR="00F3700B" w:rsidRPr="006B051F" w:rsidRDefault="00F3700B" w:rsidP="00F3700B">
      <w:pPr>
        <w:autoSpaceDE w:val="0"/>
        <w:autoSpaceDN w:val="0"/>
        <w:adjustRightInd w:val="0"/>
        <w:ind w:left="720"/>
        <w:rPr>
          <w:rFonts w:eastAsia="HelenPro-Regular"/>
        </w:rPr>
      </w:pPr>
      <w:r w:rsidRPr="006B051F">
        <w:rPr>
          <w:rFonts w:eastAsia="HelenPro-Regular"/>
        </w:rPr>
        <w:t>• If quality control results do not meet the acceptance criteria defined by your laboratory, patient values may be suspect. Follow the established quality control procedures for your laboratory.</w:t>
      </w:r>
    </w:p>
    <w:p w:rsidR="00F3700B" w:rsidRPr="006B051F" w:rsidRDefault="00F3700B" w:rsidP="00F3700B">
      <w:pPr>
        <w:autoSpaceDE w:val="0"/>
        <w:autoSpaceDN w:val="0"/>
        <w:adjustRightInd w:val="0"/>
        <w:ind w:left="720"/>
        <w:rPr>
          <w:rFonts w:eastAsia="HelenPro-Regular"/>
        </w:rPr>
      </w:pPr>
      <w:r w:rsidRPr="006B051F">
        <w:rPr>
          <w:rFonts w:eastAsia="HelenPro-Regular"/>
        </w:rPr>
        <w:t>Recalibration may be necessary.</w:t>
      </w:r>
    </w:p>
    <w:p w:rsidR="00973EAF" w:rsidRPr="006B051F" w:rsidRDefault="00F3700B" w:rsidP="00F3700B">
      <w:pPr>
        <w:autoSpaceDE w:val="0"/>
        <w:autoSpaceDN w:val="0"/>
        <w:adjustRightInd w:val="0"/>
        <w:ind w:left="720"/>
        <w:rPr>
          <w:rFonts w:eastAsia="HelenPro-Regular"/>
        </w:rPr>
      </w:pPr>
      <w:r w:rsidRPr="006B051F">
        <w:rPr>
          <w:rFonts w:eastAsia="HelenPro-Regular"/>
        </w:rPr>
        <w:t>• Review quality control results and acceptance criteria following a change of reagent or calibrator lot.</w:t>
      </w:r>
    </w:p>
    <w:p w:rsidR="00F3700B" w:rsidRPr="006B051F" w:rsidRDefault="00F3700B" w:rsidP="00F66836">
      <w:pPr>
        <w:rPr>
          <w:b/>
          <w:sz w:val="28"/>
          <w:szCs w:val="28"/>
        </w:rPr>
      </w:pPr>
    </w:p>
    <w:p w:rsidR="00F66836" w:rsidRPr="006B051F" w:rsidRDefault="00F66836" w:rsidP="00F66836">
      <w:pPr>
        <w:rPr>
          <w:b/>
          <w:sz w:val="28"/>
          <w:szCs w:val="28"/>
        </w:rPr>
      </w:pPr>
      <w:r w:rsidRPr="006B051F">
        <w:rPr>
          <w:b/>
          <w:sz w:val="28"/>
          <w:szCs w:val="28"/>
        </w:rPr>
        <w:t>Procedure</w:t>
      </w:r>
      <w:r w:rsidR="006D40ED" w:rsidRPr="006B051F">
        <w:rPr>
          <w:b/>
          <w:sz w:val="28"/>
          <w:szCs w:val="28"/>
        </w:rPr>
        <w:t xml:space="preserve"> </w:t>
      </w:r>
    </w:p>
    <w:p w:rsidR="00B36577" w:rsidRPr="006B051F" w:rsidRDefault="00A554D4" w:rsidP="002C7FD5">
      <w:pPr>
        <w:rPr>
          <w:b/>
        </w:rPr>
      </w:pPr>
      <w:r w:rsidRPr="006B051F">
        <w:rPr>
          <w:rFonts w:eastAsia="HelenPro-Regular"/>
        </w:rPr>
        <w:t xml:space="preserve">For a detailed description of how to run an assay, refer to </w:t>
      </w:r>
      <w:r w:rsidRPr="006B051F">
        <w:rPr>
          <w:i/>
          <w:iCs/>
        </w:rPr>
        <w:t xml:space="preserve">Section 5 </w:t>
      </w:r>
      <w:r w:rsidRPr="006B051F">
        <w:rPr>
          <w:rFonts w:eastAsia="HelenPro-Regular"/>
        </w:rPr>
        <w:t xml:space="preserve">of the </w:t>
      </w:r>
      <w:r w:rsidRPr="006B051F">
        <w:rPr>
          <w:b/>
          <w:bCs/>
        </w:rPr>
        <w:t>ARCHITECT System Operations Manual</w:t>
      </w:r>
      <w:r w:rsidRPr="006B051F">
        <w:rPr>
          <w:rFonts w:eastAsia="HelenPro-Regular"/>
        </w:rPr>
        <w:t>.</w:t>
      </w:r>
    </w:p>
    <w:p w:rsidR="003D376A" w:rsidRPr="006B051F" w:rsidRDefault="003D376A" w:rsidP="00F3700B">
      <w:pPr>
        <w:rPr>
          <w:b/>
          <w:sz w:val="28"/>
          <w:szCs w:val="28"/>
        </w:rPr>
      </w:pPr>
    </w:p>
    <w:p w:rsidR="006D40ED" w:rsidRPr="006B051F" w:rsidRDefault="00132081" w:rsidP="00F3700B">
      <w:pPr>
        <w:rPr>
          <w:i/>
          <w:color w:val="FF0000"/>
          <w:sz w:val="28"/>
          <w:szCs w:val="28"/>
        </w:rPr>
      </w:pPr>
      <w:r w:rsidRPr="006B051F">
        <w:rPr>
          <w:b/>
          <w:sz w:val="28"/>
          <w:szCs w:val="28"/>
        </w:rPr>
        <w:t>Calculations</w:t>
      </w:r>
      <w:r w:rsidR="00D60AFA" w:rsidRPr="006B051F">
        <w:rPr>
          <w:b/>
          <w:sz w:val="28"/>
          <w:szCs w:val="28"/>
        </w:rPr>
        <w:t xml:space="preserve"> </w:t>
      </w:r>
    </w:p>
    <w:p w:rsidR="00A554D4" w:rsidRPr="006B051F" w:rsidRDefault="00A554D4" w:rsidP="00AB793D">
      <w:pPr>
        <w:rPr>
          <w:rFonts w:eastAsia="HelenPro-Regular"/>
        </w:rPr>
      </w:pPr>
      <w:r w:rsidRPr="006B051F">
        <w:rPr>
          <w:rFonts w:eastAsia="HelenPro-Regular"/>
        </w:rPr>
        <w:t xml:space="preserve">Refer to </w:t>
      </w:r>
      <w:r w:rsidRPr="006B051F">
        <w:rPr>
          <w:rFonts w:eastAsia="HelenPro-Regular"/>
          <w:i/>
          <w:iCs/>
        </w:rPr>
        <w:t xml:space="preserve">Appendix C </w:t>
      </w:r>
      <w:r w:rsidRPr="006B051F">
        <w:rPr>
          <w:rFonts w:eastAsia="HelenPro-Regular"/>
        </w:rPr>
        <w:t xml:space="preserve">of the </w:t>
      </w:r>
      <w:r w:rsidRPr="006B051F">
        <w:rPr>
          <w:rFonts w:eastAsia="HelenPro-Regular"/>
          <w:b/>
          <w:bCs/>
        </w:rPr>
        <w:t xml:space="preserve">ARCHITECT System Operations Manual </w:t>
      </w:r>
      <w:r w:rsidRPr="006B051F">
        <w:rPr>
          <w:rFonts w:eastAsia="HelenPro-Regular"/>
        </w:rPr>
        <w:t>for</w:t>
      </w:r>
      <w:r w:rsidR="00D64E39" w:rsidRPr="006B051F">
        <w:rPr>
          <w:rFonts w:eastAsia="HelenPro-Regular"/>
        </w:rPr>
        <w:t xml:space="preserve"> </w:t>
      </w:r>
      <w:r w:rsidRPr="006B051F">
        <w:rPr>
          <w:rFonts w:eastAsia="HelenPro-Regular"/>
        </w:rPr>
        <w:t>information on results calculations.</w:t>
      </w:r>
    </w:p>
    <w:p w:rsidR="00F92520" w:rsidRPr="006B051F" w:rsidRDefault="00F92520" w:rsidP="00A554D4">
      <w:pPr>
        <w:ind w:left="1530"/>
        <w:rPr>
          <w:rFonts w:eastAsia="HelenPro-Regular"/>
        </w:rPr>
      </w:pPr>
    </w:p>
    <w:p w:rsidR="000A090B" w:rsidRPr="006B051F" w:rsidRDefault="00132081" w:rsidP="000A090B">
      <w:pPr>
        <w:jc w:val="both"/>
        <w:rPr>
          <w:sz w:val="28"/>
          <w:szCs w:val="28"/>
        </w:rPr>
      </w:pPr>
      <w:r w:rsidRPr="006B051F">
        <w:rPr>
          <w:b/>
          <w:sz w:val="28"/>
          <w:szCs w:val="28"/>
        </w:rPr>
        <w:t>Reporting Results</w:t>
      </w:r>
      <w:r w:rsidR="000A090B" w:rsidRPr="006B051F">
        <w:rPr>
          <w:sz w:val="28"/>
          <w:szCs w:val="28"/>
        </w:rPr>
        <w:t xml:space="preserve"> </w:t>
      </w:r>
    </w:p>
    <w:p w:rsidR="00D64E39" w:rsidRPr="006B051F" w:rsidRDefault="00880899" w:rsidP="00880899">
      <w:pPr>
        <w:autoSpaceDE w:val="0"/>
        <w:autoSpaceDN w:val="0"/>
        <w:adjustRightInd w:val="0"/>
        <w:rPr>
          <w:rFonts w:eastAsia="HelenPro-Regular"/>
        </w:rPr>
      </w:pPr>
      <w:r w:rsidRPr="006B051F">
        <w:rPr>
          <w:rFonts w:eastAsia="HelenPro-Regular"/>
        </w:rPr>
        <w:t xml:space="preserve">The result unit for the </w:t>
      </w:r>
      <w:r w:rsidR="00CB75C5" w:rsidRPr="006B051F">
        <w:rPr>
          <w:rFonts w:eastAsia="HelenPro-Regular"/>
        </w:rPr>
        <w:t>Total</w:t>
      </w:r>
      <w:r w:rsidR="004B5F9D" w:rsidRPr="006B051F">
        <w:rPr>
          <w:rFonts w:eastAsia="HelenPro-Regular"/>
        </w:rPr>
        <w:t xml:space="preserve"> </w:t>
      </w:r>
      <w:r w:rsidR="00B81E9E" w:rsidRPr="006B051F">
        <w:rPr>
          <w:rFonts w:eastAsia="HelenPro-Regular"/>
        </w:rPr>
        <w:t>Bilirubin</w:t>
      </w:r>
      <w:r w:rsidRPr="006B051F">
        <w:rPr>
          <w:rFonts w:eastAsia="HelenPro-Regular"/>
        </w:rPr>
        <w:t xml:space="preserve"> assay can be reported</w:t>
      </w:r>
      <w:r w:rsidR="00CF2F62" w:rsidRPr="006B051F">
        <w:rPr>
          <w:rFonts w:eastAsia="HelenPro-Regular"/>
        </w:rPr>
        <w:t xml:space="preserve"> </w:t>
      </w:r>
      <w:r w:rsidRPr="006B051F">
        <w:rPr>
          <w:rFonts w:eastAsia="HelenPro-Regular"/>
        </w:rPr>
        <w:t xml:space="preserve">as </w:t>
      </w:r>
      <w:r w:rsidR="00677E98" w:rsidRPr="006B051F">
        <w:rPr>
          <w:rFonts w:eastAsia="HelenPro-Regular"/>
        </w:rPr>
        <w:t>mg/d</w:t>
      </w:r>
      <w:r w:rsidR="004B5F9D" w:rsidRPr="006B051F">
        <w:rPr>
          <w:rFonts w:eastAsia="HelenPro-Regular"/>
        </w:rPr>
        <w:t>L</w:t>
      </w:r>
      <w:r w:rsidR="00B81E9E" w:rsidRPr="006B051F">
        <w:rPr>
          <w:rFonts w:eastAsia="HelenPro-Regular"/>
        </w:rPr>
        <w:t xml:space="preserve"> or umol/L</w:t>
      </w:r>
      <w:r w:rsidRPr="006B051F">
        <w:rPr>
          <w:rFonts w:eastAsia="HelenPro-Regular"/>
        </w:rPr>
        <w:t>.</w:t>
      </w:r>
    </w:p>
    <w:p w:rsidR="00DB7BA9" w:rsidRPr="006B051F" w:rsidRDefault="00DB7BA9" w:rsidP="00DB7BA9">
      <w:pPr>
        <w:rPr>
          <w:b/>
          <w:bCs/>
        </w:rPr>
      </w:pPr>
    </w:p>
    <w:p w:rsidR="00912FE4" w:rsidRPr="006B051F" w:rsidRDefault="00912FE4" w:rsidP="00AB793D">
      <w:pPr>
        <w:rPr>
          <w:b/>
          <w:bCs/>
          <w:sz w:val="28"/>
          <w:szCs w:val="28"/>
        </w:rPr>
      </w:pPr>
      <w:r w:rsidRPr="006B051F">
        <w:rPr>
          <w:b/>
          <w:bCs/>
          <w:sz w:val="28"/>
          <w:szCs w:val="28"/>
        </w:rPr>
        <w:t>Specific Performance Characteristics</w:t>
      </w:r>
      <w:r w:rsidR="00D60AFA" w:rsidRPr="006B051F">
        <w:rPr>
          <w:b/>
          <w:bCs/>
          <w:sz w:val="28"/>
          <w:szCs w:val="28"/>
        </w:rPr>
        <w:t xml:space="preserve"> </w:t>
      </w:r>
    </w:p>
    <w:p w:rsidR="00CE2DC7" w:rsidRPr="006B051F" w:rsidRDefault="00CE2DC7" w:rsidP="00AB793D">
      <w:pPr>
        <w:rPr>
          <w:b/>
          <w:bCs/>
        </w:rPr>
      </w:pPr>
      <w:r w:rsidRPr="006B051F">
        <w:rPr>
          <w:b/>
          <w:bCs/>
        </w:rPr>
        <w:t>Reference Ranges</w:t>
      </w:r>
      <w:r w:rsidR="00D60AFA" w:rsidRPr="006B051F">
        <w:rPr>
          <w:b/>
          <w:bCs/>
        </w:rPr>
        <w:t xml:space="preserve"> </w:t>
      </w:r>
    </w:p>
    <w:p w:rsidR="0055619E" w:rsidRPr="006B051F" w:rsidRDefault="006D40ED" w:rsidP="006D40ED">
      <w:pPr>
        <w:autoSpaceDE w:val="0"/>
        <w:autoSpaceDN w:val="0"/>
        <w:adjustRightInd w:val="0"/>
        <w:rPr>
          <w:rFonts w:eastAsia="HelenPro-Regular"/>
        </w:rPr>
      </w:pPr>
      <w:r w:rsidRPr="006B051F">
        <w:rPr>
          <w:rFonts w:eastAsia="HelenPro-Regular"/>
        </w:rPr>
        <w:t>It is recommended that each laboratory determine its own reference range based upon its particular locale and population characteristics.</w:t>
      </w:r>
    </w:p>
    <w:p w:rsidR="002D6FB9" w:rsidRPr="006B051F" w:rsidRDefault="002D6FB9" w:rsidP="00AB793D">
      <w:pPr>
        <w:rPr>
          <w:b/>
          <w:bCs/>
        </w:rPr>
      </w:pPr>
    </w:p>
    <w:p w:rsidR="0055619E" w:rsidRPr="006B051F" w:rsidRDefault="006B051F" w:rsidP="00AB793D">
      <w:pPr>
        <w:rPr>
          <w:b/>
          <w:bCs/>
        </w:rPr>
      </w:pPr>
      <w:bookmarkStart w:id="0" w:name="_GoBack"/>
      <w:bookmarkEnd w:id="0"/>
      <w:r w:rsidRPr="006B051F">
        <w:rPr>
          <w:b/>
          <w:bCs/>
        </w:rPr>
        <w:t>Serum/Plasma:</w:t>
      </w:r>
    </w:p>
    <w:p w:rsidR="006B051F" w:rsidRPr="006B051F" w:rsidRDefault="006B051F" w:rsidP="00AB793D">
      <w:pPr>
        <w:rPr>
          <w:bCs/>
        </w:rPr>
      </w:pPr>
      <w:r w:rsidRPr="006B051F">
        <w:rPr>
          <w:b/>
          <w:bCs/>
        </w:rPr>
        <w:tab/>
      </w:r>
      <w:r w:rsidRPr="006B051F">
        <w:rPr>
          <w:b/>
          <w:bCs/>
          <w:u w:val="single"/>
        </w:rPr>
        <w:t>&lt;</w:t>
      </w:r>
      <w:r w:rsidRPr="006B051F">
        <w:rPr>
          <w:b/>
          <w:bCs/>
        </w:rPr>
        <w:t xml:space="preserve"> 1 day:</w:t>
      </w:r>
      <w:r w:rsidRPr="006B051F">
        <w:rPr>
          <w:b/>
          <w:bCs/>
        </w:rPr>
        <w:tab/>
      </w:r>
      <w:r w:rsidRPr="006B051F">
        <w:rPr>
          <w:bCs/>
        </w:rPr>
        <w:t>0.0 – 6.0 mg/dL</w:t>
      </w:r>
    </w:p>
    <w:p w:rsidR="006B051F" w:rsidRPr="006B051F" w:rsidRDefault="006B051F" w:rsidP="00AB793D">
      <w:pPr>
        <w:rPr>
          <w:bCs/>
        </w:rPr>
      </w:pPr>
      <w:r w:rsidRPr="006B051F">
        <w:rPr>
          <w:b/>
          <w:bCs/>
        </w:rPr>
        <w:tab/>
      </w:r>
      <w:r w:rsidRPr="006B051F">
        <w:rPr>
          <w:b/>
          <w:bCs/>
          <w:u w:val="single"/>
        </w:rPr>
        <w:t>&lt;</w:t>
      </w:r>
      <w:r w:rsidRPr="006B051F">
        <w:rPr>
          <w:b/>
          <w:bCs/>
        </w:rPr>
        <w:t xml:space="preserve"> 2 days:</w:t>
      </w:r>
      <w:r w:rsidRPr="006B051F">
        <w:rPr>
          <w:b/>
          <w:bCs/>
        </w:rPr>
        <w:tab/>
      </w:r>
      <w:r w:rsidRPr="006B051F">
        <w:rPr>
          <w:bCs/>
        </w:rPr>
        <w:t>0.0 – 10.0 mg/dL</w:t>
      </w:r>
    </w:p>
    <w:p w:rsidR="006B051F" w:rsidRPr="006B051F" w:rsidRDefault="006B051F" w:rsidP="00AB793D">
      <w:pPr>
        <w:rPr>
          <w:bCs/>
        </w:rPr>
      </w:pPr>
      <w:r w:rsidRPr="006B051F">
        <w:rPr>
          <w:b/>
          <w:bCs/>
        </w:rPr>
        <w:tab/>
      </w:r>
      <w:r w:rsidRPr="006B051F">
        <w:rPr>
          <w:b/>
          <w:bCs/>
          <w:u w:val="single"/>
        </w:rPr>
        <w:t>&lt;</w:t>
      </w:r>
      <w:r w:rsidRPr="006B051F">
        <w:rPr>
          <w:b/>
          <w:bCs/>
        </w:rPr>
        <w:t xml:space="preserve"> 5 days:</w:t>
      </w:r>
      <w:r w:rsidRPr="006B051F">
        <w:rPr>
          <w:b/>
          <w:bCs/>
        </w:rPr>
        <w:tab/>
      </w:r>
      <w:r w:rsidRPr="006B051F">
        <w:rPr>
          <w:bCs/>
        </w:rPr>
        <w:t>0.0 – 12.0 mg/dL</w:t>
      </w:r>
    </w:p>
    <w:p w:rsidR="006B051F" w:rsidRPr="006B051F" w:rsidRDefault="006B051F" w:rsidP="00AB793D">
      <w:pPr>
        <w:rPr>
          <w:bCs/>
        </w:rPr>
      </w:pPr>
      <w:r w:rsidRPr="006B051F">
        <w:rPr>
          <w:b/>
          <w:bCs/>
        </w:rPr>
        <w:lastRenderedPageBreak/>
        <w:tab/>
      </w:r>
      <w:r w:rsidRPr="006B051F">
        <w:rPr>
          <w:b/>
          <w:bCs/>
          <w:u w:val="single"/>
        </w:rPr>
        <w:t>&lt;</w:t>
      </w:r>
      <w:r w:rsidRPr="006B051F">
        <w:rPr>
          <w:b/>
          <w:bCs/>
        </w:rPr>
        <w:t xml:space="preserve"> 1 week:</w:t>
      </w:r>
      <w:r w:rsidRPr="006B051F">
        <w:rPr>
          <w:b/>
          <w:bCs/>
        </w:rPr>
        <w:tab/>
      </w:r>
      <w:r w:rsidRPr="006B051F">
        <w:rPr>
          <w:bCs/>
        </w:rPr>
        <w:t>0.0 – 10.0 mg/dL</w:t>
      </w:r>
    </w:p>
    <w:p w:rsidR="006B051F" w:rsidRPr="006B051F" w:rsidRDefault="006B051F" w:rsidP="00AB793D">
      <w:pPr>
        <w:rPr>
          <w:bCs/>
        </w:rPr>
      </w:pPr>
      <w:r w:rsidRPr="006B051F">
        <w:rPr>
          <w:b/>
          <w:bCs/>
        </w:rPr>
        <w:tab/>
        <w:t>Adult:</w:t>
      </w:r>
      <w:r w:rsidRPr="006B051F">
        <w:rPr>
          <w:b/>
          <w:bCs/>
        </w:rPr>
        <w:tab/>
      </w:r>
      <w:r w:rsidRPr="006B051F">
        <w:rPr>
          <w:b/>
          <w:bCs/>
        </w:rPr>
        <w:tab/>
      </w:r>
      <w:r w:rsidRPr="006B051F">
        <w:rPr>
          <w:bCs/>
        </w:rPr>
        <w:t>0.2 – 1.2 mg/dL</w:t>
      </w:r>
    </w:p>
    <w:p w:rsidR="00D64E39" w:rsidRPr="006B051F" w:rsidRDefault="00D64E39" w:rsidP="00AB793D">
      <w:pPr>
        <w:rPr>
          <w:bCs/>
        </w:rPr>
      </w:pPr>
    </w:p>
    <w:p w:rsidR="00B63E8F" w:rsidRPr="006B051F" w:rsidRDefault="00B63E8F" w:rsidP="00623EFB">
      <w:pPr>
        <w:ind w:right="720"/>
        <w:jc w:val="both"/>
        <w:rPr>
          <w:b/>
        </w:rPr>
      </w:pPr>
      <w:r w:rsidRPr="006B051F">
        <w:rPr>
          <w:b/>
        </w:rPr>
        <w:t>Critical Values</w:t>
      </w:r>
      <w:r w:rsidR="006B051F" w:rsidRPr="006B051F">
        <w:rPr>
          <w:b/>
        </w:rPr>
        <w:t>:</w:t>
      </w:r>
    </w:p>
    <w:p w:rsidR="006B051F" w:rsidRPr="006B051F" w:rsidRDefault="006B051F" w:rsidP="006B051F">
      <w:pPr>
        <w:ind w:firstLine="720"/>
        <w:rPr>
          <w:bCs/>
        </w:rPr>
      </w:pPr>
      <w:r w:rsidRPr="006B051F">
        <w:rPr>
          <w:b/>
          <w:bCs/>
          <w:u w:val="single"/>
        </w:rPr>
        <w:t>&lt;</w:t>
      </w:r>
      <w:r w:rsidRPr="006B051F">
        <w:rPr>
          <w:b/>
          <w:bCs/>
        </w:rPr>
        <w:t xml:space="preserve"> 1 day:</w:t>
      </w:r>
      <w:r w:rsidRPr="006B051F">
        <w:rPr>
          <w:b/>
          <w:bCs/>
        </w:rPr>
        <w:tab/>
      </w:r>
      <w:r w:rsidRPr="006B051F">
        <w:rPr>
          <w:bCs/>
        </w:rPr>
        <w:t>&gt;8.0</w:t>
      </w:r>
    </w:p>
    <w:p w:rsidR="006B051F" w:rsidRPr="006B051F" w:rsidRDefault="006B051F" w:rsidP="006B051F">
      <w:pPr>
        <w:rPr>
          <w:bCs/>
        </w:rPr>
      </w:pPr>
      <w:r w:rsidRPr="006B051F">
        <w:rPr>
          <w:b/>
          <w:bCs/>
        </w:rPr>
        <w:tab/>
      </w:r>
      <w:r w:rsidRPr="006B051F">
        <w:rPr>
          <w:b/>
          <w:bCs/>
          <w:u w:val="single"/>
        </w:rPr>
        <w:t>&lt;</w:t>
      </w:r>
      <w:r w:rsidRPr="006B051F">
        <w:rPr>
          <w:b/>
          <w:bCs/>
        </w:rPr>
        <w:t xml:space="preserve"> 2 days:</w:t>
      </w:r>
      <w:r w:rsidRPr="006B051F">
        <w:rPr>
          <w:bCs/>
        </w:rPr>
        <w:tab/>
      </w:r>
      <w:r w:rsidRPr="006B051F">
        <w:rPr>
          <w:bCs/>
        </w:rPr>
        <w:t>&gt;18</w:t>
      </w:r>
    </w:p>
    <w:p w:rsidR="006B051F" w:rsidRPr="006B051F" w:rsidRDefault="006B051F" w:rsidP="006B051F">
      <w:pPr>
        <w:rPr>
          <w:bCs/>
        </w:rPr>
      </w:pPr>
      <w:r w:rsidRPr="006B051F">
        <w:rPr>
          <w:b/>
          <w:bCs/>
        </w:rPr>
        <w:tab/>
      </w:r>
      <w:r w:rsidRPr="006B051F">
        <w:rPr>
          <w:b/>
          <w:bCs/>
          <w:u w:val="single"/>
        </w:rPr>
        <w:t>&lt;</w:t>
      </w:r>
      <w:r w:rsidRPr="006B051F">
        <w:rPr>
          <w:b/>
          <w:bCs/>
        </w:rPr>
        <w:t xml:space="preserve"> 5 days:</w:t>
      </w:r>
      <w:r w:rsidRPr="006B051F">
        <w:rPr>
          <w:b/>
          <w:bCs/>
        </w:rPr>
        <w:tab/>
      </w:r>
      <w:r w:rsidRPr="006B051F">
        <w:rPr>
          <w:bCs/>
        </w:rPr>
        <w:t>&gt;18</w:t>
      </w:r>
    </w:p>
    <w:p w:rsidR="006B051F" w:rsidRPr="006B051F" w:rsidRDefault="006B051F" w:rsidP="006B051F">
      <w:pPr>
        <w:rPr>
          <w:bCs/>
        </w:rPr>
      </w:pPr>
      <w:r w:rsidRPr="006B051F">
        <w:rPr>
          <w:b/>
          <w:bCs/>
        </w:rPr>
        <w:tab/>
      </w:r>
      <w:r w:rsidRPr="006B051F">
        <w:rPr>
          <w:b/>
          <w:bCs/>
          <w:u w:val="single"/>
        </w:rPr>
        <w:t>&lt;</w:t>
      </w:r>
      <w:r w:rsidRPr="006B051F">
        <w:rPr>
          <w:b/>
          <w:bCs/>
        </w:rPr>
        <w:t xml:space="preserve"> 1 week:</w:t>
      </w:r>
      <w:r w:rsidRPr="006B051F">
        <w:rPr>
          <w:bCs/>
        </w:rPr>
        <w:tab/>
        <w:t>&gt;18</w:t>
      </w:r>
    </w:p>
    <w:p w:rsidR="006B051F" w:rsidRPr="006B051F" w:rsidRDefault="006B051F" w:rsidP="006B051F">
      <w:pPr>
        <w:rPr>
          <w:bCs/>
        </w:rPr>
      </w:pPr>
      <w:r w:rsidRPr="006B051F">
        <w:rPr>
          <w:b/>
          <w:bCs/>
        </w:rPr>
        <w:tab/>
        <w:t>Adult:</w:t>
      </w:r>
      <w:r w:rsidRPr="006B051F">
        <w:rPr>
          <w:b/>
          <w:bCs/>
        </w:rPr>
        <w:tab/>
      </w:r>
      <w:r w:rsidRPr="006B051F">
        <w:rPr>
          <w:b/>
          <w:bCs/>
        </w:rPr>
        <w:tab/>
      </w:r>
      <w:r w:rsidRPr="006B051F">
        <w:rPr>
          <w:bCs/>
        </w:rPr>
        <w:t>&gt;30</w:t>
      </w:r>
    </w:p>
    <w:p w:rsidR="0038442D" w:rsidRPr="006B051F" w:rsidRDefault="0038442D" w:rsidP="00AB793D">
      <w:pPr>
        <w:rPr>
          <w:b/>
          <w:sz w:val="28"/>
          <w:szCs w:val="28"/>
        </w:rPr>
      </w:pPr>
    </w:p>
    <w:p w:rsidR="004E088C" w:rsidRPr="006B051F" w:rsidRDefault="004E088C" w:rsidP="00AB793D">
      <w:pPr>
        <w:rPr>
          <w:b/>
          <w:sz w:val="28"/>
          <w:szCs w:val="28"/>
        </w:rPr>
      </w:pPr>
    </w:p>
    <w:p w:rsidR="00D5211B" w:rsidRPr="006B051F" w:rsidRDefault="005E3D52" w:rsidP="00AB793D">
      <w:pPr>
        <w:rPr>
          <w:i/>
          <w:color w:val="FF0000"/>
          <w:sz w:val="28"/>
          <w:szCs w:val="28"/>
        </w:rPr>
      </w:pPr>
      <w:r w:rsidRPr="006B051F">
        <w:rPr>
          <w:b/>
          <w:sz w:val="28"/>
          <w:szCs w:val="28"/>
        </w:rPr>
        <w:t>Performance Characteristics</w:t>
      </w:r>
      <w:r w:rsidR="00973EAF" w:rsidRPr="006B051F">
        <w:rPr>
          <w:b/>
          <w:sz w:val="28"/>
          <w:szCs w:val="28"/>
        </w:rPr>
        <w:t xml:space="preserve"> </w:t>
      </w:r>
    </w:p>
    <w:p w:rsidR="00B45FE2" w:rsidRPr="006B051F" w:rsidRDefault="00B45FE2" w:rsidP="00B45FE2">
      <w:pPr>
        <w:autoSpaceDE w:val="0"/>
        <w:autoSpaceDN w:val="0"/>
        <w:adjustRightInd w:val="0"/>
        <w:rPr>
          <w:rFonts w:eastAsia="HelenPro-Bold"/>
          <w:b/>
          <w:bCs/>
        </w:rPr>
      </w:pPr>
    </w:p>
    <w:p w:rsidR="004E088C" w:rsidRPr="006B051F" w:rsidRDefault="004E088C" w:rsidP="004E088C">
      <w:pPr>
        <w:autoSpaceDE w:val="0"/>
        <w:autoSpaceDN w:val="0"/>
        <w:adjustRightInd w:val="0"/>
        <w:rPr>
          <w:rFonts w:eastAsia="HelenPro-Bold"/>
          <w:b/>
          <w:bCs/>
        </w:rPr>
      </w:pPr>
      <w:r w:rsidRPr="006B051F">
        <w:rPr>
          <w:rFonts w:eastAsia="HelenPro-Bold"/>
          <w:b/>
          <w:bCs/>
        </w:rPr>
        <w:t>Measuring Interval</w:t>
      </w:r>
    </w:p>
    <w:p w:rsidR="004E088C" w:rsidRPr="006B051F" w:rsidRDefault="004E088C" w:rsidP="004E088C">
      <w:pPr>
        <w:autoSpaceDE w:val="0"/>
        <w:autoSpaceDN w:val="0"/>
        <w:adjustRightInd w:val="0"/>
        <w:rPr>
          <w:rFonts w:eastAsia="HelenPro-Regular"/>
        </w:rPr>
      </w:pPr>
      <w:r w:rsidRPr="006B051F">
        <w:rPr>
          <w:rFonts w:eastAsia="HelenPro-Regular"/>
        </w:rPr>
        <w:t>The measuring interval for Total Bilirubin is 0.3 to 25.0 mg/dL (5.1 to 427.5 μmol/L).</w:t>
      </w:r>
    </w:p>
    <w:p w:rsidR="004E088C" w:rsidRPr="006B051F" w:rsidRDefault="004E088C" w:rsidP="004E088C">
      <w:pPr>
        <w:autoSpaceDE w:val="0"/>
        <w:autoSpaceDN w:val="0"/>
        <w:adjustRightInd w:val="0"/>
        <w:rPr>
          <w:rFonts w:eastAsia="HelenPro-Bold"/>
          <w:b/>
          <w:bCs/>
        </w:rPr>
      </w:pPr>
    </w:p>
    <w:p w:rsidR="004E088C" w:rsidRPr="006B051F" w:rsidRDefault="004E088C" w:rsidP="004E088C">
      <w:pPr>
        <w:autoSpaceDE w:val="0"/>
        <w:autoSpaceDN w:val="0"/>
        <w:adjustRightInd w:val="0"/>
        <w:rPr>
          <w:rFonts w:eastAsia="HelenPro-Bold"/>
          <w:b/>
          <w:bCs/>
        </w:rPr>
      </w:pPr>
      <w:r w:rsidRPr="006B051F">
        <w:rPr>
          <w:rFonts w:eastAsia="HelenPro-Bold"/>
          <w:b/>
          <w:bCs/>
        </w:rPr>
        <w:t>Linearity</w:t>
      </w:r>
    </w:p>
    <w:p w:rsidR="004E088C" w:rsidRPr="006B051F" w:rsidRDefault="004E088C" w:rsidP="004E088C">
      <w:pPr>
        <w:autoSpaceDE w:val="0"/>
        <w:autoSpaceDN w:val="0"/>
        <w:adjustRightInd w:val="0"/>
        <w:rPr>
          <w:rFonts w:eastAsia="HelenPro-Regular"/>
        </w:rPr>
      </w:pPr>
      <w:r w:rsidRPr="006B051F">
        <w:rPr>
          <w:rFonts w:eastAsia="HelenPro-Regular"/>
        </w:rPr>
        <w:t xml:space="preserve">Total Bilirubin is linear through the measuring interval of 0.3 to 25.0 mg/dL (5.1 to 427.5 μmol/L). </w:t>
      </w:r>
    </w:p>
    <w:p w:rsidR="004E088C" w:rsidRPr="006B051F" w:rsidRDefault="004E088C" w:rsidP="004E088C">
      <w:pPr>
        <w:autoSpaceDE w:val="0"/>
        <w:autoSpaceDN w:val="0"/>
        <w:adjustRightInd w:val="0"/>
        <w:rPr>
          <w:rFonts w:eastAsia="HelenPro-Bold"/>
          <w:b/>
          <w:bCs/>
        </w:rPr>
      </w:pPr>
    </w:p>
    <w:p w:rsidR="004E088C" w:rsidRPr="006B051F" w:rsidRDefault="004E088C" w:rsidP="004E088C">
      <w:pPr>
        <w:autoSpaceDE w:val="0"/>
        <w:autoSpaceDN w:val="0"/>
        <w:adjustRightInd w:val="0"/>
        <w:rPr>
          <w:rFonts w:eastAsia="HelenPro-Bold"/>
          <w:b/>
          <w:bCs/>
        </w:rPr>
      </w:pPr>
      <w:r w:rsidRPr="006B051F">
        <w:rPr>
          <w:rFonts w:eastAsia="HelenPro-Bold"/>
          <w:b/>
          <w:bCs/>
        </w:rPr>
        <w:t>Sensitivity</w:t>
      </w:r>
    </w:p>
    <w:p w:rsidR="00B81E9E" w:rsidRPr="006B051F" w:rsidRDefault="004E088C" w:rsidP="004E088C">
      <w:pPr>
        <w:autoSpaceDE w:val="0"/>
        <w:autoSpaceDN w:val="0"/>
        <w:adjustRightInd w:val="0"/>
        <w:rPr>
          <w:rFonts w:eastAsia="HelenPro-Regular"/>
        </w:rPr>
      </w:pPr>
      <w:r w:rsidRPr="006B051F">
        <w:rPr>
          <w:rFonts w:eastAsia="HelenPro-Regular"/>
        </w:rPr>
        <w:t>The limit of quantitation (LoQ) of the Total Bilirubin assay is &lt; 0.3 mg/dL (5.1 μmol/L)</w:t>
      </w:r>
    </w:p>
    <w:p w:rsidR="00B81E9E" w:rsidRPr="006B051F" w:rsidRDefault="00B81E9E" w:rsidP="00B81E9E">
      <w:pPr>
        <w:ind w:left="90"/>
        <w:rPr>
          <w:rFonts w:eastAsia="HelenPro-Bold"/>
          <w:b/>
          <w:bCs/>
        </w:rPr>
      </w:pPr>
    </w:p>
    <w:p w:rsidR="00912FE4" w:rsidRPr="006B051F" w:rsidRDefault="00912FE4" w:rsidP="0012178C">
      <w:pPr>
        <w:rPr>
          <w:rFonts w:eastAsia="HelenPro-Bold"/>
          <w:b/>
          <w:bCs/>
        </w:rPr>
      </w:pPr>
      <w:r w:rsidRPr="006B051F">
        <w:rPr>
          <w:rFonts w:eastAsia="HelenPro-Bold"/>
          <w:b/>
          <w:bCs/>
        </w:rPr>
        <w:t>Dilution:</w:t>
      </w:r>
      <w:r w:rsidR="00973EAF" w:rsidRPr="006B051F">
        <w:rPr>
          <w:rFonts w:eastAsia="HelenPro-Bold"/>
          <w:b/>
          <w:bCs/>
        </w:rPr>
        <w:t xml:space="preserve"> </w:t>
      </w:r>
    </w:p>
    <w:p w:rsidR="0091658D" w:rsidRPr="006B051F" w:rsidRDefault="0091658D" w:rsidP="0091658D">
      <w:pPr>
        <w:autoSpaceDE w:val="0"/>
        <w:autoSpaceDN w:val="0"/>
        <w:adjustRightInd w:val="0"/>
        <w:rPr>
          <w:rFonts w:eastAsia="HelenPro-Regular"/>
        </w:rPr>
      </w:pPr>
      <w:r w:rsidRPr="006B051F">
        <w:rPr>
          <w:rFonts w:eastAsia="HelenPro-Regular"/>
        </w:rPr>
        <w:t>Serum and plasma specimens with total bilirubin values exceeding</w:t>
      </w:r>
      <w:r w:rsidR="004E088C" w:rsidRPr="006B051F">
        <w:rPr>
          <w:rFonts w:eastAsia="HelenPro-Regular"/>
        </w:rPr>
        <w:t xml:space="preserve"> </w:t>
      </w:r>
      <w:r w:rsidRPr="006B051F">
        <w:rPr>
          <w:rFonts w:eastAsia="HelenPro-Regular"/>
        </w:rPr>
        <w:t>25.0 mg/dL (427.5 μmol/L) are flagged and may be diluted by</w:t>
      </w:r>
      <w:r w:rsidR="004E088C" w:rsidRPr="006B051F">
        <w:rPr>
          <w:rFonts w:eastAsia="HelenPro-Regular"/>
        </w:rPr>
        <w:t xml:space="preserve"> </w:t>
      </w:r>
      <w:r w:rsidRPr="006B051F">
        <w:rPr>
          <w:rFonts w:eastAsia="HelenPro-Regular"/>
        </w:rPr>
        <w:t>following either the Automated Dilution Protocol or the Manual</w:t>
      </w:r>
      <w:r w:rsidR="004E088C" w:rsidRPr="006B051F">
        <w:rPr>
          <w:rFonts w:eastAsia="HelenPro-Regular"/>
        </w:rPr>
        <w:t xml:space="preserve"> </w:t>
      </w:r>
      <w:r w:rsidRPr="006B051F">
        <w:rPr>
          <w:rFonts w:eastAsia="HelenPro-Regular"/>
        </w:rPr>
        <w:t>Dilution Procedure.</w:t>
      </w:r>
    </w:p>
    <w:p w:rsidR="0091658D" w:rsidRPr="006B051F" w:rsidRDefault="0091658D" w:rsidP="0091658D">
      <w:pPr>
        <w:autoSpaceDE w:val="0"/>
        <w:autoSpaceDN w:val="0"/>
        <w:adjustRightInd w:val="0"/>
        <w:rPr>
          <w:rFonts w:eastAsia="HelenPro-Bold"/>
          <w:b/>
          <w:bCs/>
        </w:rPr>
      </w:pPr>
      <w:r w:rsidRPr="006B051F">
        <w:rPr>
          <w:rFonts w:eastAsia="HelenPro-Bold"/>
          <w:b/>
          <w:bCs/>
        </w:rPr>
        <w:t>Automated Dilution Protocol</w:t>
      </w:r>
    </w:p>
    <w:p w:rsidR="0091658D" w:rsidRPr="006B051F" w:rsidRDefault="0091658D" w:rsidP="0091658D">
      <w:pPr>
        <w:autoSpaceDE w:val="0"/>
        <w:autoSpaceDN w:val="0"/>
        <w:adjustRightInd w:val="0"/>
        <w:rPr>
          <w:rFonts w:eastAsia="HelenPro-Regular"/>
        </w:rPr>
      </w:pPr>
      <w:r w:rsidRPr="006B051F">
        <w:rPr>
          <w:rFonts w:eastAsia="HelenPro-Regular"/>
        </w:rPr>
        <w:t>If using the Automated Dilution Protocol, the system perfor</w:t>
      </w:r>
      <w:r w:rsidR="004E088C" w:rsidRPr="006B051F">
        <w:rPr>
          <w:rFonts w:eastAsia="HelenPro-Regular"/>
        </w:rPr>
        <w:t xml:space="preserve">ms a 1:5 </w:t>
      </w:r>
      <w:r w:rsidRPr="006B051F">
        <w:rPr>
          <w:rFonts w:eastAsia="HelenPro-Regular"/>
        </w:rPr>
        <w:t>dilution of the specimen and automatically corrects the concentration</w:t>
      </w:r>
      <w:r w:rsidR="004E088C" w:rsidRPr="006B051F">
        <w:rPr>
          <w:rFonts w:eastAsia="HelenPro-Regular"/>
        </w:rPr>
        <w:t xml:space="preserve"> </w:t>
      </w:r>
      <w:r w:rsidRPr="006B051F">
        <w:rPr>
          <w:rFonts w:eastAsia="HelenPro-Regular"/>
        </w:rPr>
        <w:t>by multiplying the result by the appropriate dilution factor. For more</w:t>
      </w:r>
      <w:r w:rsidR="004E088C" w:rsidRPr="006B051F">
        <w:rPr>
          <w:rFonts w:eastAsia="HelenPro-Regular"/>
        </w:rPr>
        <w:t xml:space="preserve"> </w:t>
      </w:r>
      <w:r w:rsidRPr="006B051F">
        <w:rPr>
          <w:rFonts w:eastAsia="HelenPro-Regular"/>
        </w:rPr>
        <w:t>information on setting up the automatic dilution feature, refer to the</w:t>
      </w:r>
    </w:p>
    <w:p w:rsidR="0091658D" w:rsidRPr="006B051F" w:rsidRDefault="0091658D" w:rsidP="0091658D">
      <w:pPr>
        <w:autoSpaceDE w:val="0"/>
        <w:autoSpaceDN w:val="0"/>
        <w:adjustRightInd w:val="0"/>
        <w:rPr>
          <w:rFonts w:eastAsia="HelenPro-Regular"/>
          <w:sz w:val="17"/>
          <w:szCs w:val="17"/>
        </w:rPr>
      </w:pPr>
      <w:r w:rsidRPr="006B051F">
        <w:rPr>
          <w:rFonts w:eastAsia="HelenPro-Regular"/>
        </w:rPr>
        <w:t>ARCHITECT System Operations Manual, Section 2.</w:t>
      </w:r>
    </w:p>
    <w:p w:rsidR="0091658D" w:rsidRPr="006B051F" w:rsidRDefault="0091658D" w:rsidP="0091658D">
      <w:pPr>
        <w:autoSpaceDE w:val="0"/>
        <w:autoSpaceDN w:val="0"/>
        <w:adjustRightInd w:val="0"/>
        <w:rPr>
          <w:rFonts w:eastAsia="HelenPro-Bold"/>
          <w:b/>
          <w:bCs/>
        </w:rPr>
      </w:pPr>
      <w:r w:rsidRPr="006B051F">
        <w:rPr>
          <w:rFonts w:eastAsia="HelenPro-Bold"/>
          <w:b/>
          <w:bCs/>
        </w:rPr>
        <w:t>Manual Dilution Procedure</w:t>
      </w:r>
    </w:p>
    <w:p w:rsidR="0091658D" w:rsidRPr="006B051F" w:rsidRDefault="0091658D" w:rsidP="0091658D">
      <w:pPr>
        <w:autoSpaceDE w:val="0"/>
        <w:autoSpaceDN w:val="0"/>
        <w:adjustRightInd w:val="0"/>
        <w:rPr>
          <w:rFonts w:eastAsia="HelenPro-Regular"/>
        </w:rPr>
      </w:pPr>
      <w:r w:rsidRPr="006B051F">
        <w:rPr>
          <w:rFonts w:eastAsia="HelenPro-Regular"/>
        </w:rPr>
        <w:t>Manual dilutions should be performed as follows:</w:t>
      </w:r>
    </w:p>
    <w:p w:rsidR="0091658D" w:rsidRPr="006B051F" w:rsidRDefault="0091658D" w:rsidP="0091658D">
      <w:pPr>
        <w:autoSpaceDE w:val="0"/>
        <w:autoSpaceDN w:val="0"/>
        <w:adjustRightInd w:val="0"/>
        <w:rPr>
          <w:rFonts w:eastAsia="HelenPro-Regular"/>
        </w:rPr>
      </w:pPr>
      <w:r w:rsidRPr="006B051F">
        <w:rPr>
          <w:rFonts w:eastAsia="HelenPro-Regular"/>
        </w:rPr>
        <w:t>1. Dilute the sample using saline (0.85% to 0.90% NaCl).</w:t>
      </w:r>
    </w:p>
    <w:p w:rsidR="0091658D" w:rsidRPr="006B051F" w:rsidRDefault="0091658D" w:rsidP="0091658D">
      <w:pPr>
        <w:autoSpaceDE w:val="0"/>
        <w:autoSpaceDN w:val="0"/>
        <w:adjustRightInd w:val="0"/>
        <w:rPr>
          <w:rFonts w:eastAsia="HelenPro-Regular"/>
        </w:rPr>
      </w:pPr>
      <w:r w:rsidRPr="006B051F">
        <w:rPr>
          <w:rFonts w:eastAsia="HelenPro-Regular"/>
        </w:rPr>
        <w:t>2. Enter the dilution factor in the p</w:t>
      </w:r>
      <w:r w:rsidR="004E088C" w:rsidRPr="006B051F">
        <w:rPr>
          <w:rFonts w:eastAsia="HelenPro-Regular"/>
        </w:rPr>
        <w:t xml:space="preserve">atient or control order screen. </w:t>
      </w:r>
      <w:r w:rsidRPr="006B051F">
        <w:rPr>
          <w:rFonts w:eastAsia="HelenPro-Regular"/>
        </w:rPr>
        <w:t>The system uses this dilution factor to automatically correct the</w:t>
      </w:r>
      <w:r w:rsidR="004E088C" w:rsidRPr="006B051F">
        <w:rPr>
          <w:rFonts w:eastAsia="HelenPro-Regular"/>
        </w:rPr>
        <w:t xml:space="preserve"> </w:t>
      </w:r>
      <w:r w:rsidRPr="006B051F">
        <w:rPr>
          <w:rFonts w:eastAsia="HelenPro-Regular"/>
        </w:rPr>
        <w:t>concentration by multiplying the result by the entered factor. If the</w:t>
      </w:r>
      <w:r w:rsidR="004E088C" w:rsidRPr="006B051F">
        <w:rPr>
          <w:rFonts w:eastAsia="HelenPro-Regular"/>
        </w:rPr>
        <w:t xml:space="preserve"> </w:t>
      </w:r>
      <w:r w:rsidRPr="006B051F">
        <w:rPr>
          <w:rFonts w:eastAsia="HelenPro-Regular"/>
        </w:rPr>
        <w:t>dilution factor is not entered in the patient or control order screen,</w:t>
      </w:r>
      <w:r w:rsidR="004E088C" w:rsidRPr="006B051F">
        <w:rPr>
          <w:rFonts w:eastAsia="HelenPro-Regular"/>
        </w:rPr>
        <w:t xml:space="preserve"> </w:t>
      </w:r>
      <w:r w:rsidRPr="006B051F">
        <w:rPr>
          <w:rFonts w:eastAsia="HelenPro-Regular"/>
        </w:rPr>
        <w:t>multiply the result by the appropriate dilution factor before reporting</w:t>
      </w:r>
      <w:r w:rsidR="004E088C" w:rsidRPr="006B051F">
        <w:rPr>
          <w:rFonts w:eastAsia="HelenPro-Regular"/>
        </w:rPr>
        <w:t xml:space="preserve"> </w:t>
      </w:r>
      <w:r w:rsidRPr="006B051F">
        <w:rPr>
          <w:rFonts w:eastAsia="HelenPro-Regular"/>
        </w:rPr>
        <w:t>the result.</w:t>
      </w:r>
    </w:p>
    <w:p w:rsidR="0091658D" w:rsidRPr="006B051F" w:rsidRDefault="0091658D" w:rsidP="0091658D">
      <w:pPr>
        <w:autoSpaceDE w:val="0"/>
        <w:autoSpaceDN w:val="0"/>
        <w:adjustRightInd w:val="0"/>
        <w:rPr>
          <w:rFonts w:eastAsia="HelenPro-Regular"/>
        </w:rPr>
      </w:pPr>
      <w:r w:rsidRPr="006B051F">
        <w:rPr>
          <w:rFonts w:eastAsia="HelenPro-Regular"/>
        </w:rPr>
        <w:t>If a diluted sample result is flagged</w:t>
      </w:r>
      <w:r w:rsidR="004E088C" w:rsidRPr="006B051F">
        <w:rPr>
          <w:rFonts w:eastAsia="HelenPro-Regular"/>
        </w:rPr>
        <w:t xml:space="preserve"> indicating it is less than the </w:t>
      </w:r>
      <w:r w:rsidRPr="006B051F">
        <w:rPr>
          <w:rFonts w:eastAsia="HelenPro-Regular"/>
        </w:rPr>
        <w:t>linear low limit, do not report the result. Rerun using an appropriate</w:t>
      </w:r>
      <w:r w:rsidR="004E088C" w:rsidRPr="006B051F">
        <w:rPr>
          <w:rFonts w:eastAsia="HelenPro-Regular"/>
        </w:rPr>
        <w:t xml:space="preserve"> </w:t>
      </w:r>
      <w:r w:rsidRPr="006B051F">
        <w:rPr>
          <w:rFonts w:eastAsia="HelenPro-Regular"/>
        </w:rPr>
        <w:t>dilution.</w:t>
      </w:r>
    </w:p>
    <w:p w:rsidR="00DC4702" w:rsidRPr="006B051F" w:rsidRDefault="0091658D" w:rsidP="0091658D">
      <w:pPr>
        <w:autoSpaceDE w:val="0"/>
        <w:autoSpaceDN w:val="0"/>
        <w:adjustRightInd w:val="0"/>
        <w:rPr>
          <w:rFonts w:eastAsia="HelenPro-Regular"/>
        </w:rPr>
      </w:pPr>
      <w:r w:rsidRPr="006B051F">
        <w:rPr>
          <w:rFonts w:eastAsia="HelenPro-Regular"/>
        </w:rPr>
        <w:t>For detailed information on ordering di</w:t>
      </w:r>
      <w:r w:rsidR="004E088C" w:rsidRPr="006B051F">
        <w:rPr>
          <w:rFonts w:eastAsia="HelenPro-Regular"/>
        </w:rPr>
        <w:t xml:space="preserve">lutions, refer to the ARCHITECT </w:t>
      </w:r>
      <w:r w:rsidRPr="006B051F">
        <w:rPr>
          <w:rFonts w:eastAsia="HelenPro-Regular"/>
        </w:rPr>
        <w:t>System Operations Manual, Section 5.</w:t>
      </w:r>
    </w:p>
    <w:p w:rsidR="00B81E9E" w:rsidRPr="006B051F" w:rsidRDefault="00B81E9E" w:rsidP="00F95946">
      <w:pPr>
        <w:rPr>
          <w:b/>
          <w:color w:val="000000"/>
        </w:rPr>
      </w:pPr>
    </w:p>
    <w:p w:rsidR="0012178C" w:rsidRPr="006B051F" w:rsidRDefault="0012178C" w:rsidP="00F95946">
      <w:pPr>
        <w:rPr>
          <w:b/>
          <w:color w:val="000000"/>
        </w:rPr>
      </w:pPr>
    </w:p>
    <w:p w:rsidR="00912FE4" w:rsidRPr="006B051F" w:rsidRDefault="00912FE4" w:rsidP="00F95946">
      <w:pPr>
        <w:rPr>
          <w:rFonts w:eastAsia="HelenPro-Regular"/>
        </w:rPr>
      </w:pPr>
      <w:r w:rsidRPr="006B051F">
        <w:rPr>
          <w:b/>
          <w:color w:val="000000"/>
        </w:rPr>
        <w:t>Precision:</w:t>
      </w:r>
      <w:r w:rsidR="0038442D" w:rsidRPr="006B051F">
        <w:rPr>
          <w:b/>
          <w:color w:val="000000"/>
        </w:rPr>
        <w:t xml:space="preserve"> </w:t>
      </w:r>
    </w:p>
    <w:p w:rsidR="00CB75C5" w:rsidRPr="006B051F" w:rsidRDefault="004E088C" w:rsidP="00F95946">
      <w:pPr>
        <w:autoSpaceDE w:val="0"/>
        <w:autoSpaceDN w:val="0"/>
        <w:adjustRightInd w:val="0"/>
        <w:rPr>
          <w:rFonts w:eastAsia="HelenPro-Regular"/>
        </w:rPr>
      </w:pPr>
      <w:r w:rsidRPr="006B051F">
        <w:rPr>
          <w:noProof/>
        </w:rPr>
        <w:lastRenderedPageBreak/>
        <w:drawing>
          <wp:inline distT="0" distB="0" distL="0" distR="0" wp14:anchorId="7395E4B2" wp14:editId="5873679D">
            <wp:extent cx="4105275" cy="3800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05275" cy="3800475"/>
                    </a:xfrm>
                    <a:prstGeom prst="rect">
                      <a:avLst/>
                    </a:prstGeom>
                  </pic:spPr>
                </pic:pic>
              </a:graphicData>
            </a:graphic>
          </wp:inline>
        </w:drawing>
      </w:r>
    </w:p>
    <w:p w:rsidR="00C53E37" w:rsidRPr="006B051F" w:rsidRDefault="00C53E37" w:rsidP="00C53E37">
      <w:pPr>
        <w:pStyle w:val="Heading4"/>
        <w:rPr>
          <w:sz w:val="24"/>
          <w:szCs w:val="24"/>
        </w:rPr>
      </w:pPr>
      <w:r w:rsidRPr="006B051F">
        <w:rPr>
          <w:sz w:val="24"/>
          <w:szCs w:val="24"/>
        </w:rPr>
        <w:t>Limitations of Procedure</w:t>
      </w:r>
      <w:r w:rsidR="00973EAF" w:rsidRPr="006B051F">
        <w:rPr>
          <w:sz w:val="24"/>
          <w:szCs w:val="24"/>
        </w:rPr>
        <w:t xml:space="preserve"> </w:t>
      </w:r>
    </w:p>
    <w:p w:rsidR="0091658D" w:rsidRPr="006B051F" w:rsidRDefault="0091658D" w:rsidP="0091658D">
      <w:pPr>
        <w:autoSpaceDE w:val="0"/>
        <w:autoSpaceDN w:val="0"/>
        <w:adjustRightInd w:val="0"/>
        <w:rPr>
          <w:rFonts w:eastAsia="HelenPro-Regular"/>
        </w:rPr>
      </w:pPr>
      <w:r w:rsidRPr="006B051F">
        <w:rPr>
          <w:rFonts w:eastAsia="HelenPro-Regular"/>
        </w:rPr>
        <w:t>Tubes containing sodium flu</w:t>
      </w:r>
      <w:r w:rsidR="004E088C" w:rsidRPr="006B051F">
        <w:rPr>
          <w:rFonts w:eastAsia="HelenPro-Regular"/>
        </w:rPr>
        <w:t xml:space="preserve">oride/potassium oxalate are not </w:t>
      </w:r>
      <w:r w:rsidRPr="006B051F">
        <w:rPr>
          <w:rFonts w:eastAsia="HelenPro-Regular"/>
        </w:rPr>
        <w:t>recommended due to the potential for hemolysis.</w:t>
      </w:r>
    </w:p>
    <w:p w:rsidR="0091658D" w:rsidRPr="006B051F" w:rsidRDefault="0091658D" w:rsidP="0091658D">
      <w:pPr>
        <w:autoSpaceDE w:val="0"/>
        <w:autoSpaceDN w:val="0"/>
        <w:adjustRightInd w:val="0"/>
        <w:rPr>
          <w:rFonts w:eastAsia="HelenPro-Regular"/>
        </w:rPr>
      </w:pPr>
      <w:r w:rsidRPr="006B051F">
        <w:rPr>
          <w:rFonts w:eastAsia="HelenPro-Regular"/>
        </w:rPr>
        <w:t>Additionally, in very rare cases cer</w:t>
      </w:r>
      <w:r w:rsidR="004E088C" w:rsidRPr="006B051F">
        <w:rPr>
          <w:rFonts w:eastAsia="HelenPro-Regular"/>
        </w:rPr>
        <w:t xml:space="preserve">tain paraproteins, particularly </w:t>
      </w:r>
      <w:r w:rsidRPr="006B051F">
        <w:rPr>
          <w:rFonts w:eastAsia="HelenPro-Regular"/>
        </w:rPr>
        <w:t>IgM, in patients with Waldenstrom macroglobulinemia may cause</w:t>
      </w:r>
      <w:r w:rsidR="004E088C" w:rsidRPr="006B051F">
        <w:rPr>
          <w:rFonts w:eastAsia="HelenPro-Regular"/>
        </w:rPr>
        <w:t xml:space="preserve"> </w:t>
      </w:r>
      <w:r w:rsidRPr="006B051F">
        <w:rPr>
          <w:rFonts w:eastAsia="HelenPro-Regular"/>
        </w:rPr>
        <w:t>unreliable and artificially elevated results. Furthermore, for patients</w:t>
      </w:r>
      <w:r w:rsidR="004E088C" w:rsidRPr="006B051F">
        <w:rPr>
          <w:rFonts w:eastAsia="HelenPro-Regular"/>
        </w:rPr>
        <w:t xml:space="preserve"> </w:t>
      </w:r>
      <w:r w:rsidRPr="006B051F">
        <w:rPr>
          <w:rFonts w:eastAsia="HelenPro-Regular"/>
        </w:rPr>
        <w:t>undergoing evaluations involving the administration of indocyanine</w:t>
      </w:r>
      <w:r w:rsidR="004E088C" w:rsidRPr="006B051F">
        <w:rPr>
          <w:rFonts w:eastAsia="HelenPro-Regular"/>
        </w:rPr>
        <w:t xml:space="preserve"> </w:t>
      </w:r>
      <w:r w:rsidRPr="006B051F">
        <w:rPr>
          <w:rFonts w:eastAsia="HelenPro-Regular"/>
        </w:rPr>
        <w:t>green (ICG), it is recommended that samples are drawn after ICG</w:t>
      </w:r>
      <w:r w:rsidR="004E088C" w:rsidRPr="006B051F">
        <w:rPr>
          <w:rFonts w:eastAsia="HelenPro-Regular"/>
        </w:rPr>
        <w:t xml:space="preserve"> </w:t>
      </w:r>
      <w:r w:rsidRPr="006B051F">
        <w:rPr>
          <w:rFonts w:eastAsia="HelenPro-Regular"/>
        </w:rPr>
        <w:t>has been eliminated. See the Interfering substances section for</w:t>
      </w:r>
      <w:r w:rsidR="004E088C" w:rsidRPr="006B051F">
        <w:rPr>
          <w:rFonts w:eastAsia="HelenPro-Regular"/>
        </w:rPr>
        <w:t xml:space="preserve"> </w:t>
      </w:r>
      <w:r w:rsidRPr="006B051F">
        <w:rPr>
          <w:rFonts w:eastAsia="HelenPro-Regular"/>
        </w:rPr>
        <w:t>additional information.</w:t>
      </w:r>
    </w:p>
    <w:p w:rsidR="001A41B0" w:rsidRPr="006B051F" w:rsidRDefault="0091658D" w:rsidP="0091658D">
      <w:pPr>
        <w:autoSpaceDE w:val="0"/>
        <w:autoSpaceDN w:val="0"/>
        <w:adjustRightInd w:val="0"/>
        <w:rPr>
          <w:rFonts w:eastAsia="HelenPro-Regular"/>
        </w:rPr>
      </w:pPr>
      <w:r w:rsidRPr="006B051F">
        <w:rPr>
          <w:rFonts w:eastAsia="HelenPro-Regular"/>
        </w:rPr>
        <w:t>In samples where the concentration of bilirubin is low, or where</w:t>
      </w:r>
      <w:r w:rsidR="004E088C" w:rsidRPr="006B051F">
        <w:rPr>
          <w:rFonts w:eastAsia="HelenPro-Regular"/>
        </w:rPr>
        <w:t xml:space="preserve"> </w:t>
      </w:r>
      <w:r w:rsidRPr="006B051F">
        <w:rPr>
          <w:rFonts w:eastAsia="HelenPro-Regular"/>
        </w:rPr>
        <w:t>conjugated bilirubin is the predominant form, the Direct Bilirubin</w:t>
      </w:r>
      <w:r w:rsidR="004E088C" w:rsidRPr="006B051F">
        <w:rPr>
          <w:rFonts w:eastAsia="HelenPro-Regular"/>
        </w:rPr>
        <w:t xml:space="preserve"> </w:t>
      </w:r>
      <w:r w:rsidRPr="006B051F">
        <w:rPr>
          <w:rFonts w:eastAsia="HelenPro-Regular"/>
        </w:rPr>
        <w:t>assay may report results that are greater than results obtained</w:t>
      </w:r>
      <w:r w:rsidR="004E088C" w:rsidRPr="006B051F">
        <w:rPr>
          <w:rFonts w:eastAsia="HelenPro-Regular"/>
        </w:rPr>
        <w:t xml:space="preserve"> </w:t>
      </w:r>
      <w:r w:rsidRPr="006B051F">
        <w:rPr>
          <w:rFonts w:eastAsia="HelenPro-Regular"/>
        </w:rPr>
        <w:t>using the Total Bilirubin assay. Under these circumstances, report the</w:t>
      </w:r>
      <w:r w:rsidR="004E088C" w:rsidRPr="006B051F">
        <w:rPr>
          <w:rFonts w:eastAsia="HelenPro-Regular"/>
        </w:rPr>
        <w:t xml:space="preserve"> </w:t>
      </w:r>
      <w:r w:rsidRPr="006B051F">
        <w:rPr>
          <w:rFonts w:eastAsia="HelenPro-Regular"/>
        </w:rPr>
        <w:t>Total Bilirubin results for both the Total Bilirubin and Direct Bilirubin</w:t>
      </w:r>
      <w:r w:rsidR="004E088C" w:rsidRPr="006B051F">
        <w:rPr>
          <w:rFonts w:eastAsia="HelenPro-Regular"/>
        </w:rPr>
        <w:t xml:space="preserve"> </w:t>
      </w:r>
      <w:r w:rsidRPr="006B051F">
        <w:rPr>
          <w:rFonts w:eastAsia="HelenPro-Regular"/>
        </w:rPr>
        <w:t>assays.</w:t>
      </w:r>
    </w:p>
    <w:p w:rsidR="00B81E9E" w:rsidRPr="006B051F" w:rsidRDefault="00B81E9E" w:rsidP="002D6FB9">
      <w:pPr>
        <w:autoSpaceDE w:val="0"/>
        <w:autoSpaceDN w:val="0"/>
        <w:adjustRightInd w:val="0"/>
        <w:rPr>
          <w:rFonts w:eastAsia="HelenPro-Bold"/>
          <w:b/>
          <w:bCs/>
        </w:rPr>
      </w:pPr>
    </w:p>
    <w:p w:rsidR="00F95946" w:rsidRPr="006B051F" w:rsidRDefault="00F95946" w:rsidP="002D6FB9">
      <w:pPr>
        <w:autoSpaceDE w:val="0"/>
        <w:autoSpaceDN w:val="0"/>
        <w:adjustRightInd w:val="0"/>
        <w:rPr>
          <w:rFonts w:eastAsia="HelenPro-Bold"/>
          <w:b/>
          <w:bCs/>
        </w:rPr>
      </w:pPr>
      <w:r w:rsidRPr="006B051F">
        <w:rPr>
          <w:rFonts w:eastAsia="HelenPro-Bold"/>
          <w:b/>
          <w:bCs/>
        </w:rPr>
        <w:t>Interfering Substances</w:t>
      </w:r>
    </w:p>
    <w:p w:rsidR="004B5F9D" w:rsidRPr="006B051F" w:rsidRDefault="004E088C" w:rsidP="004E088C">
      <w:pPr>
        <w:autoSpaceDE w:val="0"/>
        <w:autoSpaceDN w:val="0"/>
        <w:adjustRightInd w:val="0"/>
        <w:rPr>
          <w:rFonts w:eastAsia="HelenPro-Regular"/>
        </w:rPr>
      </w:pPr>
      <w:r w:rsidRPr="006B051F">
        <w:rPr>
          <w:rFonts w:eastAsia="HelenPro-Regular"/>
        </w:rPr>
        <w:t>A bias outside of +/-10% or +/-0.2 mg/dL (+/-3.4 μmol/L) is considered significant interference.</w:t>
      </w:r>
    </w:p>
    <w:p w:rsidR="004E088C" w:rsidRPr="006B051F" w:rsidRDefault="004E088C" w:rsidP="004E088C">
      <w:pPr>
        <w:autoSpaceDE w:val="0"/>
        <w:autoSpaceDN w:val="0"/>
        <w:adjustRightInd w:val="0"/>
        <w:rPr>
          <w:rFonts w:eastAsia="HelenPro-Regular"/>
        </w:rPr>
      </w:pPr>
      <w:r w:rsidRPr="006B051F">
        <w:rPr>
          <w:noProof/>
        </w:rPr>
        <w:lastRenderedPageBreak/>
        <w:drawing>
          <wp:inline distT="0" distB="0" distL="0" distR="0" wp14:anchorId="5E5AE20D" wp14:editId="5F9EFBC4">
            <wp:extent cx="4067175" cy="26384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67175" cy="2638425"/>
                    </a:xfrm>
                    <a:prstGeom prst="rect">
                      <a:avLst/>
                    </a:prstGeom>
                  </pic:spPr>
                </pic:pic>
              </a:graphicData>
            </a:graphic>
          </wp:inline>
        </w:drawing>
      </w:r>
    </w:p>
    <w:p w:rsidR="004E088C" w:rsidRPr="006B051F" w:rsidRDefault="004E088C" w:rsidP="004E088C">
      <w:pPr>
        <w:autoSpaceDE w:val="0"/>
        <w:autoSpaceDN w:val="0"/>
        <w:adjustRightInd w:val="0"/>
        <w:rPr>
          <w:rFonts w:eastAsia="HelenPro-Regular"/>
        </w:rPr>
      </w:pPr>
      <w:r w:rsidRPr="006B051F">
        <w:rPr>
          <w:noProof/>
        </w:rPr>
        <w:drawing>
          <wp:inline distT="0" distB="0" distL="0" distR="0" wp14:anchorId="712D6F62" wp14:editId="7716F2FE">
            <wp:extent cx="3990975" cy="3009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990975" cy="3009900"/>
                    </a:xfrm>
                    <a:prstGeom prst="rect">
                      <a:avLst/>
                    </a:prstGeom>
                  </pic:spPr>
                </pic:pic>
              </a:graphicData>
            </a:graphic>
          </wp:inline>
        </w:drawing>
      </w:r>
    </w:p>
    <w:p w:rsidR="00B81E9E" w:rsidRPr="006B051F" w:rsidRDefault="00B81E9E" w:rsidP="00B81E9E">
      <w:pPr>
        <w:autoSpaceDE w:val="0"/>
        <w:autoSpaceDN w:val="0"/>
        <w:adjustRightInd w:val="0"/>
        <w:rPr>
          <w:rFonts w:eastAsia="HelenPro-Regular"/>
        </w:rPr>
      </w:pPr>
    </w:p>
    <w:p w:rsidR="00DB7BA9" w:rsidRPr="006B051F" w:rsidRDefault="00DB7BA9" w:rsidP="00D16B69">
      <w:pPr>
        <w:jc w:val="both"/>
        <w:rPr>
          <w:b/>
        </w:rPr>
      </w:pPr>
    </w:p>
    <w:p w:rsidR="00DB679E" w:rsidRPr="006B051F" w:rsidRDefault="00DB679E" w:rsidP="00CF2F62">
      <w:pPr>
        <w:jc w:val="both"/>
        <w:rPr>
          <w:noProof/>
        </w:rPr>
      </w:pPr>
    </w:p>
    <w:p w:rsidR="00DB679E" w:rsidRPr="006B051F" w:rsidRDefault="00DB679E" w:rsidP="00CF2F62">
      <w:pPr>
        <w:jc w:val="both"/>
        <w:rPr>
          <w:noProof/>
        </w:rPr>
      </w:pPr>
    </w:p>
    <w:p w:rsidR="00677E98" w:rsidRPr="006B051F" w:rsidRDefault="00677E98" w:rsidP="00CF2F62">
      <w:pPr>
        <w:jc w:val="both"/>
        <w:rPr>
          <w:noProof/>
        </w:rPr>
      </w:pPr>
    </w:p>
    <w:p w:rsidR="00D16B69" w:rsidRPr="006B051F" w:rsidRDefault="00D16B69" w:rsidP="00D16B69">
      <w:pPr>
        <w:jc w:val="both"/>
        <w:rPr>
          <w:b/>
        </w:rPr>
      </w:pPr>
      <w:r w:rsidRPr="006B051F">
        <w:rPr>
          <w:b/>
        </w:rPr>
        <w:t>References:</w:t>
      </w:r>
      <w:r w:rsidR="00973EAF" w:rsidRPr="006B051F">
        <w:rPr>
          <w:b/>
        </w:rPr>
        <w:t xml:space="preserve"> </w:t>
      </w:r>
    </w:p>
    <w:p w:rsidR="000A13F2" w:rsidRPr="006B051F" w:rsidRDefault="000A13F2" w:rsidP="00030CDD">
      <w:pPr>
        <w:pStyle w:val="ListParagraph"/>
        <w:numPr>
          <w:ilvl w:val="0"/>
          <w:numId w:val="4"/>
        </w:numPr>
      </w:pPr>
      <w:r w:rsidRPr="006B051F">
        <w:t xml:space="preserve">ABBOTT ARCHITECT </w:t>
      </w:r>
      <w:r w:rsidR="00966CB0" w:rsidRPr="006B051F">
        <w:t>Total</w:t>
      </w:r>
      <w:r w:rsidR="00860C1E" w:rsidRPr="006B051F">
        <w:t xml:space="preserve"> </w:t>
      </w:r>
      <w:r w:rsidR="00B81E9E" w:rsidRPr="006B051F">
        <w:t>Bilirubin</w:t>
      </w:r>
      <w:r w:rsidRPr="006B051F">
        <w:t xml:space="preserve"> package insert</w:t>
      </w:r>
    </w:p>
    <w:p w:rsidR="000A13F2" w:rsidRPr="006B051F" w:rsidRDefault="000A13F2" w:rsidP="000A13F2">
      <w:pPr>
        <w:pStyle w:val="ListParagraph"/>
      </w:pPr>
      <w:r w:rsidRPr="006B051F">
        <w:t>Abbott Laboratories</w:t>
      </w:r>
    </w:p>
    <w:p w:rsidR="000A13F2" w:rsidRPr="006B051F" w:rsidRDefault="000A13F2" w:rsidP="000A13F2">
      <w:pPr>
        <w:pStyle w:val="ListParagraph"/>
      </w:pPr>
      <w:r w:rsidRPr="006B051F">
        <w:t>Diagnostics Division</w:t>
      </w:r>
    </w:p>
    <w:p w:rsidR="000A13F2" w:rsidRPr="006B051F" w:rsidRDefault="000A13F2" w:rsidP="000A13F2">
      <w:pPr>
        <w:pStyle w:val="ListParagraph"/>
      </w:pPr>
      <w:r w:rsidRPr="006B051F">
        <w:t>Abbott Park, IL  60064</w:t>
      </w:r>
    </w:p>
    <w:p w:rsidR="00425BA0" w:rsidRPr="006B051F" w:rsidRDefault="00966CB0" w:rsidP="00425BA0">
      <w:pPr>
        <w:pStyle w:val="ListParagraph"/>
        <w:rPr>
          <w:rFonts w:eastAsia="HelenPro-Bold"/>
          <w:b/>
          <w:bCs/>
        </w:rPr>
      </w:pPr>
      <w:r w:rsidRPr="006B051F">
        <w:rPr>
          <w:bCs/>
        </w:rPr>
        <w:t>Feb</w:t>
      </w:r>
      <w:r w:rsidR="0074336C" w:rsidRPr="006B051F">
        <w:rPr>
          <w:bCs/>
        </w:rPr>
        <w:t xml:space="preserve"> 201</w:t>
      </w:r>
      <w:r w:rsidR="004E088C" w:rsidRPr="006B051F">
        <w:rPr>
          <w:bCs/>
        </w:rPr>
        <w:t>7</w:t>
      </w:r>
      <w:r w:rsidR="003532B4" w:rsidRPr="006B051F">
        <w:rPr>
          <w:bCs/>
        </w:rPr>
        <w:t xml:space="preserve"> </w:t>
      </w:r>
      <w:r w:rsidR="004E088C" w:rsidRPr="006B051F">
        <w:rPr>
          <w:rFonts w:eastAsia="HelenPro-Bold"/>
          <w:bCs/>
        </w:rPr>
        <w:t>G10666/R04</w:t>
      </w:r>
    </w:p>
    <w:p w:rsidR="000A13F2" w:rsidRPr="006B051F" w:rsidRDefault="000A13F2" w:rsidP="00425BA0">
      <w:pPr>
        <w:pStyle w:val="ListParagraph"/>
        <w:numPr>
          <w:ilvl w:val="0"/>
          <w:numId w:val="4"/>
        </w:numPr>
        <w:rPr>
          <w:rFonts w:eastAsia="HelenPro-Bold"/>
          <w:b/>
          <w:bCs/>
        </w:rPr>
      </w:pPr>
      <w:r w:rsidRPr="006B051F">
        <w:t xml:space="preserve">ABBOTT ARCHITECT </w:t>
      </w:r>
      <w:r w:rsidR="00B81E9E" w:rsidRPr="006B051F">
        <w:t>Bilirubin</w:t>
      </w:r>
      <w:r w:rsidR="00880899" w:rsidRPr="006B051F">
        <w:t xml:space="preserve"> </w:t>
      </w:r>
      <w:r w:rsidRPr="006B051F">
        <w:t>Calibrator package insert</w:t>
      </w:r>
    </w:p>
    <w:p w:rsidR="000A13F2" w:rsidRPr="006B051F" w:rsidRDefault="000A13F2" w:rsidP="000A13F2">
      <w:pPr>
        <w:pStyle w:val="ListParagraph"/>
      </w:pPr>
      <w:r w:rsidRPr="006B051F">
        <w:t>Abbott Laboratories</w:t>
      </w:r>
    </w:p>
    <w:p w:rsidR="000A13F2" w:rsidRPr="006B051F" w:rsidRDefault="000A13F2" w:rsidP="000A13F2">
      <w:pPr>
        <w:pStyle w:val="ListParagraph"/>
      </w:pPr>
      <w:r w:rsidRPr="006B051F">
        <w:lastRenderedPageBreak/>
        <w:t>Diagnostics Division</w:t>
      </w:r>
    </w:p>
    <w:p w:rsidR="000A13F2" w:rsidRPr="006B051F" w:rsidRDefault="000A13F2" w:rsidP="000A13F2">
      <w:pPr>
        <w:pStyle w:val="ListParagraph"/>
      </w:pPr>
      <w:r w:rsidRPr="006B051F">
        <w:t>Abbott Park, IL  60064</w:t>
      </w:r>
    </w:p>
    <w:p w:rsidR="00881923" w:rsidRPr="006B051F" w:rsidRDefault="000A13F2" w:rsidP="00030CDD">
      <w:pPr>
        <w:pStyle w:val="ListParagraph"/>
        <w:numPr>
          <w:ilvl w:val="0"/>
          <w:numId w:val="4"/>
        </w:numPr>
        <w:spacing w:after="72"/>
        <w:jc w:val="both"/>
      </w:pPr>
      <w:r w:rsidRPr="006B051F">
        <w:t>Abbott ARCHITECT</w:t>
      </w:r>
      <w:r w:rsidR="00D16B69" w:rsidRPr="006B051F">
        <w:rPr>
          <w:lang w:val="ru-RU"/>
        </w:rPr>
        <w:t xml:space="preserve"> Operator’s Guide</w:t>
      </w:r>
    </w:p>
    <w:p w:rsidR="002E2364" w:rsidRPr="006B051F" w:rsidRDefault="002E2364" w:rsidP="0009322F">
      <w:pPr>
        <w:rPr>
          <w:b/>
        </w:rPr>
      </w:pPr>
    </w:p>
    <w:p w:rsidR="00AB5354" w:rsidRPr="006B051F" w:rsidRDefault="004E088C" w:rsidP="0009322F">
      <w:pPr>
        <w:rPr>
          <w:b/>
        </w:rPr>
      </w:pPr>
      <w:r w:rsidRPr="006B051F">
        <w:rPr>
          <w:b/>
        </w:rPr>
        <w:t>Package Insert Bibliography</w:t>
      </w:r>
      <w:r w:rsidR="002E2364" w:rsidRPr="006B051F">
        <w:rPr>
          <w:b/>
        </w:rPr>
        <w:t xml:space="preserve"> referenced in charts</w:t>
      </w:r>
      <w:r w:rsidRPr="006B051F">
        <w:rPr>
          <w:b/>
        </w:rPr>
        <w:t>:</w:t>
      </w:r>
    </w:p>
    <w:p w:rsidR="002E2364" w:rsidRPr="006B051F" w:rsidRDefault="002E2364" w:rsidP="002E2364">
      <w:pPr>
        <w:autoSpaceDE w:val="0"/>
        <w:autoSpaceDN w:val="0"/>
        <w:adjustRightInd w:val="0"/>
      </w:pPr>
      <w:r w:rsidRPr="006B051F">
        <w:t>11. Young DS. Effects of Preanalytical Variables on Clinical Laboratory Tests, 3rd ed. Washington, DC: AACC Press; 2007:176-182.</w:t>
      </w:r>
    </w:p>
    <w:p w:rsidR="004E088C" w:rsidRPr="006B051F" w:rsidRDefault="004E088C" w:rsidP="004E088C">
      <w:pPr>
        <w:autoSpaceDE w:val="0"/>
        <w:autoSpaceDN w:val="0"/>
        <w:adjustRightInd w:val="0"/>
      </w:pPr>
      <w:r w:rsidRPr="006B051F">
        <w:t>16. Goldman L, Ausiello D editors. Cecil Medicine, 23rd ed. Philadelphia, PA: Saunders Elsevier; 2008:2984.</w:t>
      </w:r>
    </w:p>
    <w:p w:rsidR="004E088C" w:rsidRPr="006B051F" w:rsidRDefault="004E088C" w:rsidP="004E088C">
      <w:pPr>
        <w:autoSpaceDE w:val="0"/>
        <w:autoSpaceDN w:val="0"/>
        <w:adjustRightInd w:val="0"/>
      </w:pPr>
      <w:r w:rsidRPr="006B051F">
        <w:t>18. Jacobs DS, Oxley DK, editors. Laboratory Test Handbook, 5th ed. Hudson, OH: Lexi-Comp; 2001:117–118</w:t>
      </w:r>
      <w:r w:rsidRPr="006B051F">
        <w:rPr>
          <w:sz w:val="17"/>
          <w:szCs w:val="17"/>
        </w:rPr>
        <w:t>.</w:t>
      </w:r>
    </w:p>
    <w:p w:rsidR="00065C26" w:rsidRPr="006B051F" w:rsidRDefault="00065C26" w:rsidP="00246FA8">
      <w:pPr>
        <w:rPr>
          <w:b/>
        </w:rPr>
      </w:pPr>
    </w:p>
    <w:p w:rsidR="00065C26" w:rsidRPr="006B051F" w:rsidRDefault="00065C26" w:rsidP="00246FA8">
      <w:pPr>
        <w:rPr>
          <w:b/>
        </w:rPr>
      </w:pPr>
    </w:p>
    <w:p w:rsidR="00316431" w:rsidRPr="006B051F" w:rsidRDefault="00316431" w:rsidP="00246FA8">
      <w:pPr>
        <w:rPr>
          <w:b/>
        </w:rPr>
      </w:pPr>
    </w:p>
    <w:p w:rsidR="0012178C" w:rsidRPr="006B051F" w:rsidRDefault="0012178C" w:rsidP="00246FA8">
      <w:pPr>
        <w:rPr>
          <w:b/>
        </w:rPr>
      </w:pPr>
    </w:p>
    <w:p w:rsidR="00881923" w:rsidRPr="006B051F" w:rsidRDefault="002D18CA" w:rsidP="00246FA8">
      <w:pPr>
        <w:rPr>
          <w:i/>
          <w:sz w:val="20"/>
          <w:szCs w:val="20"/>
        </w:rPr>
      </w:pPr>
      <w:r w:rsidRPr="006B051F">
        <w:rPr>
          <w:b/>
        </w:rPr>
        <w:t>R</w:t>
      </w:r>
      <w:r w:rsidR="0009322F" w:rsidRPr="006B051F">
        <w:rPr>
          <w:b/>
        </w:rPr>
        <w:t xml:space="preserve">elated Documents: </w:t>
      </w:r>
    </w:p>
    <w:p w:rsidR="00157696" w:rsidRPr="006B051F" w:rsidRDefault="00157696" w:rsidP="00246FA8">
      <w:pPr>
        <w:rPr>
          <w:i/>
          <w:color w:val="FF0000"/>
        </w:rPr>
      </w:pPr>
      <w:r w:rsidRPr="006B051F">
        <w:rPr>
          <w:b/>
        </w:rPr>
        <w:t>Attachments:</w:t>
      </w:r>
      <w:r w:rsidR="00973EAF" w:rsidRPr="006B051F">
        <w:rPr>
          <w:b/>
        </w:rPr>
        <w:t xml:space="preserve"> </w:t>
      </w:r>
    </w:p>
    <w:p w:rsidR="00D16B69" w:rsidRDefault="00D16B69" w:rsidP="00951C8E">
      <w:pPr>
        <w:spacing w:after="72"/>
        <w:jc w:val="both"/>
      </w:pPr>
    </w:p>
    <w:sectPr w:rsidR="00D16B69" w:rsidSect="00507B0C">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F46" w:rsidRDefault="00C12F46">
      <w:r>
        <w:separator/>
      </w:r>
    </w:p>
  </w:endnote>
  <w:endnote w:type="continuationSeparator" w:id="0">
    <w:p w:rsidR="00C12F46" w:rsidRDefault="00C1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9C" w:rsidRDefault="00C560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6B051F">
      <w:rPr>
        <w:noProof/>
        <w:sz w:val="20"/>
        <w:szCs w:val="20"/>
      </w:rPr>
      <w:t>7</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6B051F">
      <w:rPr>
        <w:noProof/>
        <w:sz w:val="20"/>
        <w:szCs w:val="20"/>
      </w:rPr>
      <w:t>10</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9C" w:rsidRDefault="00C56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F46" w:rsidRDefault="00C12F46">
      <w:r>
        <w:separator/>
      </w:r>
    </w:p>
  </w:footnote>
  <w:footnote w:type="continuationSeparator" w:id="0">
    <w:p w:rsidR="00C12F46" w:rsidRDefault="00C12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9C" w:rsidRDefault="00C560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sidR="00C5609C">
      <w:rPr>
        <w:b/>
        <w:sz w:val="20"/>
        <w:szCs w:val="20"/>
      </w:rPr>
      <w:t>P</w:t>
    </w:r>
    <w:r>
      <w:rPr>
        <w:b/>
        <w:sz w:val="20"/>
        <w:szCs w:val="20"/>
      </w:rPr>
      <w:t>roc#</w:t>
    </w:r>
    <w:r w:rsidR="00C5609C">
      <w:rPr>
        <w:b/>
        <w:sz w:val="20"/>
        <w:szCs w:val="20"/>
      </w:rPr>
      <w:t xml:space="preserve"> 4840- CH</w:t>
    </w:r>
    <w:r w:rsidR="00CC7D24">
      <w:rPr>
        <w:b/>
        <w:sz w:val="20"/>
        <w:szCs w:val="20"/>
      </w:rPr>
      <w:t>-</w:t>
    </w:r>
    <w:r w:rsidR="00C5609C">
      <w:rPr>
        <w:b/>
        <w:sz w:val="20"/>
        <w:szCs w:val="20"/>
      </w:rPr>
      <w:t>150</w:t>
    </w:r>
  </w:p>
  <w:p w:rsidR="00DA040A" w:rsidRDefault="00DA040A" w:rsidP="00100BF8">
    <w:pPr>
      <w:jc w:val="right"/>
      <w:rPr>
        <w:sz w:val="20"/>
        <w:szCs w:val="20"/>
      </w:rPr>
    </w:pPr>
    <w:r>
      <w:rPr>
        <w:sz w:val="20"/>
        <w:szCs w:val="20"/>
      </w:rPr>
      <w:t xml:space="preserve">ARCHITECT </w:t>
    </w:r>
    <w:r w:rsidR="00966CB0">
      <w:rPr>
        <w:sz w:val="20"/>
        <w:szCs w:val="20"/>
      </w:rPr>
      <w:t>T</w:t>
    </w:r>
    <w:r w:rsidR="00B81E9E">
      <w:rPr>
        <w:sz w:val="20"/>
        <w:szCs w:val="20"/>
      </w:rPr>
      <w:t xml:space="preserve"> Bili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9C" w:rsidRDefault="00C56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4C3D"/>
    <w:rsid w:val="000165C6"/>
    <w:rsid w:val="00020469"/>
    <w:rsid w:val="000232F2"/>
    <w:rsid w:val="000276BD"/>
    <w:rsid w:val="000304D2"/>
    <w:rsid w:val="00030CDD"/>
    <w:rsid w:val="00032E92"/>
    <w:rsid w:val="00040E43"/>
    <w:rsid w:val="00043105"/>
    <w:rsid w:val="000448CF"/>
    <w:rsid w:val="000454FD"/>
    <w:rsid w:val="0006011A"/>
    <w:rsid w:val="000602A5"/>
    <w:rsid w:val="00062EAC"/>
    <w:rsid w:val="0006502B"/>
    <w:rsid w:val="00065C26"/>
    <w:rsid w:val="000743B7"/>
    <w:rsid w:val="00081C7F"/>
    <w:rsid w:val="00082648"/>
    <w:rsid w:val="0009322F"/>
    <w:rsid w:val="000A090B"/>
    <w:rsid w:val="000A13F2"/>
    <w:rsid w:val="000A341D"/>
    <w:rsid w:val="000A7D58"/>
    <w:rsid w:val="000B4575"/>
    <w:rsid w:val="000C1FD8"/>
    <w:rsid w:val="000E3328"/>
    <w:rsid w:val="000F49B2"/>
    <w:rsid w:val="00100BF8"/>
    <w:rsid w:val="0010358F"/>
    <w:rsid w:val="00107444"/>
    <w:rsid w:val="0012178C"/>
    <w:rsid w:val="00132081"/>
    <w:rsid w:val="00133F38"/>
    <w:rsid w:val="0014554C"/>
    <w:rsid w:val="00155687"/>
    <w:rsid w:val="00157696"/>
    <w:rsid w:val="0016247C"/>
    <w:rsid w:val="00167572"/>
    <w:rsid w:val="00172CF7"/>
    <w:rsid w:val="00177DAD"/>
    <w:rsid w:val="0019760C"/>
    <w:rsid w:val="001A41B0"/>
    <w:rsid w:val="001A639E"/>
    <w:rsid w:val="001B29A7"/>
    <w:rsid w:val="001B4267"/>
    <w:rsid w:val="001C48DA"/>
    <w:rsid w:val="001D3841"/>
    <w:rsid w:val="001D6AE0"/>
    <w:rsid w:val="001E079E"/>
    <w:rsid w:val="001F32A9"/>
    <w:rsid w:val="001F6B7B"/>
    <w:rsid w:val="002154D2"/>
    <w:rsid w:val="002303E0"/>
    <w:rsid w:val="00246FA8"/>
    <w:rsid w:val="0025031C"/>
    <w:rsid w:val="00253C1F"/>
    <w:rsid w:val="00255C54"/>
    <w:rsid w:val="002649AA"/>
    <w:rsid w:val="00267D3D"/>
    <w:rsid w:val="002746A8"/>
    <w:rsid w:val="00294A08"/>
    <w:rsid w:val="002B0D2A"/>
    <w:rsid w:val="002B1993"/>
    <w:rsid w:val="002C0E55"/>
    <w:rsid w:val="002C7FD5"/>
    <w:rsid w:val="002D18CA"/>
    <w:rsid w:val="002D2075"/>
    <w:rsid w:val="002D370D"/>
    <w:rsid w:val="002D38DF"/>
    <w:rsid w:val="002D6FB9"/>
    <w:rsid w:val="002E2364"/>
    <w:rsid w:val="002F52E0"/>
    <w:rsid w:val="003056A7"/>
    <w:rsid w:val="00316431"/>
    <w:rsid w:val="00347BEC"/>
    <w:rsid w:val="003532B4"/>
    <w:rsid w:val="00353FD5"/>
    <w:rsid w:val="0037463A"/>
    <w:rsid w:val="0038442D"/>
    <w:rsid w:val="00386807"/>
    <w:rsid w:val="00396C4A"/>
    <w:rsid w:val="003B2E62"/>
    <w:rsid w:val="003B40E1"/>
    <w:rsid w:val="003C2522"/>
    <w:rsid w:val="003C596F"/>
    <w:rsid w:val="003D10DE"/>
    <w:rsid w:val="003D376A"/>
    <w:rsid w:val="003D38B7"/>
    <w:rsid w:val="003D708C"/>
    <w:rsid w:val="003E62E7"/>
    <w:rsid w:val="00400A1A"/>
    <w:rsid w:val="00400CBA"/>
    <w:rsid w:val="00405EC8"/>
    <w:rsid w:val="00410514"/>
    <w:rsid w:val="00413FEE"/>
    <w:rsid w:val="00425BA0"/>
    <w:rsid w:val="00436811"/>
    <w:rsid w:val="0044058F"/>
    <w:rsid w:val="00443DB3"/>
    <w:rsid w:val="00452D5E"/>
    <w:rsid w:val="0045570E"/>
    <w:rsid w:val="00456575"/>
    <w:rsid w:val="00460600"/>
    <w:rsid w:val="00461686"/>
    <w:rsid w:val="0046271A"/>
    <w:rsid w:val="004708FA"/>
    <w:rsid w:val="00493DD1"/>
    <w:rsid w:val="004A03BD"/>
    <w:rsid w:val="004A2AA3"/>
    <w:rsid w:val="004A4B06"/>
    <w:rsid w:val="004B5F9D"/>
    <w:rsid w:val="004C05F8"/>
    <w:rsid w:val="004C104D"/>
    <w:rsid w:val="004C2C23"/>
    <w:rsid w:val="004C37CB"/>
    <w:rsid w:val="004E088C"/>
    <w:rsid w:val="004E7DCC"/>
    <w:rsid w:val="004F5F8A"/>
    <w:rsid w:val="004F6C28"/>
    <w:rsid w:val="00507B0C"/>
    <w:rsid w:val="00533CE1"/>
    <w:rsid w:val="00551335"/>
    <w:rsid w:val="0055619E"/>
    <w:rsid w:val="0056023B"/>
    <w:rsid w:val="00574309"/>
    <w:rsid w:val="005806E5"/>
    <w:rsid w:val="0058304A"/>
    <w:rsid w:val="005902C0"/>
    <w:rsid w:val="00590F92"/>
    <w:rsid w:val="005A1D53"/>
    <w:rsid w:val="005A4739"/>
    <w:rsid w:val="005A7348"/>
    <w:rsid w:val="005B0D1C"/>
    <w:rsid w:val="005C4292"/>
    <w:rsid w:val="005E2E76"/>
    <w:rsid w:val="005E3AB5"/>
    <w:rsid w:val="005E3D52"/>
    <w:rsid w:val="005F3E81"/>
    <w:rsid w:val="0060509E"/>
    <w:rsid w:val="00607638"/>
    <w:rsid w:val="00610572"/>
    <w:rsid w:val="006107A2"/>
    <w:rsid w:val="0061553C"/>
    <w:rsid w:val="00621ABB"/>
    <w:rsid w:val="00623EFB"/>
    <w:rsid w:val="0063150E"/>
    <w:rsid w:val="00644800"/>
    <w:rsid w:val="006559EB"/>
    <w:rsid w:val="00656BB9"/>
    <w:rsid w:val="00674186"/>
    <w:rsid w:val="00677E98"/>
    <w:rsid w:val="00682038"/>
    <w:rsid w:val="006A5AAE"/>
    <w:rsid w:val="006B051F"/>
    <w:rsid w:val="006B0A70"/>
    <w:rsid w:val="006B3C65"/>
    <w:rsid w:val="006D28ED"/>
    <w:rsid w:val="006D40ED"/>
    <w:rsid w:val="006E5155"/>
    <w:rsid w:val="006F7F4F"/>
    <w:rsid w:val="00714B7D"/>
    <w:rsid w:val="00714F24"/>
    <w:rsid w:val="0074336C"/>
    <w:rsid w:val="007703C0"/>
    <w:rsid w:val="007840DD"/>
    <w:rsid w:val="007B09E3"/>
    <w:rsid w:val="007B0CCE"/>
    <w:rsid w:val="007B247B"/>
    <w:rsid w:val="007E4CE6"/>
    <w:rsid w:val="007E6C3C"/>
    <w:rsid w:val="0080146D"/>
    <w:rsid w:val="00804822"/>
    <w:rsid w:val="00812CCF"/>
    <w:rsid w:val="00833E15"/>
    <w:rsid w:val="0083638D"/>
    <w:rsid w:val="00841397"/>
    <w:rsid w:val="00846F9F"/>
    <w:rsid w:val="00847607"/>
    <w:rsid w:val="00860C1E"/>
    <w:rsid w:val="00863AA4"/>
    <w:rsid w:val="00864220"/>
    <w:rsid w:val="00880899"/>
    <w:rsid w:val="00880FDF"/>
    <w:rsid w:val="0088112F"/>
    <w:rsid w:val="00881923"/>
    <w:rsid w:val="00883611"/>
    <w:rsid w:val="00887139"/>
    <w:rsid w:val="008A1AF7"/>
    <w:rsid w:val="008A1CED"/>
    <w:rsid w:val="008A7551"/>
    <w:rsid w:val="008A7F96"/>
    <w:rsid w:val="008B590F"/>
    <w:rsid w:val="008C0AEF"/>
    <w:rsid w:val="008D4DF4"/>
    <w:rsid w:val="008E00E3"/>
    <w:rsid w:val="008F7947"/>
    <w:rsid w:val="008F794A"/>
    <w:rsid w:val="0091292B"/>
    <w:rsid w:val="00912BAD"/>
    <w:rsid w:val="00912FE4"/>
    <w:rsid w:val="0091658D"/>
    <w:rsid w:val="00920BFE"/>
    <w:rsid w:val="0092389D"/>
    <w:rsid w:val="00924B1D"/>
    <w:rsid w:val="00926E1B"/>
    <w:rsid w:val="009318E8"/>
    <w:rsid w:val="009467CE"/>
    <w:rsid w:val="00951C8E"/>
    <w:rsid w:val="00952933"/>
    <w:rsid w:val="00953BF2"/>
    <w:rsid w:val="00964971"/>
    <w:rsid w:val="0096561C"/>
    <w:rsid w:val="00966CB0"/>
    <w:rsid w:val="00973EAF"/>
    <w:rsid w:val="00980C01"/>
    <w:rsid w:val="009841EC"/>
    <w:rsid w:val="009A4991"/>
    <w:rsid w:val="009B4C90"/>
    <w:rsid w:val="009D1D61"/>
    <w:rsid w:val="009D498B"/>
    <w:rsid w:val="009E0FF1"/>
    <w:rsid w:val="009E49EB"/>
    <w:rsid w:val="009E7B04"/>
    <w:rsid w:val="009F648F"/>
    <w:rsid w:val="00A016EE"/>
    <w:rsid w:val="00A062F7"/>
    <w:rsid w:val="00A06412"/>
    <w:rsid w:val="00A06C52"/>
    <w:rsid w:val="00A1152E"/>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065A"/>
    <w:rsid w:val="00A92E30"/>
    <w:rsid w:val="00AA271B"/>
    <w:rsid w:val="00AA7B6F"/>
    <w:rsid w:val="00AB5354"/>
    <w:rsid w:val="00AB793D"/>
    <w:rsid w:val="00AC0E64"/>
    <w:rsid w:val="00AD402C"/>
    <w:rsid w:val="00AE6F5B"/>
    <w:rsid w:val="00AE7704"/>
    <w:rsid w:val="00AF597C"/>
    <w:rsid w:val="00B11C38"/>
    <w:rsid w:val="00B13AB5"/>
    <w:rsid w:val="00B30875"/>
    <w:rsid w:val="00B36577"/>
    <w:rsid w:val="00B434E9"/>
    <w:rsid w:val="00B438DB"/>
    <w:rsid w:val="00B45FE2"/>
    <w:rsid w:val="00B46687"/>
    <w:rsid w:val="00B50C75"/>
    <w:rsid w:val="00B63263"/>
    <w:rsid w:val="00B63E8F"/>
    <w:rsid w:val="00B70AAC"/>
    <w:rsid w:val="00B712B1"/>
    <w:rsid w:val="00B72271"/>
    <w:rsid w:val="00B81E9E"/>
    <w:rsid w:val="00BA0054"/>
    <w:rsid w:val="00BC1EC4"/>
    <w:rsid w:val="00BC76E2"/>
    <w:rsid w:val="00BE40A6"/>
    <w:rsid w:val="00BF1298"/>
    <w:rsid w:val="00BF32B2"/>
    <w:rsid w:val="00C12F46"/>
    <w:rsid w:val="00C2715D"/>
    <w:rsid w:val="00C32412"/>
    <w:rsid w:val="00C3571A"/>
    <w:rsid w:val="00C53E37"/>
    <w:rsid w:val="00C5609C"/>
    <w:rsid w:val="00C63D0C"/>
    <w:rsid w:val="00C90E57"/>
    <w:rsid w:val="00C912E2"/>
    <w:rsid w:val="00C967D5"/>
    <w:rsid w:val="00CA11D0"/>
    <w:rsid w:val="00CB75C5"/>
    <w:rsid w:val="00CC2751"/>
    <w:rsid w:val="00CC37B4"/>
    <w:rsid w:val="00CC3D62"/>
    <w:rsid w:val="00CC7D24"/>
    <w:rsid w:val="00CE2DC7"/>
    <w:rsid w:val="00CF2F62"/>
    <w:rsid w:val="00CF7868"/>
    <w:rsid w:val="00D006C7"/>
    <w:rsid w:val="00D16262"/>
    <w:rsid w:val="00D16B69"/>
    <w:rsid w:val="00D27C5A"/>
    <w:rsid w:val="00D339B0"/>
    <w:rsid w:val="00D5070C"/>
    <w:rsid w:val="00D50F05"/>
    <w:rsid w:val="00D5211B"/>
    <w:rsid w:val="00D60AFA"/>
    <w:rsid w:val="00D62F92"/>
    <w:rsid w:val="00D64E39"/>
    <w:rsid w:val="00D71AF7"/>
    <w:rsid w:val="00D727EF"/>
    <w:rsid w:val="00D73BF8"/>
    <w:rsid w:val="00D77B64"/>
    <w:rsid w:val="00D80968"/>
    <w:rsid w:val="00D94BB8"/>
    <w:rsid w:val="00D97908"/>
    <w:rsid w:val="00DA040A"/>
    <w:rsid w:val="00DA6C6A"/>
    <w:rsid w:val="00DB49D0"/>
    <w:rsid w:val="00DB679E"/>
    <w:rsid w:val="00DB7BA9"/>
    <w:rsid w:val="00DC16C5"/>
    <w:rsid w:val="00DC4702"/>
    <w:rsid w:val="00DC56D1"/>
    <w:rsid w:val="00DD0481"/>
    <w:rsid w:val="00DE6C4E"/>
    <w:rsid w:val="00DF01DC"/>
    <w:rsid w:val="00DF022C"/>
    <w:rsid w:val="00E03B3D"/>
    <w:rsid w:val="00E07C43"/>
    <w:rsid w:val="00E12522"/>
    <w:rsid w:val="00E12AF4"/>
    <w:rsid w:val="00E36B73"/>
    <w:rsid w:val="00E40388"/>
    <w:rsid w:val="00E44BED"/>
    <w:rsid w:val="00E4787B"/>
    <w:rsid w:val="00E50643"/>
    <w:rsid w:val="00E633EC"/>
    <w:rsid w:val="00E97A8C"/>
    <w:rsid w:val="00EA1269"/>
    <w:rsid w:val="00EA713D"/>
    <w:rsid w:val="00EB2F9F"/>
    <w:rsid w:val="00EB33FE"/>
    <w:rsid w:val="00EB6D05"/>
    <w:rsid w:val="00EC002B"/>
    <w:rsid w:val="00EC7B32"/>
    <w:rsid w:val="00ED2343"/>
    <w:rsid w:val="00ED4BBB"/>
    <w:rsid w:val="00ED5787"/>
    <w:rsid w:val="00EF4170"/>
    <w:rsid w:val="00F05CCD"/>
    <w:rsid w:val="00F13523"/>
    <w:rsid w:val="00F1787A"/>
    <w:rsid w:val="00F17F45"/>
    <w:rsid w:val="00F23218"/>
    <w:rsid w:val="00F25293"/>
    <w:rsid w:val="00F32BBD"/>
    <w:rsid w:val="00F3700B"/>
    <w:rsid w:val="00F520C5"/>
    <w:rsid w:val="00F61480"/>
    <w:rsid w:val="00F66836"/>
    <w:rsid w:val="00F7103F"/>
    <w:rsid w:val="00F7630F"/>
    <w:rsid w:val="00F80AD3"/>
    <w:rsid w:val="00F82D85"/>
    <w:rsid w:val="00F84979"/>
    <w:rsid w:val="00F91000"/>
    <w:rsid w:val="00F92520"/>
    <w:rsid w:val="00F95946"/>
    <w:rsid w:val="00FB49F4"/>
    <w:rsid w:val="00FD5EA9"/>
    <w:rsid w:val="00FD6E32"/>
    <w:rsid w:val="00FE338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5D9F-5BFD-4E56-9553-B03DC896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1790</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12547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4</cp:revision>
  <cp:lastPrinted>2012-02-10T12:42:00Z</cp:lastPrinted>
  <dcterms:created xsi:type="dcterms:W3CDTF">2018-08-21T12:33:00Z</dcterms:created>
  <dcterms:modified xsi:type="dcterms:W3CDTF">2018-10-24T16:33:00Z</dcterms:modified>
</cp:coreProperties>
</file>