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CD71C0">
      <w:pPr>
        <w:rPr>
          <w:b/>
        </w:rPr>
      </w:pPr>
      <w:r>
        <w:rPr>
          <w:noProof/>
        </w:rPr>
        <w:drawing>
          <wp:inline distT="0" distB="0" distL="0" distR="0" wp14:anchorId="6D8BA403" wp14:editId="211FEEF1">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6A71AF" w:rsidP="006107A2">
      <w:pPr>
        <w:jc w:val="center"/>
        <w:rPr>
          <w:rFonts w:eastAsia="HelenPro-Regular"/>
          <w:b/>
          <w:sz w:val="28"/>
          <w:szCs w:val="28"/>
        </w:rPr>
      </w:pPr>
      <w:r>
        <w:rPr>
          <w:rFonts w:eastAsia="HelenPro-Regular"/>
          <w:b/>
          <w:sz w:val="28"/>
          <w:szCs w:val="28"/>
        </w:rPr>
        <w:t>CORE</w:t>
      </w:r>
      <w:r w:rsidR="00732895">
        <w:rPr>
          <w:rFonts w:eastAsia="HelenPro-Regular"/>
          <w:b/>
          <w:sz w:val="28"/>
          <w:szCs w:val="28"/>
        </w:rPr>
        <w:t>-M</w:t>
      </w:r>
      <w:r w:rsidR="006E6E5C">
        <w:rPr>
          <w:rFonts w:eastAsia="HelenPro-Regular"/>
          <w:b/>
          <w:sz w:val="28"/>
          <w:szCs w:val="28"/>
        </w:rPr>
        <w:t xml:space="preserve"> (</w:t>
      </w:r>
      <w:r w:rsidR="00732895">
        <w:rPr>
          <w:rFonts w:eastAsia="HelenPro-Regular"/>
          <w:b/>
          <w:sz w:val="28"/>
          <w:szCs w:val="28"/>
        </w:rPr>
        <w:t xml:space="preserve">IGM </w:t>
      </w:r>
      <w:r w:rsidR="006E6E5C">
        <w:rPr>
          <w:rFonts w:eastAsia="HelenPro-Regular"/>
          <w:b/>
          <w:sz w:val="28"/>
          <w:szCs w:val="28"/>
        </w:rPr>
        <w:t>ANTI-HBc)</w:t>
      </w:r>
    </w:p>
    <w:p w:rsidR="0056023B" w:rsidRPr="001A639E" w:rsidRDefault="004A2AA3" w:rsidP="006107A2">
      <w:pPr>
        <w:jc w:val="center"/>
        <w:rPr>
          <w:b/>
          <w:sz w:val="28"/>
          <w:szCs w:val="28"/>
        </w:rPr>
      </w:pPr>
      <w:r>
        <w:rPr>
          <w:b/>
          <w:sz w:val="28"/>
          <w:szCs w:val="28"/>
        </w:rPr>
        <w:t>SERUM</w:t>
      </w:r>
      <w:r w:rsidR="00C32412">
        <w:rPr>
          <w:b/>
          <w:sz w:val="28"/>
          <w:szCs w:val="28"/>
        </w:rPr>
        <w:t xml:space="preserve"> </w:t>
      </w:r>
      <w:r w:rsidR="006A71AF">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E70BBC" w:rsidRPr="00340B1A" w:rsidRDefault="00E70BBC" w:rsidP="00E70BBC">
      <w:pPr>
        <w:autoSpaceDE w:val="0"/>
        <w:autoSpaceDN w:val="0"/>
        <w:adjustRightInd w:val="0"/>
        <w:rPr>
          <w:rFonts w:eastAsia="HelenPro-Regular"/>
        </w:rPr>
      </w:pPr>
      <w:r w:rsidRPr="00340B1A">
        <w:rPr>
          <w:rFonts w:eastAsia="HelenPro-Regular"/>
        </w:rPr>
        <w:t>The ARCHITECT CORE-M assay is a chemiluminescent microparticle</w:t>
      </w:r>
      <w:r w:rsidR="00340B1A">
        <w:rPr>
          <w:rFonts w:eastAsia="HelenPro-Regular"/>
        </w:rPr>
        <w:t xml:space="preserve"> </w:t>
      </w:r>
      <w:r w:rsidRPr="00340B1A">
        <w:rPr>
          <w:rFonts w:eastAsia="HelenPro-Regular"/>
        </w:rPr>
        <w:t>immunoassay (CMIA) for the qualitative detection of IgM antibody to</w:t>
      </w:r>
      <w:r w:rsidR="00340B1A">
        <w:rPr>
          <w:rFonts w:eastAsia="HelenPro-Regular"/>
        </w:rPr>
        <w:t xml:space="preserve"> </w:t>
      </w:r>
      <w:r w:rsidRPr="00340B1A">
        <w:rPr>
          <w:rFonts w:eastAsia="HelenPro-Regular"/>
        </w:rPr>
        <w:t>hepatitis B core antigen (IgM anti-HBc) in human adult and pediatric serum or</w:t>
      </w:r>
      <w:r w:rsidR="00340B1A">
        <w:rPr>
          <w:rFonts w:eastAsia="HelenPro-Regular"/>
        </w:rPr>
        <w:t xml:space="preserve"> </w:t>
      </w:r>
      <w:r w:rsidRPr="00340B1A">
        <w:rPr>
          <w:rFonts w:eastAsia="HelenPro-Regular"/>
        </w:rPr>
        <w:t>plasma (dipotassium EDTA, lithium heparin, and sodium heparin) and neonatal</w:t>
      </w:r>
      <w:r w:rsidR="00340B1A">
        <w:rPr>
          <w:rFonts w:eastAsia="HelenPro-Regular"/>
        </w:rPr>
        <w:t xml:space="preserve"> </w:t>
      </w:r>
      <w:r w:rsidRPr="00340B1A">
        <w:rPr>
          <w:rFonts w:eastAsia="HelenPro-Regular"/>
        </w:rPr>
        <w:t>serum. A test for IgM anti-HBc is indicated as an aid in the diagnosis of acute</w:t>
      </w:r>
      <w:r w:rsidR="00340B1A">
        <w:rPr>
          <w:rFonts w:eastAsia="HelenPro-Regular"/>
        </w:rPr>
        <w:t xml:space="preserve"> </w:t>
      </w:r>
      <w:r w:rsidRPr="00340B1A">
        <w:rPr>
          <w:rFonts w:eastAsia="HelenPro-Regular"/>
        </w:rPr>
        <w:t>or recent hepatitis B virus (HBV) infection in conjunction with other laboratory</w:t>
      </w:r>
      <w:r w:rsidR="00340B1A">
        <w:rPr>
          <w:rFonts w:eastAsia="HelenPro-Regular"/>
        </w:rPr>
        <w:t xml:space="preserve"> </w:t>
      </w:r>
      <w:r w:rsidRPr="00340B1A">
        <w:rPr>
          <w:rFonts w:eastAsia="HelenPro-Regular"/>
        </w:rPr>
        <w:t>results and clinical information.</w:t>
      </w:r>
    </w:p>
    <w:p w:rsidR="00E70BBC" w:rsidRPr="00340B1A" w:rsidRDefault="00E70BBC" w:rsidP="00E70BBC">
      <w:pPr>
        <w:autoSpaceDE w:val="0"/>
        <w:autoSpaceDN w:val="0"/>
        <w:adjustRightInd w:val="0"/>
        <w:rPr>
          <w:rFonts w:eastAsia="HelenPro-Bold"/>
          <w:b/>
          <w:bCs/>
        </w:rPr>
      </w:pPr>
      <w:r w:rsidRPr="00340B1A">
        <w:rPr>
          <w:rFonts w:eastAsia="HelenPro-Bold"/>
          <w:b/>
          <w:bCs/>
        </w:rPr>
        <w:t>Warning: Not intended for use in screening blood, plasma, or tissue donors.</w:t>
      </w:r>
      <w:r w:rsidR="00340B1A">
        <w:rPr>
          <w:rFonts w:eastAsia="HelenPro-Bold"/>
          <w:b/>
          <w:bCs/>
        </w:rPr>
        <w:t xml:space="preserve"> </w:t>
      </w:r>
      <w:r w:rsidRPr="00340B1A">
        <w:rPr>
          <w:rFonts w:eastAsia="HelenPro-Regular"/>
        </w:rPr>
        <w:t>The effectiveness of ARCHITECT CORE-M for use in screening blood, plasma,</w:t>
      </w:r>
      <w:r w:rsidR="00340B1A">
        <w:rPr>
          <w:rFonts w:eastAsia="HelenPro-Bold"/>
          <w:b/>
          <w:bCs/>
        </w:rPr>
        <w:t xml:space="preserve"> </w:t>
      </w:r>
      <w:r w:rsidRPr="00340B1A">
        <w:rPr>
          <w:rFonts w:eastAsia="HelenPro-Regular"/>
        </w:rPr>
        <w:t>or tissue donors has not been established.</w:t>
      </w:r>
    </w:p>
    <w:p w:rsidR="004A03BD" w:rsidRPr="00A911E0" w:rsidRDefault="00E70BBC" w:rsidP="00E70BBC">
      <w:pPr>
        <w:autoSpaceDE w:val="0"/>
        <w:autoSpaceDN w:val="0"/>
        <w:adjustRightInd w:val="0"/>
        <w:rPr>
          <w:rFonts w:eastAsia="HelenPro-Regular"/>
        </w:rPr>
      </w:pPr>
      <w:r w:rsidRPr="00340B1A">
        <w:rPr>
          <w:rFonts w:eastAsia="HelenPro-Regular"/>
        </w:rPr>
        <w:t>Assay performance characteristics have not been established when the</w:t>
      </w:r>
      <w:r w:rsidR="00340B1A">
        <w:rPr>
          <w:rFonts w:eastAsia="HelenPro-Regular"/>
        </w:rPr>
        <w:t xml:space="preserve"> </w:t>
      </w:r>
      <w:r w:rsidRPr="00340B1A">
        <w:rPr>
          <w:rFonts w:eastAsia="HelenPro-Regular"/>
        </w:rPr>
        <w:t>ARCHITECT CORE-M assay is used in conjunction with other manufacturers’</w:t>
      </w:r>
      <w:r w:rsidR="00340B1A">
        <w:rPr>
          <w:rFonts w:eastAsia="HelenPro-Regular"/>
        </w:rPr>
        <w:t xml:space="preserve"> </w:t>
      </w:r>
      <w:r w:rsidRPr="00340B1A">
        <w:rPr>
          <w:rFonts w:eastAsia="HelenPro-Regular"/>
        </w:rPr>
        <w:t>assays for specific hepatitis markers. Users are responsible for establishing</w:t>
      </w:r>
      <w:r w:rsidR="00340B1A">
        <w:rPr>
          <w:rFonts w:eastAsia="HelenPro-Regular"/>
        </w:rPr>
        <w:t xml:space="preserve"> </w:t>
      </w:r>
      <w:r w:rsidRPr="00340B1A">
        <w:rPr>
          <w:rFonts w:eastAsia="HelenPro-Regular"/>
        </w:rPr>
        <w:t>their own performance characteristics.</w:t>
      </w:r>
      <w:r w:rsidR="00340B1A">
        <w:rPr>
          <w:rFonts w:eastAsia="HelenPro-Regular"/>
        </w:rPr>
        <w:t xml:space="preserve"> </w:t>
      </w:r>
      <w:r w:rsidRPr="00340B1A">
        <w:rPr>
          <w:rFonts w:eastAsia="HelenPro-Regular"/>
        </w:rPr>
        <w:t>Assay performance characteristics have not been established for</w:t>
      </w:r>
      <w:r w:rsidR="00340B1A">
        <w:rPr>
          <w:rFonts w:eastAsia="HelenPro-Regular"/>
        </w:rPr>
        <w:t xml:space="preserve"> </w:t>
      </w:r>
      <w:r w:rsidRPr="00340B1A">
        <w:rPr>
          <w:rFonts w:eastAsia="HelenPro-Regular"/>
        </w:rPr>
        <w:t>immunocompromised or immunosuppressed patients. The user is responsible</w:t>
      </w:r>
      <w:r w:rsidR="00340B1A">
        <w:rPr>
          <w:rFonts w:eastAsia="HelenPro-Regular"/>
        </w:rPr>
        <w:t xml:space="preserve"> </w:t>
      </w:r>
      <w:r w:rsidRPr="00340B1A">
        <w:rPr>
          <w:rFonts w:eastAsia="HelenPro-Regular"/>
        </w:rPr>
        <w:t>for establishing their own assay performance characteristics in these</w:t>
      </w:r>
      <w:r w:rsidR="00340B1A">
        <w:rPr>
          <w:rFonts w:eastAsia="HelenPro-Regular"/>
        </w:rPr>
        <w:t xml:space="preserve"> </w:t>
      </w:r>
      <w:r w:rsidRPr="00340B1A">
        <w:rPr>
          <w:rFonts w:eastAsia="HelenPro-Regular"/>
        </w:rPr>
        <w:t>populations.</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340B1A" w:rsidRDefault="00E70BBC" w:rsidP="00340B1A">
      <w:pPr>
        <w:autoSpaceDE w:val="0"/>
        <w:autoSpaceDN w:val="0"/>
        <w:adjustRightInd w:val="0"/>
        <w:rPr>
          <w:rFonts w:eastAsia="HelenPro-Regular"/>
        </w:rPr>
      </w:pPr>
      <w:r w:rsidRPr="00340B1A">
        <w:rPr>
          <w:rFonts w:eastAsia="HelenPro-Regular"/>
        </w:rPr>
        <w:t>Virus specific IgM antibody has been detected in most acute viral infections</w:t>
      </w:r>
      <w:r w:rsidR="00340B1A">
        <w:rPr>
          <w:rFonts w:eastAsia="HelenPro-Regular"/>
        </w:rPr>
        <w:t xml:space="preserve"> </w:t>
      </w:r>
      <w:r w:rsidRPr="00340B1A">
        <w:rPr>
          <w:rFonts w:eastAsia="HelenPro-Regular"/>
        </w:rPr>
        <w:t>and is a reliable marker for acute viral disease. High levels of IgM anti-HBc</w:t>
      </w:r>
      <w:r w:rsidR="00340B1A">
        <w:rPr>
          <w:rFonts w:eastAsia="HelenPro-Regular"/>
        </w:rPr>
        <w:t xml:space="preserve"> </w:t>
      </w:r>
      <w:r w:rsidRPr="00340B1A">
        <w:rPr>
          <w:rFonts w:eastAsia="HelenPro-Regular"/>
        </w:rPr>
        <w:t>have been detected in patients with acute HBV infection</w:t>
      </w:r>
      <w:r w:rsidR="00340B1A">
        <w:rPr>
          <w:rFonts w:eastAsia="HelenPro-Regular"/>
        </w:rPr>
        <w:t xml:space="preserve"> </w:t>
      </w:r>
      <w:r w:rsidRPr="00340B1A">
        <w:rPr>
          <w:rFonts w:eastAsia="HelenPro-Regular"/>
        </w:rPr>
        <w:t>and low levels have</w:t>
      </w:r>
      <w:r w:rsidR="00340B1A">
        <w:rPr>
          <w:rFonts w:eastAsia="HelenPro-Regular"/>
        </w:rPr>
        <w:t xml:space="preserve"> </w:t>
      </w:r>
      <w:r w:rsidRPr="00340B1A">
        <w:rPr>
          <w:rFonts w:eastAsia="HelenPro-Regular"/>
        </w:rPr>
        <w:t>been detected in some patients with chronic HBV infection. Differentiation</w:t>
      </w:r>
      <w:r w:rsidR="00340B1A">
        <w:rPr>
          <w:rFonts w:eastAsia="HelenPro-Regular"/>
        </w:rPr>
        <w:t xml:space="preserve"> </w:t>
      </w:r>
      <w:r w:rsidRPr="00340B1A">
        <w:rPr>
          <w:rFonts w:eastAsia="HelenPro-Regular"/>
        </w:rPr>
        <w:t>of acute and chronic HBV infection on the basis of viral markers such as</w:t>
      </w:r>
      <w:r w:rsidR="00340B1A">
        <w:rPr>
          <w:rFonts w:eastAsia="HelenPro-Regular"/>
        </w:rPr>
        <w:t xml:space="preserve"> </w:t>
      </w:r>
      <w:r w:rsidRPr="00340B1A">
        <w:rPr>
          <w:rFonts w:eastAsia="HelenPro-Regular"/>
        </w:rPr>
        <w:t>HBsAg, anti-HBs, HBeAg, anti-HBe, and anti-HBc is difficult because most of</w:t>
      </w:r>
      <w:r w:rsidR="00340B1A">
        <w:rPr>
          <w:rFonts w:eastAsia="HelenPro-Regular"/>
        </w:rPr>
        <w:t xml:space="preserve"> </w:t>
      </w:r>
      <w:r w:rsidRPr="00340B1A">
        <w:rPr>
          <w:rFonts w:eastAsia="HelenPro-Regular"/>
        </w:rPr>
        <w:t>these markers are seen during both acute and chronic disease. In cases</w:t>
      </w:r>
      <w:r w:rsidR="00340B1A">
        <w:rPr>
          <w:rFonts w:eastAsia="HelenPro-Regular"/>
        </w:rPr>
        <w:t xml:space="preserve"> </w:t>
      </w:r>
      <w:r w:rsidRPr="00340B1A">
        <w:rPr>
          <w:rFonts w:eastAsia="HelenPro-Regular"/>
        </w:rPr>
        <w:t>where these markers are present, acute illness with other agents such as</w:t>
      </w:r>
      <w:r w:rsidR="00340B1A">
        <w:rPr>
          <w:rFonts w:eastAsia="HelenPro-Regular"/>
        </w:rPr>
        <w:t xml:space="preserve"> </w:t>
      </w:r>
      <w:r w:rsidRPr="00340B1A">
        <w:rPr>
          <w:rFonts w:eastAsia="HelenPro-Regular"/>
        </w:rPr>
        <w:t>hepatitis C, non-A, non-B, non-C hepatitis, and delta hepatitis may confuse the</w:t>
      </w:r>
      <w:r w:rsidR="00340B1A">
        <w:rPr>
          <w:rFonts w:eastAsia="HelenPro-Regular"/>
        </w:rPr>
        <w:t xml:space="preserve"> </w:t>
      </w:r>
      <w:r w:rsidRPr="00340B1A">
        <w:rPr>
          <w:rFonts w:eastAsia="HelenPro-Regular"/>
        </w:rPr>
        <w:t>diagnosis. Several studies have demonstrated that IgM anti-HBc is the only</w:t>
      </w:r>
      <w:r w:rsidR="00340B1A">
        <w:rPr>
          <w:rFonts w:eastAsia="HelenPro-Regular"/>
        </w:rPr>
        <w:t xml:space="preserve"> </w:t>
      </w:r>
      <w:r w:rsidRPr="00340B1A">
        <w:rPr>
          <w:rFonts w:eastAsia="HelenPro-Regular"/>
        </w:rPr>
        <w:t>specific marker for the diagnosis of acute HBV infection.</w:t>
      </w:r>
    </w:p>
    <w:p w:rsidR="00340B1A" w:rsidRPr="00340B1A" w:rsidRDefault="00340B1A" w:rsidP="00340B1A">
      <w:pPr>
        <w:autoSpaceDE w:val="0"/>
        <w:autoSpaceDN w:val="0"/>
        <w:adjustRightInd w:val="0"/>
        <w:rPr>
          <w:rFonts w:eastAsia="HelenPro-Regular"/>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E70BBC" w:rsidRPr="00340B1A" w:rsidRDefault="00E70BBC" w:rsidP="00E70BBC">
      <w:pPr>
        <w:autoSpaceDE w:val="0"/>
        <w:autoSpaceDN w:val="0"/>
        <w:adjustRightInd w:val="0"/>
        <w:rPr>
          <w:rFonts w:eastAsia="HelenPro-Regular"/>
        </w:rPr>
      </w:pPr>
      <w:r w:rsidRPr="00340B1A">
        <w:rPr>
          <w:rFonts w:eastAsia="HelenPro-Regular"/>
        </w:rPr>
        <w:t>The ARCHITECT CORE-M assay is a two-step immunoassay for the qualitative</w:t>
      </w:r>
      <w:r w:rsidR="00340B1A">
        <w:rPr>
          <w:rFonts w:eastAsia="HelenPro-Regular"/>
        </w:rPr>
        <w:t xml:space="preserve"> </w:t>
      </w:r>
      <w:r w:rsidRPr="00340B1A">
        <w:rPr>
          <w:rFonts w:eastAsia="HelenPro-Regular"/>
        </w:rPr>
        <w:t>detection of IgM anti-HBc in human serum and plasma using CMIA technology</w:t>
      </w:r>
      <w:r w:rsidR="00340B1A">
        <w:rPr>
          <w:rFonts w:eastAsia="HelenPro-Regular"/>
        </w:rPr>
        <w:t xml:space="preserve"> </w:t>
      </w:r>
      <w:r w:rsidRPr="00340B1A">
        <w:rPr>
          <w:rFonts w:eastAsia="HelenPro-Regular"/>
        </w:rPr>
        <w:t>with flexible assay protocols, referred to as Chemiflex.</w:t>
      </w:r>
      <w:r w:rsidR="00340B1A">
        <w:rPr>
          <w:rFonts w:eastAsia="HelenPro-Regular"/>
        </w:rPr>
        <w:t xml:space="preserve"> </w:t>
      </w:r>
      <w:r w:rsidRPr="00340B1A">
        <w:rPr>
          <w:rFonts w:eastAsia="HelenPro-Regular"/>
        </w:rPr>
        <w:t>In the first step, sample is prediluted with wash buffer. The prediluted sample</w:t>
      </w:r>
      <w:r w:rsidR="00340B1A">
        <w:rPr>
          <w:rFonts w:eastAsia="HelenPro-Regular"/>
        </w:rPr>
        <w:t xml:space="preserve"> </w:t>
      </w:r>
      <w:r w:rsidRPr="00340B1A">
        <w:rPr>
          <w:rFonts w:eastAsia="HelenPro-Regular"/>
        </w:rPr>
        <w:t>and anti-human IgM (mouse monoclonal) coated paramagnetic microparticles</w:t>
      </w:r>
      <w:r w:rsidR="00340B1A">
        <w:rPr>
          <w:rFonts w:eastAsia="HelenPro-Regular"/>
        </w:rPr>
        <w:t xml:space="preserve"> </w:t>
      </w:r>
      <w:r w:rsidRPr="00340B1A">
        <w:rPr>
          <w:rFonts w:eastAsia="HelenPro-Regular"/>
        </w:rPr>
        <w:t>are combined. Human IgM present in the sample binds to the anti-human</w:t>
      </w:r>
      <w:r w:rsidR="00340B1A">
        <w:rPr>
          <w:rFonts w:eastAsia="HelenPro-Regular"/>
        </w:rPr>
        <w:t xml:space="preserve"> </w:t>
      </w:r>
      <w:r w:rsidRPr="00340B1A">
        <w:rPr>
          <w:rFonts w:eastAsia="HelenPro-Regular"/>
        </w:rPr>
        <w:t>IgM (mouse monoclonal) coated microparticles. After washing, the anti-HBc</w:t>
      </w:r>
      <w:r w:rsidR="00340B1A">
        <w:rPr>
          <w:rFonts w:eastAsia="HelenPro-Regular"/>
        </w:rPr>
        <w:t xml:space="preserve"> </w:t>
      </w:r>
      <w:r w:rsidRPr="00340B1A">
        <w:rPr>
          <w:rFonts w:eastAsia="HelenPro-Regular"/>
        </w:rPr>
        <w:t>specific IgM binds to the acridinium-labeled recombinant hepatitis B virus</w:t>
      </w:r>
      <w:r w:rsidR="00340B1A">
        <w:rPr>
          <w:rFonts w:eastAsia="HelenPro-Regular"/>
        </w:rPr>
        <w:t xml:space="preserve"> </w:t>
      </w:r>
      <w:r w:rsidRPr="00340B1A">
        <w:rPr>
          <w:rFonts w:eastAsia="HelenPro-Regular"/>
        </w:rPr>
        <w:t>core antigen (rHBcAg) conjugate that is added in the second step. Following</w:t>
      </w:r>
      <w:r w:rsidR="00340B1A">
        <w:rPr>
          <w:rFonts w:eastAsia="HelenPro-Regular"/>
        </w:rPr>
        <w:t xml:space="preserve"> </w:t>
      </w:r>
      <w:r w:rsidRPr="00340B1A">
        <w:rPr>
          <w:rFonts w:eastAsia="HelenPro-Regular"/>
        </w:rPr>
        <w:t>another wash cycle, pre-trigger and trigger solutions are added to the reaction</w:t>
      </w:r>
      <w:r w:rsidR="00340B1A">
        <w:rPr>
          <w:rFonts w:eastAsia="HelenPro-Regular"/>
        </w:rPr>
        <w:t xml:space="preserve"> </w:t>
      </w:r>
      <w:r w:rsidRPr="00340B1A">
        <w:rPr>
          <w:rFonts w:eastAsia="HelenPro-Regular"/>
        </w:rPr>
        <w:t>mixture. The resulting chemiluminescent reaction is measured as relative light</w:t>
      </w:r>
      <w:r w:rsidR="00340B1A">
        <w:rPr>
          <w:rFonts w:eastAsia="HelenPro-Regular"/>
        </w:rPr>
        <w:t xml:space="preserve"> </w:t>
      </w:r>
      <w:r w:rsidRPr="00340B1A">
        <w:rPr>
          <w:rFonts w:eastAsia="HelenPro-Regular"/>
        </w:rPr>
        <w:t>units (RLUs). A relationship exists between the amount of IgM anti-HBc in the</w:t>
      </w:r>
      <w:r w:rsidR="00340B1A">
        <w:rPr>
          <w:rFonts w:eastAsia="HelenPro-Regular"/>
        </w:rPr>
        <w:t xml:space="preserve"> </w:t>
      </w:r>
      <w:r w:rsidRPr="00340B1A">
        <w:rPr>
          <w:rFonts w:eastAsia="HelenPro-Regular"/>
        </w:rPr>
        <w:t xml:space="preserve">sample and the RLUs detected by the ARCHITECT </w:t>
      </w:r>
      <w:r w:rsidRPr="00340B1A">
        <w:rPr>
          <w:rFonts w:eastAsia="HelenPro-Regular"/>
          <w:i/>
          <w:iCs/>
        </w:rPr>
        <w:t xml:space="preserve">i </w:t>
      </w:r>
      <w:r w:rsidRPr="00340B1A">
        <w:rPr>
          <w:rFonts w:eastAsia="HelenPro-Regular"/>
        </w:rPr>
        <w:t>optics.</w:t>
      </w:r>
    </w:p>
    <w:p w:rsidR="006E6E5C" w:rsidRPr="00340B1A" w:rsidRDefault="00E70BBC" w:rsidP="00E70BBC">
      <w:pPr>
        <w:autoSpaceDE w:val="0"/>
        <w:autoSpaceDN w:val="0"/>
        <w:adjustRightInd w:val="0"/>
        <w:rPr>
          <w:rFonts w:eastAsia="HelenPro-Regular"/>
        </w:rPr>
      </w:pPr>
      <w:r w:rsidRPr="00340B1A">
        <w:rPr>
          <w:rFonts w:eastAsia="HelenPro-Regular"/>
        </w:rPr>
        <w:lastRenderedPageBreak/>
        <w:t>The presence or absence of IgM anti-HBc in the specimen is determined by</w:t>
      </w:r>
      <w:r w:rsidR="00340B1A">
        <w:rPr>
          <w:rFonts w:eastAsia="HelenPro-Regular"/>
        </w:rPr>
        <w:t xml:space="preserve"> </w:t>
      </w:r>
      <w:r w:rsidRPr="00340B1A">
        <w:rPr>
          <w:rFonts w:eastAsia="HelenPro-Regular"/>
        </w:rPr>
        <w:t>comparing the chemiluminescent signal in the reaction to the cutoff signal</w:t>
      </w:r>
      <w:r w:rsidR="00340B1A">
        <w:rPr>
          <w:rFonts w:eastAsia="HelenPro-Regular"/>
        </w:rPr>
        <w:t xml:space="preserve"> </w:t>
      </w:r>
      <w:r w:rsidRPr="00340B1A">
        <w:rPr>
          <w:rFonts w:eastAsia="HelenPro-Regular"/>
        </w:rPr>
        <w:t>determined from an active ARCHITECT CORE-M calibration curve. For additional</w:t>
      </w:r>
      <w:r w:rsidR="00340B1A">
        <w:rPr>
          <w:rFonts w:eastAsia="HelenPro-Regular"/>
        </w:rPr>
        <w:t xml:space="preserve"> i</w:t>
      </w:r>
      <w:r w:rsidRPr="00340B1A">
        <w:rPr>
          <w:rFonts w:eastAsia="HelenPro-Regular"/>
        </w:rPr>
        <w:t>nformation on system and assay technology, refer to the ARCHITECT System</w:t>
      </w:r>
      <w:r w:rsidR="00340B1A">
        <w:rPr>
          <w:rFonts w:eastAsia="HelenPro-Regular"/>
        </w:rPr>
        <w:t xml:space="preserve"> </w:t>
      </w:r>
      <w:r w:rsidRPr="00340B1A">
        <w:rPr>
          <w:rFonts w:eastAsia="HelenPro-Regular"/>
        </w:rPr>
        <w:t>Operations Manual, Section 3.</w:t>
      </w:r>
    </w:p>
    <w:p w:rsidR="00503E74" w:rsidRDefault="00503E74"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Default="00D77B64" w:rsidP="00D77B64">
      <w:pPr>
        <w:autoSpaceDE w:val="0"/>
        <w:autoSpaceDN w:val="0"/>
        <w:adjustRightInd w:val="0"/>
        <w:rPr>
          <w:rFonts w:eastAsia="HelenPro-Bold"/>
          <w:b/>
          <w:bCs/>
        </w:rPr>
      </w:pPr>
      <w:r w:rsidRPr="00460600">
        <w:rPr>
          <w:rFonts w:eastAsia="HelenPro-Bold"/>
          <w:b/>
          <w:bCs/>
        </w:rPr>
        <w:t>Suitable Specimens</w:t>
      </w:r>
    </w:p>
    <w:p w:rsidR="006E6E5C" w:rsidRPr="006E6E5C" w:rsidRDefault="006E6E5C" w:rsidP="00D77B64">
      <w:pPr>
        <w:autoSpaceDE w:val="0"/>
        <w:autoSpaceDN w:val="0"/>
        <w:adjustRightInd w:val="0"/>
        <w:rPr>
          <w:rFonts w:eastAsia="HelenPro-Bold"/>
          <w:bCs/>
        </w:rPr>
      </w:pPr>
      <w:r w:rsidRPr="006E6E5C">
        <w:rPr>
          <w:rFonts w:eastAsia="HelenPro-Bold"/>
          <w:bCs/>
        </w:rPr>
        <w:t>Verified Specimen types</w:t>
      </w:r>
      <w:r>
        <w:rPr>
          <w:rFonts w:eastAsia="HelenPro-Bold"/>
          <w:bCs/>
        </w:rPr>
        <w:t>:</w:t>
      </w:r>
    </w:p>
    <w:p w:rsidR="00AA7423" w:rsidRPr="00E8215F" w:rsidRDefault="00E70BBC" w:rsidP="005F4FCB">
      <w:pPr>
        <w:autoSpaceDE w:val="0"/>
        <w:autoSpaceDN w:val="0"/>
        <w:adjustRightInd w:val="0"/>
        <w:ind w:left="720"/>
        <w:rPr>
          <w:rFonts w:eastAsia="HelenPro-Regular"/>
        </w:rPr>
      </w:pPr>
      <w:r>
        <w:rPr>
          <w:noProof/>
        </w:rPr>
        <w:drawing>
          <wp:inline distT="0" distB="0" distL="0" distR="0" wp14:anchorId="13DD1492" wp14:editId="53DEBEB0">
            <wp:extent cx="4000500" cy="10191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500" cy="1019175"/>
                    </a:xfrm>
                    <a:prstGeom prst="rect">
                      <a:avLst/>
                    </a:prstGeom>
                  </pic:spPr>
                </pic:pic>
              </a:graphicData>
            </a:graphic>
          </wp:inline>
        </w:drawing>
      </w:r>
    </w:p>
    <w:p w:rsidR="00503E74" w:rsidRPr="00E8215F" w:rsidRDefault="00503E74" w:rsidP="00503E74">
      <w:pPr>
        <w:pStyle w:val="ListParagraph"/>
        <w:autoSpaceDE w:val="0"/>
        <w:autoSpaceDN w:val="0"/>
        <w:adjustRightInd w:val="0"/>
        <w:ind w:left="1440"/>
        <w:rPr>
          <w:rFonts w:eastAsia="HelenPro-Regular"/>
        </w:rPr>
      </w:pPr>
    </w:p>
    <w:p w:rsidR="00503E74" w:rsidRPr="00E8215F" w:rsidRDefault="00503E74" w:rsidP="00503E74">
      <w:pPr>
        <w:autoSpaceDE w:val="0"/>
        <w:autoSpaceDN w:val="0"/>
        <w:adjustRightInd w:val="0"/>
        <w:rPr>
          <w:rFonts w:eastAsia="HelenPro-Regular"/>
        </w:rPr>
      </w:pPr>
    </w:p>
    <w:p w:rsidR="00503E74" w:rsidRPr="00E8215F" w:rsidRDefault="00503E74" w:rsidP="00503E74">
      <w:pPr>
        <w:autoSpaceDE w:val="0"/>
        <w:autoSpaceDN w:val="0"/>
        <w:adjustRightInd w:val="0"/>
        <w:rPr>
          <w:rFonts w:eastAsia="HelenPro-Regular"/>
        </w:rPr>
      </w:pPr>
      <w:r w:rsidRPr="00E8215F">
        <w:rPr>
          <w:rFonts w:eastAsia="HelenPro-Regular"/>
        </w:rPr>
        <w:t>Do not use specimens with the following conditions:</w:t>
      </w:r>
    </w:p>
    <w:p w:rsidR="00503E74" w:rsidRPr="00E8215F" w:rsidRDefault="00503E74" w:rsidP="00E8215F">
      <w:pPr>
        <w:autoSpaceDE w:val="0"/>
        <w:autoSpaceDN w:val="0"/>
        <w:adjustRightInd w:val="0"/>
        <w:ind w:left="720"/>
        <w:rPr>
          <w:rFonts w:eastAsia="HelenPro-Regular"/>
        </w:rPr>
      </w:pPr>
      <w:r w:rsidRPr="00E8215F">
        <w:rPr>
          <w:rFonts w:eastAsia="HelenPro-Regular"/>
        </w:rPr>
        <w:t>• heat-inactivated</w:t>
      </w:r>
    </w:p>
    <w:p w:rsidR="00503E74" w:rsidRPr="00E8215F" w:rsidRDefault="00503E74" w:rsidP="00E8215F">
      <w:pPr>
        <w:autoSpaceDE w:val="0"/>
        <w:autoSpaceDN w:val="0"/>
        <w:adjustRightInd w:val="0"/>
        <w:ind w:left="720"/>
        <w:rPr>
          <w:rFonts w:eastAsia="HelenPro-Regular"/>
        </w:rPr>
      </w:pPr>
      <w:r w:rsidRPr="00E8215F">
        <w:rPr>
          <w:rFonts w:eastAsia="HelenPro-Regular"/>
        </w:rPr>
        <w:t>• pooled</w:t>
      </w:r>
    </w:p>
    <w:p w:rsidR="00503E74" w:rsidRPr="00E8215F" w:rsidRDefault="00503E74" w:rsidP="00E8215F">
      <w:pPr>
        <w:autoSpaceDE w:val="0"/>
        <w:autoSpaceDN w:val="0"/>
        <w:adjustRightInd w:val="0"/>
        <w:ind w:left="720"/>
        <w:rPr>
          <w:rFonts w:eastAsia="HelenPro-Regular"/>
        </w:rPr>
      </w:pPr>
      <w:r w:rsidRPr="00E8215F">
        <w:rPr>
          <w:rFonts w:eastAsia="HelenPro-Regular"/>
        </w:rPr>
        <w:t>• grossly hemolyzed</w:t>
      </w:r>
    </w:p>
    <w:p w:rsidR="00503E74" w:rsidRPr="00E8215F" w:rsidRDefault="00503E74" w:rsidP="00E8215F">
      <w:pPr>
        <w:autoSpaceDE w:val="0"/>
        <w:autoSpaceDN w:val="0"/>
        <w:adjustRightInd w:val="0"/>
        <w:ind w:left="720"/>
        <w:rPr>
          <w:rFonts w:eastAsia="HelenPro-Regular"/>
        </w:rPr>
      </w:pPr>
      <w:r w:rsidRPr="00E8215F">
        <w:rPr>
          <w:rFonts w:eastAsia="HelenPro-Regular"/>
        </w:rPr>
        <w:t>• obvious microbial contamination</w:t>
      </w:r>
    </w:p>
    <w:p w:rsidR="00503E74" w:rsidRPr="00E8215F" w:rsidRDefault="00503E74" w:rsidP="00503E74">
      <w:pPr>
        <w:autoSpaceDE w:val="0"/>
        <w:autoSpaceDN w:val="0"/>
        <w:adjustRightInd w:val="0"/>
        <w:rPr>
          <w:rFonts w:eastAsia="HelenPro-Regular"/>
        </w:rPr>
      </w:pPr>
      <w:r w:rsidRPr="00E8215F">
        <w:rPr>
          <w:rFonts w:eastAsia="HelenPro-Regular"/>
        </w:rPr>
        <w:t>• Performance has not been established for the use of cadaveric</w:t>
      </w:r>
      <w:r w:rsidR="00E8215F">
        <w:rPr>
          <w:rFonts w:eastAsia="HelenPro-Regular"/>
        </w:rPr>
        <w:t xml:space="preserve"> </w:t>
      </w:r>
      <w:r w:rsidRPr="00E8215F">
        <w:rPr>
          <w:rFonts w:eastAsia="HelenPro-Regular"/>
        </w:rPr>
        <w:t>specimens or the use of body fluids other than human serum and</w:t>
      </w:r>
      <w:r w:rsidR="00E8215F">
        <w:rPr>
          <w:rFonts w:eastAsia="HelenPro-Regular"/>
        </w:rPr>
        <w:t xml:space="preserve"> </w:t>
      </w:r>
      <w:r w:rsidRPr="00E8215F">
        <w:rPr>
          <w:rFonts w:eastAsia="HelenPro-Regular"/>
        </w:rPr>
        <w:t>plasma.</w:t>
      </w:r>
    </w:p>
    <w:p w:rsidR="00D84ADA" w:rsidRPr="00E8215F" w:rsidRDefault="00D84ADA" w:rsidP="00D70A7B">
      <w:pPr>
        <w:autoSpaceDE w:val="0"/>
        <w:autoSpaceDN w:val="0"/>
        <w:adjustRightInd w:val="0"/>
        <w:rPr>
          <w:rFonts w:eastAsia="HelenPro-Regular"/>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E70BBC" w:rsidRPr="00E70BBC" w:rsidRDefault="006E6E5C" w:rsidP="00E70BBC">
      <w:pPr>
        <w:autoSpaceDE w:val="0"/>
        <w:autoSpaceDN w:val="0"/>
        <w:adjustRightInd w:val="0"/>
        <w:rPr>
          <w:rFonts w:eastAsia="HelenPro-Regular"/>
        </w:rPr>
      </w:pPr>
      <w:r w:rsidRPr="00E70BBC">
        <w:rPr>
          <w:rFonts w:eastAsia="HelenPro-Regular"/>
        </w:rPr>
        <w:t xml:space="preserve"> </w:t>
      </w:r>
      <w:r w:rsidR="00E70BBC" w:rsidRPr="00E70BBC">
        <w:rPr>
          <w:rFonts w:eastAsia="HelenPro-Regular"/>
        </w:rPr>
        <w:t>Specimens may be stored on or off the clot, red blood cells, or separator</w:t>
      </w:r>
      <w:r w:rsidR="00E70BBC">
        <w:rPr>
          <w:rFonts w:eastAsia="HelenPro-Regular"/>
        </w:rPr>
        <w:t xml:space="preserve"> </w:t>
      </w:r>
      <w:r w:rsidR="00E70BBC" w:rsidRPr="00E70BBC">
        <w:rPr>
          <w:rFonts w:eastAsia="HelenPro-Regular"/>
        </w:rPr>
        <w:t>gel for</w:t>
      </w:r>
    </w:p>
    <w:p w:rsidR="00E70BBC"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up to 3 days at room temperature (study performed at 24 to 30°C) or</w:t>
      </w:r>
    </w:p>
    <w:p w:rsidR="00E70BBC"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up to 7 days at 2-8°C.</w:t>
      </w:r>
    </w:p>
    <w:p w:rsidR="00E70BBC" w:rsidRPr="00E70BBC" w:rsidRDefault="00E70BBC" w:rsidP="00E70BBC">
      <w:pPr>
        <w:autoSpaceDE w:val="0"/>
        <w:autoSpaceDN w:val="0"/>
        <w:adjustRightInd w:val="0"/>
        <w:rPr>
          <w:rFonts w:eastAsia="HelenPro-Regular"/>
        </w:rPr>
      </w:pPr>
      <w:r w:rsidRPr="00E70BBC">
        <w:rPr>
          <w:rFonts w:eastAsia="HelenPro-Bold"/>
          <w:b/>
          <w:bCs/>
        </w:rPr>
        <w:t xml:space="preserve">• </w:t>
      </w:r>
      <w:r w:rsidRPr="00E70BBC">
        <w:rPr>
          <w:rFonts w:eastAsia="HelenPro-Regular"/>
        </w:rPr>
        <w:t>If testing will be delayed more than 3 days for specimens stored at room</w:t>
      </w:r>
      <w:r>
        <w:rPr>
          <w:rFonts w:eastAsia="HelenPro-Regular"/>
        </w:rPr>
        <w:t xml:space="preserve"> </w:t>
      </w:r>
      <w:r w:rsidRPr="00E70BBC">
        <w:rPr>
          <w:rFonts w:eastAsia="HelenPro-Regular"/>
        </w:rPr>
        <w:t>temperature or more than 7 days for specimens stored at 2-8°C, remove</w:t>
      </w:r>
      <w:r>
        <w:rPr>
          <w:rFonts w:eastAsia="HelenPro-Regular"/>
        </w:rPr>
        <w:t xml:space="preserve"> </w:t>
      </w:r>
      <w:r w:rsidRPr="00E70BBC">
        <w:rPr>
          <w:rFonts w:eastAsia="HelenPro-Regular"/>
        </w:rPr>
        <w:t>serum or plasma from the clot, red blood cells, or separator gel and store</w:t>
      </w:r>
      <w:r>
        <w:rPr>
          <w:rFonts w:eastAsia="HelenPro-Regular"/>
        </w:rPr>
        <w:t xml:space="preserve"> </w:t>
      </w:r>
      <w:r w:rsidRPr="00E70BBC">
        <w:rPr>
          <w:rFonts w:eastAsia="HelenPro-Regular"/>
        </w:rPr>
        <w:t>at -20°C or colder.</w:t>
      </w:r>
    </w:p>
    <w:p w:rsidR="00B24260" w:rsidRPr="006E6E5C" w:rsidRDefault="00E70BBC" w:rsidP="00E70BBC">
      <w:pPr>
        <w:autoSpaceDE w:val="0"/>
        <w:autoSpaceDN w:val="0"/>
        <w:adjustRightInd w:val="0"/>
        <w:ind w:firstLine="720"/>
        <w:rPr>
          <w:rFonts w:eastAsia="HelenPro-Regular"/>
        </w:rPr>
      </w:pPr>
      <w:r w:rsidRPr="00E70BBC">
        <w:rPr>
          <w:rFonts w:eastAsia="HelenPro-Bold"/>
          <w:b/>
          <w:bCs/>
        </w:rPr>
        <w:t xml:space="preserve">• </w:t>
      </w:r>
      <w:r w:rsidRPr="00E70BBC">
        <w:rPr>
          <w:rFonts w:eastAsia="HelenPro-Regular"/>
        </w:rPr>
        <w:t>Avoid more than three freeze/thaw cycles.</w:t>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E70BBC" w:rsidRDefault="00F7103F" w:rsidP="00973EAF">
      <w:pPr>
        <w:ind w:firstLine="720"/>
      </w:pPr>
      <w:r w:rsidRPr="006E6E5C">
        <w:rPr>
          <w:rFonts w:eastAsia="HelenPro-Regular"/>
        </w:rPr>
        <w:t xml:space="preserve"> </w:t>
      </w:r>
      <w:r w:rsidR="00E70BBC" w:rsidRPr="00E70BBC">
        <w:rPr>
          <w:rFonts w:eastAsia="HelenPro-Regular"/>
        </w:rPr>
        <w:t>6L23 ARCHITECT CORE-M Reagent Kit</w:t>
      </w:r>
    </w:p>
    <w:p w:rsidR="005F4FCB" w:rsidRDefault="005F4FCB"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r w:rsidRPr="00B54C79">
        <w:rPr>
          <w:rFonts w:eastAsia="HelenPro-Bold"/>
          <w:i/>
          <w:iCs/>
        </w:rPr>
        <w:t xml:space="preserve">i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CB3246" w:rsidRPr="00E70BBC">
        <w:rPr>
          <w:rFonts w:eastAsia="HelenPro-Regular"/>
        </w:rPr>
        <w:t xml:space="preserve">CORE-M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8036AC" w:rsidRPr="00B54C79">
        <w:rPr>
          <w:rFonts w:eastAsia="HelenPro-Bold"/>
          <w:i/>
          <w:iCs/>
        </w:rPr>
        <w:t xml:space="preserve">i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8036AC" w:rsidRPr="00B54C79">
        <w:rPr>
          <w:rFonts w:eastAsia="HelenPro-Bold"/>
          <w:i/>
          <w:iCs/>
        </w:rPr>
        <w:t xml:space="preserve">i </w:t>
      </w:r>
      <w:r w:rsidR="008036AC" w:rsidRPr="00B54C79">
        <w:rPr>
          <w:rFonts w:eastAsia="HelenPro-Regular"/>
        </w:rPr>
        <w:t>System Assay CD-ROM</w:t>
      </w:r>
    </w:p>
    <w:p w:rsidR="00E70BBC" w:rsidRPr="00E70BBC" w:rsidRDefault="00B54C79" w:rsidP="00E70BBC">
      <w:pPr>
        <w:autoSpaceDE w:val="0"/>
        <w:autoSpaceDN w:val="0"/>
        <w:adjustRightInd w:val="0"/>
        <w:rPr>
          <w:rFonts w:eastAsia="HelenPro-Regular"/>
        </w:rPr>
      </w:pPr>
      <w:r w:rsidRPr="006E6E5C">
        <w:rPr>
          <w:rFonts w:eastAsia="HelenPro-Bold"/>
          <w:b/>
          <w:bCs/>
        </w:rPr>
        <w:t>•</w:t>
      </w:r>
      <w:r w:rsidRPr="006E6E5C">
        <w:rPr>
          <w:rFonts w:eastAsia="HelenPro-Regular"/>
        </w:rPr>
        <w:t xml:space="preserve"> </w:t>
      </w:r>
      <w:r w:rsidR="00E70BBC" w:rsidRPr="00E70BBC">
        <w:rPr>
          <w:rFonts w:eastAsia="HelenPro-Regular"/>
        </w:rPr>
        <w:t>6L23-01 ARCHITECT CORE-M Calibrators</w:t>
      </w:r>
    </w:p>
    <w:p w:rsidR="006E6E5C" w:rsidRPr="00E70BBC" w:rsidRDefault="00E70BBC" w:rsidP="00E70BBC">
      <w:pPr>
        <w:autoSpaceDE w:val="0"/>
        <w:autoSpaceDN w:val="0"/>
        <w:adjustRightInd w:val="0"/>
        <w:rPr>
          <w:rFonts w:eastAsia="HelenPro-Bold"/>
          <w:b/>
          <w:bCs/>
        </w:rPr>
      </w:pPr>
      <w:r w:rsidRPr="00E70BBC">
        <w:rPr>
          <w:rFonts w:eastAsia="HelenPro-Bold"/>
          <w:b/>
          <w:bCs/>
        </w:rPr>
        <w:t xml:space="preserve">• </w:t>
      </w:r>
      <w:r w:rsidRPr="00E70BBC">
        <w:rPr>
          <w:rFonts w:eastAsia="HelenPro-Regular"/>
        </w:rPr>
        <w:t>6L23-10 ARCHITECT CORE-M Controls</w:t>
      </w:r>
      <w:r w:rsidR="006E6E5C" w:rsidRPr="00E70BBC">
        <w:rPr>
          <w:rFonts w:eastAsia="HelenPro-Bold"/>
          <w:b/>
          <w:bCs/>
        </w:rPr>
        <w:t xml:space="preserve"> </w:t>
      </w:r>
    </w:p>
    <w:p w:rsidR="008036AC" w:rsidRPr="00B54C79" w:rsidRDefault="00B54C79" w:rsidP="006E6E5C">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Pretrigger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i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Septums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B54C79" w:rsidRPr="00E70BBC" w:rsidRDefault="00E70BBC" w:rsidP="00E70BBC">
      <w:pPr>
        <w:autoSpaceDE w:val="0"/>
        <w:autoSpaceDN w:val="0"/>
        <w:adjustRightInd w:val="0"/>
        <w:rPr>
          <w:rFonts w:eastAsia="HelenPro-Regular"/>
        </w:rPr>
      </w:pPr>
      <w:r w:rsidRPr="00E70BBC">
        <w:rPr>
          <w:rFonts w:eastAsia="HelenPro-Regular"/>
        </w:rPr>
        <w:t>The Microparticles contain sodium azide. Co</w:t>
      </w:r>
      <w:r>
        <w:rPr>
          <w:rFonts w:eastAsia="HelenPro-Regular"/>
        </w:rPr>
        <w:t xml:space="preserve">ntact with acids liberates very </w:t>
      </w:r>
      <w:r w:rsidRPr="00E70BBC">
        <w:rPr>
          <w:rFonts w:eastAsia="HelenPro-Regular"/>
        </w:rPr>
        <w:t>toxic gas. This material and its container must be disposed of in a safe way.</w:t>
      </w:r>
    </w:p>
    <w:p w:rsidR="002056B4" w:rsidRDefault="002056B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 xml:space="preserve">Before loading the </w:t>
      </w:r>
      <w:r w:rsidR="00A911E0">
        <w:rPr>
          <w:rFonts w:eastAsia="HelenPro-Regular"/>
        </w:rPr>
        <w:t>reagent k</w:t>
      </w:r>
      <w:r w:rsidRPr="00470CE6">
        <w:rPr>
          <w:rFonts w:eastAsia="HelenPro-Regular"/>
        </w:rPr>
        <w:t>it on the system</w:t>
      </w:r>
      <w:r w:rsidR="00470CE6" w:rsidRPr="00470CE6">
        <w:rPr>
          <w:rFonts w:eastAsia="HelenPro-Regular"/>
        </w:rPr>
        <w:t xml:space="preserve"> </w:t>
      </w:r>
      <w:r w:rsidRPr="00470CE6">
        <w:rPr>
          <w:rFonts w:eastAsia="HelenPro-Regular"/>
        </w:rPr>
        <w:t>for the first time, the microparticle bottle requires mixing to resuspend</w:t>
      </w:r>
      <w:r w:rsidR="00470CE6" w:rsidRPr="00470CE6">
        <w:rPr>
          <w:rFonts w:eastAsia="HelenPro-Regular"/>
        </w:rPr>
        <w:t xml:space="preserve"> </w:t>
      </w:r>
      <w:r w:rsidRPr="00470CE6">
        <w:rPr>
          <w:rFonts w:eastAsia="HelenPro-Regular"/>
        </w:rPr>
        <w:t>microparticles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Septums MUST be used to prevent reagent evaporation and contamination and to ensure reagent integrity. Reliability of assay results cannot be guaranteed if septums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E70BBC"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The ARCHITECT CORE-M Reagent Kit must be stored at 2</w:t>
      </w:r>
      <w:r w:rsidRPr="00E70BBC">
        <w:rPr>
          <w:rFonts w:ascii="MS Mincho" w:eastAsia="MS Mincho" w:hAnsi="MS Mincho" w:cs="MS Mincho" w:hint="eastAsia"/>
        </w:rPr>
        <w:t>‑</w:t>
      </w:r>
      <w:r w:rsidRPr="00E70BBC">
        <w:rPr>
          <w:rFonts w:eastAsia="HelenPro-Regular"/>
        </w:rPr>
        <w:t>8°C</w:t>
      </w:r>
      <w:r>
        <w:rPr>
          <w:rFonts w:eastAsia="HelenPro-Regular"/>
        </w:rPr>
        <w:t xml:space="preserve"> </w:t>
      </w:r>
      <w:r w:rsidRPr="00E70BBC">
        <w:rPr>
          <w:rFonts w:eastAsia="HelenPro-Regular"/>
        </w:rPr>
        <w:t>in an upright position and may be used immediately after removal from</w:t>
      </w:r>
      <w:r>
        <w:rPr>
          <w:rFonts w:eastAsia="HelenPro-Regular"/>
        </w:rPr>
        <w:t xml:space="preserve"> </w:t>
      </w:r>
      <w:r w:rsidRPr="00E70BBC">
        <w:rPr>
          <w:rFonts w:eastAsia="HelenPro-Regular"/>
        </w:rPr>
        <w:t>2</w:t>
      </w:r>
      <w:r w:rsidRPr="00E70BBC">
        <w:rPr>
          <w:rFonts w:ascii="MS Mincho" w:eastAsia="MS Mincho" w:hAnsi="MS Mincho" w:cs="MS Mincho" w:hint="eastAsia"/>
        </w:rPr>
        <w:t>‑</w:t>
      </w:r>
      <w:r w:rsidRPr="00E70BBC">
        <w:rPr>
          <w:rFonts w:eastAsia="HelenPro-Regular"/>
        </w:rPr>
        <w:t>8°C storage.</w:t>
      </w:r>
    </w:p>
    <w:p w:rsidR="00E70BBC"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When stored and handled as directed, the reagents are stable until the</w:t>
      </w:r>
      <w:r>
        <w:rPr>
          <w:rFonts w:eastAsia="HelenPro-Regular"/>
        </w:rPr>
        <w:t xml:space="preserve"> </w:t>
      </w:r>
      <w:r w:rsidRPr="00E70BBC">
        <w:rPr>
          <w:rFonts w:eastAsia="HelenPro-Regular"/>
        </w:rPr>
        <w:t>expiration date.</w:t>
      </w:r>
    </w:p>
    <w:p w:rsidR="00531F75"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The ARCHITECT CORE-M Reagent Kit may be stored on board the</w:t>
      </w:r>
      <w:r>
        <w:rPr>
          <w:rFonts w:eastAsia="HelenPro-Regular"/>
        </w:rPr>
        <w:t xml:space="preserve"> </w:t>
      </w:r>
      <w:r w:rsidRPr="00E70BBC">
        <w:rPr>
          <w:rFonts w:eastAsia="HelenPro-Regular"/>
        </w:rPr>
        <w:t xml:space="preserve">ARCHITECT </w:t>
      </w:r>
      <w:r w:rsidRPr="00E70BBC">
        <w:rPr>
          <w:rFonts w:eastAsia="HelenPro-Regular"/>
          <w:i/>
          <w:iCs/>
        </w:rPr>
        <w:t xml:space="preserve">i </w:t>
      </w:r>
      <w:r w:rsidRPr="00E70BBC">
        <w:rPr>
          <w:rFonts w:eastAsia="HelenPro-Regular"/>
        </w:rPr>
        <w:t>System for a maximum of 30 days. After 30 days, the reagent</w:t>
      </w:r>
      <w:r>
        <w:rPr>
          <w:rFonts w:eastAsia="HelenPro-Regular"/>
        </w:rPr>
        <w:t xml:space="preserve"> </w:t>
      </w:r>
      <w:r w:rsidRPr="00E70BBC">
        <w:rPr>
          <w:rFonts w:eastAsia="HelenPro-Regular"/>
        </w:rPr>
        <w:t>kit must be discarded. For information on tracking onboard time, refer to the</w:t>
      </w:r>
      <w:r>
        <w:rPr>
          <w:rFonts w:eastAsia="HelenPro-Regular"/>
        </w:rPr>
        <w:t xml:space="preserve"> </w:t>
      </w:r>
      <w:r w:rsidRPr="00E70BBC">
        <w:rPr>
          <w:rFonts w:eastAsia="HelenPro-Regular"/>
        </w:rPr>
        <w:t>ARCHITECT System Operations Manual, Section 5.</w:t>
      </w:r>
      <w:r w:rsidR="00531F75" w:rsidRPr="00E70BBC">
        <w:rPr>
          <w:rFonts w:eastAsia="HelenPro-Regular"/>
        </w:rPr>
        <w:t xml:space="preserve">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r w:rsidRPr="00B54C79">
        <w:rPr>
          <w:rFonts w:eastAsia="HelenPro-Bold"/>
          <w:i/>
          <w:iCs/>
        </w:rPr>
        <w:t xml:space="preserve">i </w:t>
      </w:r>
      <w:r w:rsidRPr="00B54C79">
        <w:rPr>
          <w:rFonts w:eastAsia="HelenPro-Regular"/>
        </w:rPr>
        <w:t xml:space="preserve">System. If reagents are removed from the system, store them at 2-8°C (with septums and replacement caps) in an upright position. For reagents stored off the system, it is recommended that they be stored in their original trays and boxes to ensure they remain upright. </w:t>
      </w:r>
      <w:r w:rsidRPr="00B54C79">
        <w:rPr>
          <w:rFonts w:eastAsia="HelenPro-Bold"/>
          <w:b/>
          <w:bCs/>
        </w:rPr>
        <w:t>If the microparticle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E70BBC" w:rsidP="009F648F">
      <w:pPr>
        <w:pStyle w:val="txt"/>
        <w:ind w:left="0"/>
        <w:rPr>
          <w:sz w:val="24"/>
          <w:szCs w:val="24"/>
        </w:rPr>
      </w:pPr>
      <w:r>
        <w:rPr>
          <w:noProof/>
        </w:rPr>
        <w:drawing>
          <wp:inline distT="0" distB="0" distL="0" distR="0" wp14:anchorId="6B81701D" wp14:editId="0B7B108D">
            <wp:extent cx="4267200" cy="21812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7200" cy="218122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1500" cy="1590675"/>
                    </a:xfrm>
                    <a:prstGeom prst="rect">
                      <a:avLst/>
                    </a:prstGeom>
                  </pic:spPr>
                </pic:pic>
              </a:graphicData>
            </a:graphic>
          </wp:inline>
        </w:drawing>
      </w:r>
    </w:p>
    <w:p w:rsidR="002056B4" w:rsidRPr="002056B4" w:rsidRDefault="00B36577" w:rsidP="002056B4">
      <w:pPr>
        <w:autoSpaceDE w:val="0"/>
        <w:autoSpaceDN w:val="0"/>
        <w:adjustRightInd w:val="0"/>
        <w:rPr>
          <w:rFonts w:eastAsia="HelenPro-Regular"/>
        </w:rPr>
      </w:pPr>
      <w:r w:rsidRPr="00100BF8">
        <w:rPr>
          <w:b/>
        </w:rPr>
        <w:t>Calibrator:</w:t>
      </w:r>
      <w:r w:rsidRPr="00100BF8">
        <w:t xml:space="preserve">  </w:t>
      </w:r>
      <w:r w:rsidR="00E70BBC" w:rsidRPr="00E70BBC">
        <w:rPr>
          <w:rFonts w:eastAsia="HelenPro-Regular"/>
        </w:rPr>
        <w:t>6L23-01 ARCHITECT CORE-M Calibrators</w:t>
      </w:r>
    </w:p>
    <w:p w:rsidR="00C3571A" w:rsidRPr="00AA7423" w:rsidRDefault="00C3571A" w:rsidP="00C3571A">
      <w:pPr>
        <w:autoSpaceDE w:val="0"/>
        <w:autoSpaceDN w:val="0"/>
        <w:adjustRightInd w:val="0"/>
        <w:rPr>
          <w:rFonts w:eastAsia="HelenPro-Regular"/>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E70BBC">
        <w:rPr>
          <w:rFonts w:eastAsia="HelenPro-Regular"/>
        </w:rPr>
        <w:t>6L23-10</w:t>
      </w:r>
      <w:r w:rsidR="00E70BBC" w:rsidRPr="00E70BBC">
        <w:rPr>
          <w:rFonts w:eastAsia="HelenPro-Regular"/>
        </w:rPr>
        <w:t xml:space="preserve"> ARCHITECT CORE-M </w:t>
      </w:r>
      <w:r w:rsidR="00E70BBC">
        <w:rPr>
          <w:rFonts w:eastAsia="HelenPro-Regular"/>
        </w:rPr>
        <w:t>Controls</w:t>
      </w:r>
      <w:r w:rsidR="00E70BBC" w:rsidRPr="00B54C79">
        <w:rPr>
          <w:rFonts w:eastAsia="HelenPro-Regular"/>
        </w:rPr>
        <w:t xml:space="preserve"> </w:t>
      </w:r>
      <w:r w:rsidR="00B54C79" w:rsidRPr="00B54C79">
        <w:rPr>
          <w:rFonts w:eastAsia="HelenPro-Regular"/>
        </w:rPr>
        <w:t>or other control material</w:t>
      </w:r>
    </w:p>
    <w:p w:rsidR="00A911E0" w:rsidRDefault="0025031C" w:rsidP="00E70BBC">
      <w:pPr>
        <w:rPr>
          <w:b/>
          <w:sz w:val="28"/>
          <w:szCs w:val="28"/>
        </w:rPr>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2056B4" w:rsidRDefault="005E3AB5" w:rsidP="002056B4">
      <w:pPr>
        <w:autoSpaceDE w:val="0"/>
        <w:autoSpaceDN w:val="0"/>
        <w:adjustRightInd w:val="0"/>
        <w:rPr>
          <w:rFonts w:eastAsia="HelenPro-Regular"/>
        </w:rPr>
      </w:pPr>
      <w:r w:rsidRPr="007E4CE6">
        <w:rPr>
          <w:b/>
        </w:rPr>
        <w:t>Calibrator Required:</w:t>
      </w:r>
      <w:r w:rsidRPr="007E4CE6">
        <w:t xml:space="preserve">  </w:t>
      </w:r>
      <w:r w:rsidR="00E70BBC" w:rsidRPr="00E70BBC">
        <w:rPr>
          <w:rFonts w:eastAsia="HelenPro-Regular"/>
        </w:rPr>
        <w:t>6L23-01 ARCHITECT CORE-M Calibrators</w:t>
      </w:r>
    </w:p>
    <w:p w:rsidR="00340B1A" w:rsidRPr="00340B1A" w:rsidRDefault="00340B1A" w:rsidP="00340B1A">
      <w:pPr>
        <w:autoSpaceDE w:val="0"/>
        <w:autoSpaceDN w:val="0"/>
        <w:adjustRightInd w:val="0"/>
        <w:rPr>
          <w:rFonts w:eastAsia="HelenPro-Regular"/>
        </w:rPr>
      </w:pPr>
      <w:r w:rsidRPr="00340B1A">
        <w:rPr>
          <w:rFonts w:eastAsia="HelenPro-Regular"/>
        </w:rPr>
        <w:t xml:space="preserve">The ARCHITECT </w:t>
      </w:r>
      <w:r w:rsidRPr="00340B1A">
        <w:rPr>
          <w:rFonts w:eastAsia="HelenPro-Regular"/>
          <w:i/>
          <w:iCs/>
        </w:rPr>
        <w:t xml:space="preserve">i </w:t>
      </w:r>
      <w:r w:rsidRPr="00340B1A">
        <w:rPr>
          <w:rFonts w:eastAsia="HelenPro-Regular"/>
        </w:rPr>
        <w:t xml:space="preserve">System calculates </w:t>
      </w:r>
      <w:r>
        <w:rPr>
          <w:rFonts w:eastAsia="HelenPro-Regular"/>
        </w:rPr>
        <w:t xml:space="preserve">the cutoff Relative Light Units </w:t>
      </w:r>
      <w:r w:rsidRPr="00340B1A">
        <w:rPr>
          <w:rFonts w:eastAsia="HelenPro-Regular"/>
        </w:rPr>
        <w:t>(RLU) from the mean chemiluminescent signal of three replicates each</w:t>
      </w:r>
      <w:r>
        <w:rPr>
          <w:rFonts w:eastAsia="HelenPro-Regular"/>
        </w:rPr>
        <w:t xml:space="preserve"> </w:t>
      </w:r>
      <w:r w:rsidRPr="00340B1A">
        <w:rPr>
          <w:rFonts w:eastAsia="HelenPro-Regular"/>
        </w:rPr>
        <w:t>of calibrator 1 a</w:t>
      </w:r>
      <w:r>
        <w:rPr>
          <w:rFonts w:eastAsia="HelenPro-Regular"/>
        </w:rPr>
        <w:t xml:space="preserve">nd calibrator 2. </w:t>
      </w:r>
      <w:r w:rsidRPr="00340B1A">
        <w:rPr>
          <w:rFonts w:eastAsia="HelenPro-Regular"/>
        </w:rPr>
        <w:t>The acceptability</w:t>
      </w:r>
      <w:r>
        <w:rPr>
          <w:rFonts w:eastAsia="HelenPro-Regular"/>
        </w:rPr>
        <w:t xml:space="preserve"> </w:t>
      </w:r>
      <w:r w:rsidRPr="00340B1A">
        <w:rPr>
          <w:rFonts w:eastAsia="HelenPro-Regular"/>
        </w:rPr>
        <w:t>of the calibration is assessed against a parameter. If the calibration is</w:t>
      </w:r>
      <w:r>
        <w:rPr>
          <w:rFonts w:eastAsia="HelenPro-Regular"/>
        </w:rPr>
        <w:t xml:space="preserve"> </w:t>
      </w:r>
      <w:r w:rsidRPr="00340B1A">
        <w:rPr>
          <w:rFonts w:eastAsia="HelenPro-Regular"/>
        </w:rPr>
        <w:t>acceptable, the cutoff RLU is calculated as follows:</w:t>
      </w:r>
    </w:p>
    <w:p w:rsidR="00340B1A" w:rsidRPr="00340B1A" w:rsidRDefault="00340B1A" w:rsidP="00340B1A">
      <w:pPr>
        <w:autoSpaceDE w:val="0"/>
        <w:autoSpaceDN w:val="0"/>
        <w:adjustRightInd w:val="0"/>
        <w:rPr>
          <w:rFonts w:eastAsia="HelenPro-Regular"/>
        </w:rPr>
      </w:pPr>
      <w:r w:rsidRPr="00340B1A">
        <w:rPr>
          <w:rFonts w:eastAsia="HelenPro-Regular"/>
        </w:rPr>
        <w:t>Cutoff RLU = [(Calibrator 2 Mean RLU -</w:t>
      </w:r>
      <w:r>
        <w:rPr>
          <w:rFonts w:eastAsia="HelenPro-Regular"/>
        </w:rPr>
        <w:t xml:space="preserve"> Calibrator 1 Mean RLU) x 0.75] </w:t>
      </w:r>
      <w:r w:rsidRPr="00340B1A">
        <w:rPr>
          <w:rFonts w:eastAsia="HelenPro-Regular"/>
        </w:rPr>
        <w:t>+ Calibrator 1 Mean RLU</w:t>
      </w:r>
    </w:p>
    <w:p w:rsidR="00714F24" w:rsidRPr="00340B1A" w:rsidRDefault="00340B1A" w:rsidP="00340B1A">
      <w:pPr>
        <w:autoSpaceDE w:val="0"/>
        <w:autoSpaceDN w:val="0"/>
        <w:adjustRightInd w:val="0"/>
        <w:rPr>
          <w:rFonts w:eastAsia="HelenPro-Regular"/>
        </w:rPr>
      </w:pPr>
      <w:r w:rsidRPr="00340B1A">
        <w:rPr>
          <w:rFonts w:eastAsia="HelenPro-Regular"/>
        </w:rPr>
        <w:t xml:space="preserve">The acceptable calibration is stored by the ARCHITECT </w:t>
      </w:r>
      <w:r w:rsidRPr="00340B1A">
        <w:rPr>
          <w:rFonts w:eastAsia="HelenPro-Regular"/>
          <w:i/>
          <w:iCs/>
        </w:rPr>
        <w:t xml:space="preserve">i </w:t>
      </w:r>
      <w:r w:rsidRPr="00340B1A">
        <w:rPr>
          <w:rFonts w:eastAsia="HelenPro-Regular"/>
        </w:rPr>
        <w:t>System for use</w:t>
      </w:r>
      <w:r>
        <w:rPr>
          <w:rFonts w:eastAsia="HelenPro-Regular"/>
        </w:rPr>
        <w:t xml:space="preserve"> </w:t>
      </w:r>
      <w:r w:rsidRPr="00340B1A">
        <w:rPr>
          <w:rFonts w:eastAsia="HelenPro-Regular"/>
        </w:rPr>
        <w:t>with any reagent kit of that lot. The calibration should be used in conjunction</w:t>
      </w:r>
      <w:r>
        <w:rPr>
          <w:rFonts w:eastAsia="HelenPro-Regular"/>
        </w:rPr>
        <w:t xml:space="preserve"> </w:t>
      </w:r>
      <w:r w:rsidRPr="00340B1A">
        <w:rPr>
          <w:rFonts w:eastAsia="HelenPro-Regular"/>
        </w:rPr>
        <w:t>with control ranges to determine the validity of the calibration.</w:t>
      </w:r>
    </w:p>
    <w:p w:rsidR="00340B1A" w:rsidRDefault="00340B1A" w:rsidP="004F5F8A">
      <w:pPr>
        <w:ind w:firstLine="720"/>
        <w:rPr>
          <w:b/>
        </w:rPr>
      </w:pPr>
    </w:p>
    <w:p w:rsidR="0025031C" w:rsidRPr="00A911E0" w:rsidRDefault="0025031C" w:rsidP="004F5F8A">
      <w:pPr>
        <w:ind w:firstLine="720"/>
        <w:rPr>
          <w:b/>
        </w:rPr>
      </w:pPr>
      <w:r w:rsidRPr="00A911E0">
        <w:rPr>
          <w:b/>
        </w:rPr>
        <w:t>Reagents:</w:t>
      </w:r>
    </w:p>
    <w:p w:rsidR="00340B1A" w:rsidRPr="00340B1A" w:rsidRDefault="00340B1A" w:rsidP="00340B1A">
      <w:pPr>
        <w:autoSpaceDE w:val="0"/>
        <w:autoSpaceDN w:val="0"/>
        <w:adjustRightInd w:val="0"/>
        <w:ind w:left="720"/>
        <w:rPr>
          <w:rFonts w:eastAsia="HelenPro-Regular"/>
        </w:rPr>
      </w:pPr>
      <w:r w:rsidRPr="00340B1A">
        <w:rPr>
          <w:rFonts w:eastAsia="HelenPro-Regular"/>
        </w:rPr>
        <w:t>2 Bottles (4 mL each) ARCHITECT CORE</w:t>
      </w:r>
      <w:r>
        <w:rPr>
          <w:rFonts w:eastAsia="HelenPro-Regular"/>
        </w:rPr>
        <w:t xml:space="preserve">-M Calibrators (1 bottle of </w:t>
      </w:r>
      <w:r w:rsidRPr="00340B1A">
        <w:rPr>
          <w:rFonts w:eastAsia="HelenPro-Regular"/>
        </w:rPr>
        <w:t>calibrator 1 and 1 bottle of calibrator 2).</w:t>
      </w:r>
    </w:p>
    <w:p w:rsidR="00340B1A" w:rsidRPr="00340B1A" w:rsidRDefault="00340B1A" w:rsidP="00340B1A">
      <w:pPr>
        <w:autoSpaceDE w:val="0"/>
        <w:autoSpaceDN w:val="0"/>
        <w:adjustRightInd w:val="0"/>
        <w:ind w:left="720"/>
        <w:rPr>
          <w:rFonts w:eastAsia="HelenPro-Regular"/>
        </w:rPr>
      </w:pPr>
      <w:r w:rsidRPr="00340B1A">
        <w:rPr>
          <w:rFonts w:eastAsia="HelenPro-Bold"/>
          <w:b/>
          <w:bCs/>
        </w:rPr>
        <w:t xml:space="preserve">• </w:t>
      </w:r>
      <w:r w:rsidRPr="00340B1A">
        <w:rPr>
          <w:rFonts w:eastAsia="HelenPro-Regular"/>
        </w:rPr>
        <w:t xml:space="preserve">Calibrator 1 is recalcified IgM </w:t>
      </w:r>
      <w:r>
        <w:rPr>
          <w:rFonts w:eastAsia="HelenPro-Regular"/>
        </w:rPr>
        <w:t xml:space="preserve">anti-HBc negative human plasma. </w:t>
      </w:r>
      <w:r w:rsidRPr="00340B1A">
        <w:rPr>
          <w:rFonts w:eastAsia="HelenPro-Regular"/>
        </w:rPr>
        <w:t>Preservatives: ProClin 950, ProClin 300, and other antimicrobial</w:t>
      </w:r>
      <w:r>
        <w:rPr>
          <w:rFonts w:eastAsia="HelenPro-Regular"/>
        </w:rPr>
        <w:t xml:space="preserve"> </w:t>
      </w:r>
      <w:r w:rsidRPr="00340B1A">
        <w:rPr>
          <w:rFonts w:eastAsia="HelenPro-Regular"/>
        </w:rPr>
        <w:t>agents.</w:t>
      </w:r>
    </w:p>
    <w:p w:rsidR="005F4FCB" w:rsidRPr="00340B1A" w:rsidRDefault="00340B1A" w:rsidP="00340B1A">
      <w:pPr>
        <w:autoSpaceDE w:val="0"/>
        <w:autoSpaceDN w:val="0"/>
        <w:adjustRightInd w:val="0"/>
        <w:ind w:left="720"/>
        <w:rPr>
          <w:rFonts w:eastAsia="HelenPro-Regular"/>
        </w:rPr>
      </w:pPr>
      <w:r w:rsidRPr="00340B1A">
        <w:rPr>
          <w:rFonts w:eastAsia="HelenPro-Bold"/>
          <w:b/>
          <w:bCs/>
        </w:rPr>
        <w:t xml:space="preserve">• </w:t>
      </w:r>
      <w:r w:rsidRPr="00340B1A">
        <w:rPr>
          <w:rFonts w:eastAsia="HelenPro-Regular"/>
        </w:rPr>
        <w:t>Calibrator 2 is IgM anti-HBc posit</w:t>
      </w:r>
      <w:r>
        <w:rPr>
          <w:rFonts w:eastAsia="HelenPro-Regular"/>
        </w:rPr>
        <w:t xml:space="preserve">ive human plasma in recalcified </w:t>
      </w:r>
      <w:r w:rsidRPr="00340B1A">
        <w:rPr>
          <w:rFonts w:eastAsia="HelenPro-Regular"/>
        </w:rPr>
        <w:t>IgM anti-HBc negative human plasma. Preservatives: ProClin 950,</w:t>
      </w:r>
      <w:r>
        <w:rPr>
          <w:rFonts w:eastAsia="HelenPro-Regular"/>
        </w:rPr>
        <w:t xml:space="preserve"> </w:t>
      </w:r>
      <w:r w:rsidRPr="00340B1A">
        <w:rPr>
          <w:rFonts w:eastAsia="HelenPro-Regular"/>
        </w:rPr>
        <w:t>ProClin 300, and other antimicrobial agents.</w:t>
      </w:r>
    </w:p>
    <w:p w:rsidR="005F4FCB" w:rsidRPr="00A911E0" w:rsidRDefault="005F4FCB" w:rsidP="00F3700B">
      <w:pPr>
        <w:ind w:left="720"/>
        <w:rPr>
          <w:b/>
        </w:rPr>
      </w:pPr>
    </w:p>
    <w:p w:rsidR="00F3700B" w:rsidRPr="005F4FCB" w:rsidRDefault="0037463A" w:rsidP="00F3700B">
      <w:pPr>
        <w:ind w:left="720"/>
      </w:pPr>
      <w:r w:rsidRPr="005F4FCB">
        <w:rPr>
          <w:b/>
        </w:rPr>
        <w:t xml:space="preserve">Calibrator Preparation: </w:t>
      </w:r>
    </w:p>
    <w:p w:rsidR="00041A33" w:rsidRPr="005F4FCB" w:rsidRDefault="00871834" w:rsidP="00AD402C">
      <w:pPr>
        <w:ind w:firstLine="720"/>
        <w:rPr>
          <w:b/>
        </w:rPr>
      </w:pPr>
      <w:r w:rsidRPr="005F4FCB">
        <w:rPr>
          <w:rFonts w:eastAsia="HelenPro-Regular"/>
        </w:rPr>
        <w:t>The calibrator is liquid ready-to-use. No preparation is required.</w:t>
      </w:r>
    </w:p>
    <w:p w:rsidR="00871834" w:rsidRPr="005F4FCB" w:rsidRDefault="00871834" w:rsidP="00AD402C">
      <w:pPr>
        <w:ind w:firstLine="720"/>
        <w:rPr>
          <w:b/>
        </w:rPr>
      </w:pPr>
    </w:p>
    <w:p w:rsidR="005F4FCB" w:rsidRDefault="0025031C" w:rsidP="005F4FCB">
      <w:pPr>
        <w:ind w:firstLine="720"/>
        <w:rPr>
          <w:b/>
        </w:rPr>
      </w:pPr>
      <w:r w:rsidRPr="005F4FCB">
        <w:rPr>
          <w:b/>
        </w:rPr>
        <w:t>Calibration Procedure:</w:t>
      </w:r>
      <w:r w:rsidR="0006502B" w:rsidRPr="005F4FCB">
        <w:rPr>
          <w:b/>
        </w:rPr>
        <w:t xml:space="preserve"> </w:t>
      </w:r>
    </w:p>
    <w:p w:rsidR="002056B4" w:rsidRPr="005F4FCB" w:rsidRDefault="002056B4" w:rsidP="005F4FCB">
      <w:pPr>
        <w:ind w:left="720"/>
        <w:rPr>
          <w:b/>
        </w:rPr>
      </w:pPr>
      <w:r w:rsidRPr="005F4FCB">
        <w:rPr>
          <w:rFonts w:eastAsia="HelenPro-Regular"/>
        </w:rPr>
        <w:t xml:space="preserve">To perform an ARCHITECT </w:t>
      </w:r>
      <w:r w:rsidR="00531F75">
        <w:rPr>
          <w:rFonts w:eastAsia="HelenPro-Regular"/>
        </w:rPr>
        <w:t>Core</w:t>
      </w:r>
      <w:r w:rsidR="00E70BBC">
        <w:rPr>
          <w:rFonts w:eastAsia="HelenPro-Regular"/>
        </w:rPr>
        <w:t>-M</w:t>
      </w:r>
      <w:r w:rsidRPr="005F4FCB">
        <w:rPr>
          <w:rFonts w:eastAsia="HelenPro-Regular"/>
        </w:rPr>
        <w:t xml:space="preserve"> calibration, test calibrator 1 </w:t>
      </w:r>
      <w:r w:rsidR="00E70BBC">
        <w:rPr>
          <w:rFonts w:eastAsia="HelenPro-Regular"/>
        </w:rPr>
        <w:t xml:space="preserve">and 2 </w:t>
      </w:r>
      <w:r w:rsidRPr="005F4FCB">
        <w:rPr>
          <w:rFonts w:eastAsia="HelenPro-Regular"/>
        </w:rPr>
        <w:t>in</w:t>
      </w:r>
      <w:r w:rsidR="005F4FCB">
        <w:rPr>
          <w:b/>
        </w:rPr>
        <w:t xml:space="preserve"> </w:t>
      </w:r>
      <w:r w:rsidRPr="005F4FCB">
        <w:rPr>
          <w:rFonts w:eastAsia="HelenPro-Regular"/>
        </w:rPr>
        <w:t>replicates of 3. The calibrator should be priority loaded.</w:t>
      </w:r>
    </w:p>
    <w:p w:rsidR="002056B4" w:rsidRPr="005F4FCB" w:rsidRDefault="005F4FCB" w:rsidP="005F4FCB">
      <w:pPr>
        <w:pStyle w:val="ListParagraph"/>
        <w:numPr>
          <w:ilvl w:val="0"/>
          <w:numId w:val="29"/>
        </w:numPr>
        <w:autoSpaceDE w:val="0"/>
        <w:autoSpaceDN w:val="0"/>
        <w:adjustRightInd w:val="0"/>
        <w:rPr>
          <w:rFonts w:eastAsia="HelenPro-Regular"/>
        </w:rPr>
      </w:pPr>
      <w:r w:rsidRPr="005F4FCB">
        <w:rPr>
          <w:rFonts w:eastAsia="HelenPro-Regular"/>
        </w:rPr>
        <w:t>A</w:t>
      </w:r>
      <w:r w:rsidR="002056B4" w:rsidRPr="005F4FCB">
        <w:rPr>
          <w:rFonts w:eastAsia="HelenPro-Regular"/>
        </w:rPr>
        <w:t xml:space="preserve"> single sample of each control level must be tested to evaluate the</w:t>
      </w:r>
      <w:r w:rsidRPr="005F4FCB">
        <w:rPr>
          <w:rFonts w:eastAsia="HelenPro-Regular"/>
        </w:rPr>
        <w:t xml:space="preserve"> </w:t>
      </w:r>
      <w:r w:rsidR="002056B4" w:rsidRPr="005F4FCB">
        <w:rPr>
          <w:rFonts w:eastAsia="HelenPro-Regular"/>
        </w:rPr>
        <w:t>assay calibration.</w:t>
      </w:r>
    </w:p>
    <w:p w:rsidR="002056B4" w:rsidRPr="005F4FCB" w:rsidRDefault="002056B4" w:rsidP="005F4FCB">
      <w:pPr>
        <w:pStyle w:val="ListParagraph"/>
        <w:numPr>
          <w:ilvl w:val="0"/>
          <w:numId w:val="29"/>
        </w:numPr>
        <w:autoSpaceDE w:val="0"/>
        <w:autoSpaceDN w:val="0"/>
        <w:adjustRightInd w:val="0"/>
        <w:rPr>
          <w:rFonts w:eastAsia="HelenPro-Regular"/>
        </w:rPr>
      </w:pPr>
      <w:r w:rsidRPr="005F4FCB">
        <w:rPr>
          <w:rFonts w:eastAsia="HelenPro-Regular"/>
        </w:rPr>
        <w:t>Order controls as described in the Assay Procedure section.</w:t>
      </w:r>
    </w:p>
    <w:p w:rsidR="00503E74" w:rsidRPr="005F4FCB" w:rsidRDefault="002056B4" w:rsidP="005F4FCB">
      <w:pPr>
        <w:pStyle w:val="ListParagraph"/>
        <w:numPr>
          <w:ilvl w:val="0"/>
          <w:numId w:val="29"/>
        </w:numPr>
        <w:autoSpaceDE w:val="0"/>
        <w:autoSpaceDN w:val="0"/>
        <w:adjustRightInd w:val="0"/>
        <w:rPr>
          <w:rFonts w:eastAsia="HelenPro-Regular"/>
        </w:rPr>
      </w:pPr>
      <w:r w:rsidRPr="005F4FCB">
        <w:rPr>
          <w:rFonts w:eastAsia="HelenPro-Regular"/>
        </w:rPr>
        <w:t>Ensure that assay control values are</w:t>
      </w:r>
      <w:r w:rsidR="005F4FCB" w:rsidRPr="005F4FCB">
        <w:rPr>
          <w:rFonts w:eastAsia="HelenPro-Regular"/>
        </w:rPr>
        <w:t xml:space="preserve"> within the ranges specified in </w:t>
      </w:r>
      <w:r w:rsidRPr="005F4FCB">
        <w:rPr>
          <w:rFonts w:eastAsia="HelenPro-Regular"/>
        </w:rPr>
        <w:t>the control package insert.</w:t>
      </w:r>
    </w:p>
    <w:p w:rsidR="005F4FCB" w:rsidRDefault="005F4FC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Default="0025031C" w:rsidP="00D60AFA">
      <w:pPr>
        <w:spacing w:after="43"/>
        <w:rPr>
          <w:b/>
          <w:sz w:val="28"/>
          <w:szCs w:val="28"/>
        </w:rPr>
      </w:pPr>
      <w:r w:rsidRPr="00353FD5">
        <w:rPr>
          <w:b/>
          <w:sz w:val="28"/>
          <w:szCs w:val="28"/>
        </w:rPr>
        <w:t>Quality Control:</w:t>
      </w:r>
      <w:r w:rsidR="00D60AFA">
        <w:rPr>
          <w:b/>
          <w:sz w:val="28"/>
          <w:szCs w:val="28"/>
        </w:rPr>
        <w:t xml:space="preserve"> </w:t>
      </w:r>
    </w:p>
    <w:p w:rsidR="00E8215F" w:rsidRPr="005F4FCB" w:rsidRDefault="002056B4" w:rsidP="005F4FCB">
      <w:pPr>
        <w:autoSpaceDE w:val="0"/>
        <w:autoSpaceDN w:val="0"/>
        <w:adjustRightInd w:val="0"/>
        <w:rPr>
          <w:rFonts w:eastAsia="HelenPro-Regular"/>
          <w:color w:val="080808"/>
        </w:rPr>
      </w:pPr>
      <w:r w:rsidRPr="005F4FCB">
        <w:rPr>
          <w:rFonts w:eastAsia="HelenPro-Regular"/>
          <w:color w:val="080808"/>
        </w:rPr>
        <w:t xml:space="preserve">The ARCHITECT </w:t>
      </w:r>
      <w:r w:rsidR="00531F75">
        <w:rPr>
          <w:rFonts w:eastAsia="HelenPro-Regular"/>
          <w:color w:val="080808"/>
        </w:rPr>
        <w:t>Core</w:t>
      </w:r>
      <w:r w:rsidR="00E70BBC">
        <w:rPr>
          <w:rFonts w:eastAsia="HelenPro-Regular"/>
          <w:color w:val="080808"/>
        </w:rPr>
        <w:t>-M</w:t>
      </w:r>
      <w:r w:rsidRPr="005F4FCB">
        <w:rPr>
          <w:rFonts w:eastAsia="HelenPro-Regular"/>
          <w:color w:val="080808"/>
        </w:rPr>
        <w:t xml:space="preserve"> Controls </w:t>
      </w:r>
      <w:r w:rsidR="005F4FCB">
        <w:rPr>
          <w:rFonts w:eastAsia="HelenPro-Regular"/>
          <w:color w:val="080808"/>
        </w:rPr>
        <w:t xml:space="preserve">are in a serum matrix made from </w:t>
      </w:r>
      <w:r w:rsidRPr="005F4FCB">
        <w:rPr>
          <w:rFonts w:eastAsia="HelenPro-Regular"/>
          <w:color w:val="080808"/>
        </w:rPr>
        <w:t>recalcified plasma.</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5F4FCB" w:rsidRDefault="005F4FCB"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E70BBC">
        <w:rPr>
          <w:rFonts w:eastAsia="HelenPro-Regular"/>
          <w:color w:val="080808"/>
        </w:rPr>
        <w:t>Core-M</w:t>
      </w:r>
      <w:r w:rsidR="00E70BBC" w:rsidRPr="005F4FCB">
        <w:rPr>
          <w:rFonts w:eastAsia="HelenPro-Regular"/>
          <w:color w:val="080808"/>
        </w:rPr>
        <w:t xml:space="preserve"> </w:t>
      </w:r>
      <w:r w:rsidRPr="003356DF">
        <w:rPr>
          <w:rFonts w:eastAsia="HelenPro-Regular"/>
        </w:rPr>
        <w:t xml:space="preserve">assay is designed for use on the ARCHITECT </w:t>
      </w:r>
      <w:r w:rsidRPr="003356DF">
        <w:rPr>
          <w:rFonts w:eastAsia="HelenPro-Bold"/>
          <w:i/>
          <w:iCs/>
        </w:rPr>
        <w:t xml:space="preserve">i </w:t>
      </w:r>
      <w:r w:rsidRPr="003356DF">
        <w:rPr>
          <w:rFonts w:eastAsia="HelenPro-Regular"/>
        </w:rPr>
        <w:t>System.</w:t>
      </w:r>
    </w:p>
    <w:p w:rsidR="003356DF" w:rsidRPr="00470CE6"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E70BBC">
        <w:rPr>
          <w:rFonts w:eastAsia="HelenPro-Regular"/>
          <w:color w:val="080808"/>
        </w:rPr>
        <w:t>Core-M</w:t>
      </w:r>
      <w:r w:rsidR="00E70BBC" w:rsidRPr="005F4FCB">
        <w:rPr>
          <w:rFonts w:eastAsia="HelenPro-Regular"/>
          <w:color w:val="080808"/>
        </w:rPr>
        <w:t xml:space="preserve"> </w:t>
      </w:r>
      <w:r w:rsidRPr="00470CE6">
        <w:rPr>
          <w:rFonts w:eastAsia="HelenPro-Regular"/>
        </w:rPr>
        <w:t xml:space="preserve">assay file must be installed on the ARCHITECT </w:t>
      </w:r>
      <w:r w:rsidRPr="00470CE6">
        <w:rPr>
          <w:rFonts w:eastAsia="HelenPro-Bold"/>
          <w:i/>
          <w:iCs/>
        </w:rPr>
        <w:t xml:space="preserve">i </w:t>
      </w:r>
      <w:r w:rsidRPr="00470CE6">
        <w:rPr>
          <w:rFonts w:eastAsia="HelenPro-Regular"/>
        </w:rPr>
        <w:t xml:space="preserve">System </w:t>
      </w:r>
      <w:r w:rsidR="00470CE6" w:rsidRPr="00470CE6">
        <w:rPr>
          <w:rFonts w:eastAsia="HelenPro-Regular"/>
        </w:rPr>
        <w:t xml:space="preserve">from an ARCHITECT </w:t>
      </w:r>
      <w:r w:rsidR="00470CE6" w:rsidRPr="00470CE6">
        <w:rPr>
          <w:rFonts w:eastAsia="HelenPro-Regular"/>
          <w:i/>
          <w:iCs/>
        </w:rPr>
        <w:t xml:space="preserve">i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E70BBC" w:rsidP="002C7FD5">
      <w:pPr>
        <w:rPr>
          <w:b/>
        </w:rPr>
      </w:pPr>
      <w:r>
        <w:rPr>
          <w:noProof/>
        </w:rPr>
        <w:drawing>
          <wp:inline distT="0" distB="0" distL="0" distR="0" wp14:anchorId="24111A58" wp14:editId="23F91B07">
            <wp:extent cx="4267200" cy="12287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67200" cy="1228725"/>
                    </a:xfrm>
                    <a:prstGeom prst="rect">
                      <a:avLst/>
                    </a:prstGeom>
                  </pic:spPr>
                </pic:pic>
              </a:graphicData>
            </a:graphic>
          </wp:inline>
        </w:drawing>
      </w:r>
    </w:p>
    <w:p w:rsidR="00470CE6" w:rsidRDefault="00470CE6" w:rsidP="002C7FD5">
      <w:pPr>
        <w:rPr>
          <w:b/>
        </w:rPr>
      </w:pPr>
      <w:r>
        <w:rPr>
          <w:noProof/>
        </w:rPr>
        <w:drawing>
          <wp:inline distT="0" distB="0" distL="0" distR="0" wp14:anchorId="5CDF2218" wp14:editId="6886C245">
            <wp:extent cx="4417544" cy="871870"/>
            <wp:effectExtent l="0" t="0" r="254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45695"/>
                    <a:stretch/>
                  </pic:blipFill>
                  <pic:spPr bwMode="auto">
                    <a:xfrm>
                      <a:off x="0" y="0"/>
                      <a:ext cx="4429125" cy="874156"/>
                    </a:xfrm>
                    <a:prstGeom prst="rect">
                      <a:avLst/>
                    </a:prstGeom>
                    <a:ln>
                      <a:noFill/>
                    </a:ln>
                    <a:extLst>
                      <a:ext uri="{53640926-AAD7-44D8-BBD7-CCE9431645EC}">
                        <a14:shadowObscured xmlns:a14="http://schemas.microsoft.com/office/drawing/2010/main"/>
                      </a:ext>
                    </a:extLst>
                  </pic:spPr>
                </pic:pic>
              </a:graphicData>
            </a:graphic>
          </wp:inline>
        </w:drawing>
      </w:r>
    </w:p>
    <w:p w:rsidR="00D51823" w:rsidRPr="009B028A" w:rsidRDefault="00D51823" w:rsidP="00D51823">
      <w:pPr>
        <w:autoSpaceDE w:val="0"/>
        <w:autoSpaceDN w:val="0"/>
        <w:adjustRightInd w:val="0"/>
        <w:rPr>
          <w:rFonts w:eastAsia="HelenPro-Regular"/>
          <w:color w:val="000066"/>
          <w:sz w:val="20"/>
          <w:szCs w:val="20"/>
        </w:rPr>
      </w:pPr>
      <w:r>
        <w:rPr>
          <w:rFonts w:eastAsia="HelenPro-Bold"/>
          <w:b/>
          <w:bCs/>
          <w:color w:val="000066"/>
          <w:sz w:val="20"/>
          <w:szCs w:val="20"/>
        </w:rPr>
        <w:t xml:space="preserve"> </w:t>
      </w:r>
      <w:r w:rsidRPr="009B028A">
        <w:rPr>
          <w:rFonts w:eastAsia="HelenPro-Bold"/>
          <w:b/>
          <w:bCs/>
          <w:color w:val="000066"/>
          <w:sz w:val="20"/>
          <w:szCs w:val="20"/>
        </w:rPr>
        <w:t xml:space="preserve">   •   </w:t>
      </w:r>
      <w:r>
        <w:rPr>
          <w:rFonts w:eastAsia="HelenPro-Bold"/>
          <w:b/>
          <w:bCs/>
          <w:color w:val="000066"/>
          <w:sz w:val="20"/>
          <w:szCs w:val="20"/>
        </w:rPr>
        <w:t xml:space="preserve"> </w:t>
      </w:r>
      <w:r w:rsidRPr="009B028A">
        <w:rPr>
          <w:rFonts w:eastAsia="HelenPro-Bold"/>
          <w:b/>
          <w:bCs/>
          <w:color w:val="000066"/>
          <w:sz w:val="20"/>
          <w:szCs w:val="20"/>
        </w:rPr>
        <w:t xml:space="preserve"> </w:t>
      </w:r>
      <w:r w:rsidRPr="009B028A">
        <w:rPr>
          <w:rFonts w:eastAsia="HelenPro-Regular"/>
          <w:color w:val="000066"/>
          <w:sz w:val="20"/>
          <w:szCs w:val="20"/>
        </w:rPr>
        <w:t xml:space="preserve">Load the reagent kit on the ARCHITECT </w:t>
      </w:r>
      <w:r w:rsidRPr="009B028A">
        <w:rPr>
          <w:rFonts w:eastAsia="HelenPro-Bold"/>
          <w:i/>
          <w:iCs/>
          <w:color w:val="000066"/>
          <w:sz w:val="20"/>
          <w:szCs w:val="20"/>
        </w:rPr>
        <w:t xml:space="preserve">i </w:t>
      </w:r>
      <w:r w:rsidRPr="009B028A">
        <w:rPr>
          <w:rFonts w:eastAsia="HelenPro-Regular"/>
          <w:color w:val="000066"/>
          <w:sz w:val="20"/>
          <w:szCs w:val="20"/>
        </w:rPr>
        <w:t>System.</w:t>
      </w:r>
    </w:p>
    <w:p w:rsidR="00D51823" w:rsidRPr="009B028A" w:rsidRDefault="00D51823" w:rsidP="00D51823">
      <w:pPr>
        <w:autoSpaceDE w:val="0"/>
        <w:autoSpaceDN w:val="0"/>
        <w:adjustRightInd w:val="0"/>
        <w:rPr>
          <w:rFonts w:eastAsia="HelenPro-Regular"/>
          <w:color w:val="000066"/>
          <w:sz w:val="20"/>
          <w:szCs w:val="20"/>
        </w:rPr>
      </w:pPr>
      <w:r w:rsidRPr="009B028A">
        <w:rPr>
          <w:rFonts w:eastAsia="HelenPro-Bold"/>
          <w:b/>
          <w:bCs/>
          <w:color w:val="000066"/>
          <w:sz w:val="20"/>
          <w:szCs w:val="20"/>
        </w:rPr>
        <w:lastRenderedPageBreak/>
        <w:t xml:space="preserve">           •     </w:t>
      </w:r>
      <w:r>
        <w:rPr>
          <w:rFonts w:eastAsia="HelenPro-Bold"/>
          <w:b/>
          <w:bCs/>
          <w:color w:val="000066"/>
          <w:sz w:val="20"/>
          <w:szCs w:val="20"/>
        </w:rPr>
        <w:t xml:space="preserve">  </w:t>
      </w:r>
      <w:r w:rsidRPr="009B028A">
        <w:rPr>
          <w:rFonts w:eastAsia="HelenPro-Regular"/>
          <w:color w:val="000066"/>
          <w:sz w:val="20"/>
          <w:szCs w:val="20"/>
        </w:rPr>
        <w:t>Verify that all necessary reagents are present.</w:t>
      </w:r>
    </w:p>
    <w:p w:rsidR="00D51823" w:rsidRDefault="00D51823" w:rsidP="00D51823">
      <w:pPr>
        <w:rPr>
          <w:b/>
        </w:rPr>
      </w:pPr>
      <w:r w:rsidRPr="009B028A">
        <w:rPr>
          <w:rFonts w:eastAsia="HelenPro-Bold"/>
          <w:b/>
          <w:bCs/>
          <w:color w:val="000066"/>
          <w:sz w:val="20"/>
          <w:szCs w:val="20"/>
        </w:rPr>
        <w:t xml:space="preserve">           •     </w:t>
      </w:r>
      <w:r>
        <w:rPr>
          <w:rFonts w:eastAsia="HelenPro-Bold"/>
          <w:b/>
          <w:bCs/>
          <w:color w:val="000066"/>
          <w:sz w:val="20"/>
          <w:szCs w:val="20"/>
        </w:rPr>
        <w:t xml:space="preserve">  </w:t>
      </w:r>
      <w:r w:rsidRPr="009B028A">
        <w:rPr>
          <w:rFonts w:eastAsia="HelenPro-Regular"/>
          <w:color w:val="000066"/>
          <w:sz w:val="20"/>
          <w:szCs w:val="20"/>
        </w:rPr>
        <w:t>Ensure that septums are present on all reagent bottles</w:t>
      </w:r>
      <w:r w:rsidRPr="009B028A">
        <w:rPr>
          <w:rFonts w:eastAsia="HelenPro-Regular"/>
          <w:color w:val="000066"/>
          <w:sz w:val="22"/>
          <w:szCs w:val="22"/>
        </w:rPr>
        <w:t>.</w:t>
      </w: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57675" cy="2000250"/>
                    </a:xfrm>
                    <a:prstGeom prst="rect">
                      <a:avLst/>
                    </a:prstGeom>
                  </pic:spPr>
                </pic:pic>
              </a:graphicData>
            </a:graphic>
          </wp:inline>
        </w:drawing>
      </w:r>
    </w:p>
    <w:p w:rsidR="003356DF" w:rsidRDefault="00E70BBC" w:rsidP="002C7FD5">
      <w:pPr>
        <w:rPr>
          <w:b/>
        </w:rPr>
      </w:pPr>
      <w:r>
        <w:rPr>
          <w:noProof/>
        </w:rPr>
        <w:drawing>
          <wp:inline distT="0" distB="0" distL="0" distR="0" wp14:anchorId="30531A71" wp14:editId="12784AA0">
            <wp:extent cx="4371975" cy="22479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71975" cy="2247900"/>
                    </a:xfrm>
                    <a:prstGeom prst="rect">
                      <a:avLst/>
                    </a:prstGeom>
                  </pic:spPr>
                </pic:pic>
              </a:graphicData>
            </a:graphic>
          </wp:inline>
        </w:drawing>
      </w:r>
    </w:p>
    <w:p w:rsidR="005B1BF7" w:rsidRDefault="005B1BF7" w:rsidP="002C7FD5">
      <w:pPr>
        <w:rPr>
          <w:b/>
        </w:rPr>
      </w:pP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43504D" w:rsidRPr="00E8215F" w:rsidRDefault="0043504D" w:rsidP="0043504D">
      <w:pPr>
        <w:autoSpaceDE w:val="0"/>
        <w:autoSpaceDN w:val="0"/>
        <w:adjustRightInd w:val="0"/>
        <w:rPr>
          <w:rFonts w:eastAsia="HelenPro-Bold"/>
          <w:b/>
          <w:bCs/>
        </w:rPr>
      </w:pPr>
      <w:r w:rsidRPr="00E8215F">
        <w:rPr>
          <w:rFonts w:eastAsia="HelenPro-Bold"/>
          <w:b/>
          <w:bCs/>
        </w:rPr>
        <w:t>Calculations</w:t>
      </w:r>
    </w:p>
    <w:p w:rsidR="00E70BBC" w:rsidRDefault="00E70BBC" w:rsidP="00E70BBC">
      <w:pPr>
        <w:autoSpaceDE w:val="0"/>
        <w:autoSpaceDN w:val="0"/>
        <w:adjustRightInd w:val="0"/>
        <w:rPr>
          <w:rFonts w:eastAsia="HelenPro-Regular"/>
        </w:rPr>
      </w:pPr>
      <w:r w:rsidRPr="00E70BBC">
        <w:rPr>
          <w:rFonts w:eastAsia="HelenPro-Regular"/>
        </w:rPr>
        <w:t xml:space="preserve">The ARCHITECT </w:t>
      </w:r>
      <w:r w:rsidRPr="00E70BBC">
        <w:rPr>
          <w:rFonts w:eastAsia="HelenPro-Regular"/>
          <w:i/>
          <w:iCs/>
        </w:rPr>
        <w:t xml:space="preserve">i </w:t>
      </w:r>
      <w:r w:rsidRPr="00E70BBC">
        <w:rPr>
          <w:rFonts w:eastAsia="HelenPro-Regular"/>
        </w:rPr>
        <w:t>System calculat</w:t>
      </w:r>
      <w:r>
        <w:rPr>
          <w:rFonts w:eastAsia="HelenPro-Regular"/>
        </w:rPr>
        <w:t xml:space="preserve">es the cutoff RLU from the mean </w:t>
      </w:r>
      <w:r w:rsidRPr="00E70BBC">
        <w:rPr>
          <w:rFonts w:eastAsia="HelenPro-Regular"/>
        </w:rPr>
        <w:t>chemiluminescent signal of three CORE-M Calibrator 1 and Calibrator 2</w:t>
      </w:r>
      <w:r>
        <w:rPr>
          <w:rFonts w:eastAsia="HelenPro-Regular"/>
        </w:rPr>
        <w:t xml:space="preserve"> </w:t>
      </w:r>
      <w:r w:rsidRPr="00E70BBC">
        <w:rPr>
          <w:rFonts w:eastAsia="HelenPro-Regular"/>
        </w:rPr>
        <w:t>replicates and stores the result.</w:t>
      </w:r>
      <w:r>
        <w:rPr>
          <w:rFonts w:eastAsia="HelenPro-Regular"/>
        </w:rPr>
        <w:t xml:space="preserve"> </w:t>
      </w:r>
    </w:p>
    <w:p w:rsidR="00E70BBC" w:rsidRPr="00E70BBC" w:rsidRDefault="00E70BBC" w:rsidP="00E70BBC">
      <w:pPr>
        <w:autoSpaceDE w:val="0"/>
        <w:autoSpaceDN w:val="0"/>
        <w:adjustRightInd w:val="0"/>
        <w:rPr>
          <w:rFonts w:eastAsia="HelenPro-Regular"/>
        </w:rPr>
      </w:pPr>
      <w:r w:rsidRPr="00E70BBC">
        <w:rPr>
          <w:rFonts w:eastAsia="HelenPro-Regular"/>
        </w:rPr>
        <w:t>Cutoff RLU = [(Calibrator 2 Mean RLU - Calibrator 1 Mean RLU) x 0.75] +</w:t>
      </w:r>
      <w:r>
        <w:rPr>
          <w:rFonts w:eastAsia="HelenPro-Regular"/>
        </w:rPr>
        <w:t xml:space="preserve"> </w:t>
      </w:r>
      <w:r w:rsidRPr="00E70BBC">
        <w:rPr>
          <w:rFonts w:eastAsia="HelenPro-Regular"/>
        </w:rPr>
        <w:t>Calibrator 1 Mean RLU</w:t>
      </w:r>
    </w:p>
    <w:p w:rsidR="00E70BBC" w:rsidRPr="00E70BBC" w:rsidRDefault="00E70BBC" w:rsidP="00E70BBC">
      <w:pPr>
        <w:autoSpaceDE w:val="0"/>
        <w:autoSpaceDN w:val="0"/>
        <w:adjustRightInd w:val="0"/>
        <w:rPr>
          <w:rFonts w:eastAsia="HelenPro-Regular"/>
        </w:rPr>
      </w:pPr>
      <w:r w:rsidRPr="00E70BBC">
        <w:rPr>
          <w:rFonts w:eastAsia="HelenPro-Bold"/>
          <w:b/>
          <w:bCs/>
        </w:rPr>
        <w:t xml:space="preserve">• </w:t>
      </w:r>
      <w:r w:rsidRPr="00E70BBC">
        <w:rPr>
          <w:rFonts w:eastAsia="HelenPro-Regular"/>
        </w:rPr>
        <w:t xml:space="preserve">The ARCHITECT </w:t>
      </w:r>
      <w:r w:rsidRPr="00E70BBC">
        <w:rPr>
          <w:rFonts w:eastAsia="HelenPro-Regular"/>
          <w:i/>
          <w:iCs/>
        </w:rPr>
        <w:t xml:space="preserve">i </w:t>
      </w:r>
      <w:r w:rsidRPr="00E70BBC">
        <w:rPr>
          <w:rFonts w:eastAsia="HelenPro-Regular"/>
        </w:rPr>
        <w:t>System calculates th</w:t>
      </w:r>
      <w:r>
        <w:rPr>
          <w:rFonts w:eastAsia="HelenPro-Regular"/>
        </w:rPr>
        <w:t xml:space="preserve">e S/CO result for each specimen </w:t>
      </w:r>
      <w:r w:rsidRPr="00E70BBC">
        <w:rPr>
          <w:rFonts w:eastAsia="HelenPro-Regular"/>
        </w:rPr>
        <w:t>and control as follows:</w:t>
      </w:r>
    </w:p>
    <w:p w:rsidR="002648A6" w:rsidRPr="00E70BBC" w:rsidRDefault="00E70BBC" w:rsidP="00E70BBC">
      <w:pPr>
        <w:autoSpaceDE w:val="0"/>
        <w:autoSpaceDN w:val="0"/>
        <w:adjustRightInd w:val="0"/>
        <w:ind w:firstLine="720"/>
        <w:rPr>
          <w:rFonts w:eastAsia="HelenPro-Regular"/>
        </w:rPr>
      </w:pPr>
      <w:r w:rsidRPr="00E70BBC">
        <w:rPr>
          <w:rFonts w:eastAsia="HelenPro-Regular"/>
        </w:rPr>
        <w:t>S/CO = Sample RLU/Cutoff RLU ratio</w:t>
      </w:r>
    </w:p>
    <w:p w:rsidR="0043504D" w:rsidRDefault="00E70BBC" w:rsidP="0043504D">
      <w:pPr>
        <w:autoSpaceDE w:val="0"/>
        <w:autoSpaceDN w:val="0"/>
        <w:adjustRightInd w:val="0"/>
        <w:rPr>
          <w:rFonts w:eastAsia="HelenPro-Regular"/>
        </w:rPr>
      </w:pPr>
      <w:r>
        <w:rPr>
          <w:noProof/>
        </w:rPr>
        <w:lastRenderedPageBreak/>
        <w:drawing>
          <wp:inline distT="0" distB="0" distL="0" distR="0" wp14:anchorId="7A5D0DBD" wp14:editId="11EE4717">
            <wp:extent cx="4276725" cy="30480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76725" cy="3048000"/>
                    </a:xfrm>
                    <a:prstGeom prst="rect">
                      <a:avLst/>
                    </a:prstGeom>
                  </pic:spPr>
                </pic:pic>
              </a:graphicData>
            </a:graphic>
          </wp:inline>
        </w:drawing>
      </w:r>
    </w:p>
    <w:p w:rsidR="00531F75" w:rsidRDefault="00531F75"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E70BBC" w:rsidRPr="0095785D" w:rsidRDefault="00E70BBC" w:rsidP="00AB793D">
      <w:pPr>
        <w:rPr>
          <w:b/>
          <w:bCs/>
          <w:sz w:val="28"/>
          <w:szCs w:val="28"/>
        </w:rPr>
      </w:pPr>
    </w:p>
    <w:p w:rsidR="00912FE4" w:rsidRPr="0095785D" w:rsidRDefault="00912FE4" w:rsidP="00AB793D">
      <w:pPr>
        <w:rPr>
          <w:b/>
          <w:bCs/>
          <w:sz w:val="28"/>
          <w:szCs w:val="28"/>
        </w:rPr>
      </w:pPr>
      <w:r w:rsidRPr="0095785D">
        <w:rPr>
          <w:b/>
          <w:bCs/>
          <w:sz w:val="28"/>
          <w:szCs w:val="28"/>
        </w:rPr>
        <w:t>Specific Performance Characteristics</w:t>
      </w:r>
      <w:r w:rsidR="00D60AFA" w:rsidRPr="0095785D">
        <w:rPr>
          <w:b/>
          <w:bCs/>
          <w:sz w:val="28"/>
          <w:szCs w:val="28"/>
        </w:rPr>
        <w:t xml:space="preserve"> </w:t>
      </w:r>
    </w:p>
    <w:p w:rsidR="00CE2DC7" w:rsidRPr="0095785D" w:rsidRDefault="002648A6" w:rsidP="00AB793D">
      <w:pPr>
        <w:rPr>
          <w:b/>
          <w:bCs/>
        </w:rPr>
      </w:pPr>
      <w:r w:rsidRPr="0095785D">
        <w:rPr>
          <w:b/>
          <w:bCs/>
        </w:rPr>
        <w:t>Expected Values</w:t>
      </w:r>
      <w:r w:rsidR="00D60AFA" w:rsidRPr="0095785D">
        <w:rPr>
          <w:b/>
          <w:bCs/>
        </w:rPr>
        <w:t xml:space="preserve"> </w:t>
      </w:r>
    </w:p>
    <w:p w:rsidR="0055619E" w:rsidRPr="0095785D" w:rsidRDefault="006D40ED" w:rsidP="006D40ED">
      <w:pPr>
        <w:autoSpaceDE w:val="0"/>
        <w:autoSpaceDN w:val="0"/>
        <w:adjustRightInd w:val="0"/>
        <w:rPr>
          <w:rFonts w:eastAsia="HelenPro-Regular"/>
        </w:rPr>
      </w:pPr>
      <w:r w:rsidRPr="0095785D">
        <w:rPr>
          <w:rFonts w:eastAsia="HelenPro-Regular"/>
        </w:rPr>
        <w:t>It is recommended that each laboratory determine its own reference range based upon its particular locale and population characteristics.</w:t>
      </w:r>
    </w:p>
    <w:p w:rsidR="00317056" w:rsidRPr="0095785D" w:rsidRDefault="00317056" w:rsidP="00AB793D">
      <w:pPr>
        <w:rPr>
          <w:b/>
          <w:bCs/>
        </w:rPr>
      </w:pPr>
    </w:p>
    <w:p w:rsidR="0055619E" w:rsidRPr="0095785D" w:rsidRDefault="0095785D" w:rsidP="00AB793D">
      <w:pPr>
        <w:rPr>
          <w:b/>
          <w:bCs/>
        </w:rPr>
      </w:pPr>
      <w:r w:rsidRPr="0095785D">
        <w:rPr>
          <w:b/>
          <w:bCs/>
        </w:rPr>
        <w:t xml:space="preserve">Serum/Plasma: </w:t>
      </w:r>
    </w:p>
    <w:p w:rsidR="0095785D" w:rsidRDefault="0095785D" w:rsidP="00AB793D">
      <w:pPr>
        <w:rPr>
          <w:bCs/>
        </w:rPr>
      </w:pPr>
      <w:r w:rsidRPr="0095785D">
        <w:rPr>
          <w:b/>
          <w:bCs/>
        </w:rPr>
        <w:tab/>
      </w:r>
      <w:r>
        <w:rPr>
          <w:b/>
          <w:bCs/>
        </w:rPr>
        <w:t xml:space="preserve">        </w:t>
      </w:r>
      <w:r>
        <w:rPr>
          <w:bCs/>
        </w:rPr>
        <w:t xml:space="preserve">&lt; 0.8 = </w:t>
      </w:r>
      <w:r>
        <w:rPr>
          <w:bCs/>
        </w:rPr>
        <w:tab/>
        <w:t>Non reactive</w:t>
      </w:r>
    </w:p>
    <w:p w:rsidR="0095785D" w:rsidRDefault="0095785D" w:rsidP="00AB793D">
      <w:pPr>
        <w:rPr>
          <w:bCs/>
        </w:rPr>
      </w:pPr>
      <w:r>
        <w:rPr>
          <w:bCs/>
        </w:rPr>
        <w:tab/>
        <w:t>0.8 – 1.20 =</w:t>
      </w:r>
      <w:r>
        <w:rPr>
          <w:bCs/>
        </w:rPr>
        <w:tab/>
      </w:r>
      <w:r w:rsidR="00300172">
        <w:rPr>
          <w:bCs/>
        </w:rPr>
        <w:t>Indeterminant</w:t>
      </w:r>
      <w:bookmarkStart w:id="0" w:name="_GoBack"/>
      <w:bookmarkEnd w:id="0"/>
    </w:p>
    <w:p w:rsidR="0095785D" w:rsidRPr="0095785D" w:rsidRDefault="0095785D" w:rsidP="00AB793D">
      <w:pPr>
        <w:rPr>
          <w:bCs/>
        </w:rPr>
      </w:pPr>
      <w:r>
        <w:rPr>
          <w:bCs/>
        </w:rPr>
        <w:tab/>
        <w:t xml:space="preserve">      </w:t>
      </w:r>
      <w:r>
        <w:rPr>
          <w:bCs/>
          <w:u w:val="single"/>
        </w:rPr>
        <w:t>&gt;</w:t>
      </w:r>
      <w:r>
        <w:rPr>
          <w:bCs/>
        </w:rPr>
        <w:t xml:space="preserve"> 1.21 =</w:t>
      </w:r>
      <w:r>
        <w:rPr>
          <w:bCs/>
        </w:rPr>
        <w:tab/>
        <w:t>Reactive</w:t>
      </w:r>
    </w:p>
    <w:p w:rsidR="00D64E39" w:rsidRPr="0095785D" w:rsidRDefault="00D64E39" w:rsidP="00AB793D">
      <w:pPr>
        <w:rPr>
          <w:bCs/>
        </w:rPr>
      </w:pPr>
    </w:p>
    <w:p w:rsidR="00B63E8F" w:rsidRPr="0095785D" w:rsidRDefault="00B63E8F" w:rsidP="00623EFB">
      <w:pPr>
        <w:ind w:right="720"/>
        <w:jc w:val="both"/>
        <w:rPr>
          <w:b/>
        </w:rPr>
      </w:pPr>
      <w:r w:rsidRPr="0095785D">
        <w:rPr>
          <w:b/>
        </w:rPr>
        <w:t>Critical Values</w:t>
      </w:r>
      <w:r w:rsidR="0095785D">
        <w:rPr>
          <w:b/>
        </w:rPr>
        <w:t>: N/A</w:t>
      </w:r>
    </w:p>
    <w:p w:rsidR="0038442D" w:rsidRPr="0095785D" w:rsidRDefault="0038442D" w:rsidP="00AB793D">
      <w:pPr>
        <w:rPr>
          <w:b/>
          <w:sz w:val="28"/>
          <w:szCs w:val="28"/>
        </w:rPr>
      </w:pPr>
    </w:p>
    <w:p w:rsidR="00D5211B" w:rsidRPr="0095785D" w:rsidRDefault="005E3D52" w:rsidP="00AB793D">
      <w:pPr>
        <w:rPr>
          <w:i/>
          <w:color w:val="FF0000"/>
          <w:sz w:val="28"/>
          <w:szCs w:val="28"/>
        </w:rPr>
      </w:pPr>
      <w:r w:rsidRPr="0095785D">
        <w:rPr>
          <w:b/>
          <w:sz w:val="28"/>
          <w:szCs w:val="28"/>
        </w:rPr>
        <w:t>Performance Characteristics</w:t>
      </w:r>
      <w:r w:rsidR="00973EAF" w:rsidRPr="0095785D">
        <w:rPr>
          <w:b/>
          <w:sz w:val="28"/>
          <w:szCs w:val="28"/>
        </w:rPr>
        <w:t xml:space="preserve"> </w:t>
      </w:r>
    </w:p>
    <w:p w:rsidR="00B45FE2" w:rsidRPr="0095785D" w:rsidRDefault="00B45FE2" w:rsidP="00B45FE2">
      <w:pPr>
        <w:autoSpaceDE w:val="0"/>
        <w:autoSpaceDN w:val="0"/>
        <w:adjustRightInd w:val="0"/>
        <w:rPr>
          <w:rFonts w:eastAsia="HelenPro-Bold"/>
          <w:b/>
          <w:bCs/>
        </w:rPr>
      </w:pPr>
    </w:p>
    <w:p w:rsidR="00173EA4" w:rsidRPr="0095785D" w:rsidRDefault="00173EA4" w:rsidP="00173EA4">
      <w:pPr>
        <w:autoSpaceDE w:val="0"/>
        <w:autoSpaceDN w:val="0"/>
        <w:adjustRightInd w:val="0"/>
        <w:rPr>
          <w:rFonts w:eastAsia="HelenPro-Bold"/>
          <w:b/>
          <w:bCs/>
        </w:rPr>
      </w:pPr>
      <w:r w:rsidRPr="0095785D">
        <w:rPr>
          <w:rFonts w:eastAsia="HelenPro-Bold"/>
          <w:b/>
          <w:bCs/>
        </w:rPr>
        <w:t>Reportable Range</w:t>
      </w:r>
    </w:p>
    <w:p w:rsidR="00E8215F" w:rsidRPr="0095785D" w:rsidRDefault="00E8215F" w:rsidP="00E8215F">
      <w:pPr>
        <w:autoSpaceDE w:val="0"/>
        <w:autoSpaceDN w:val="0"/>
        <w:adjustRightInd w:val="0"/>
        <w:rPr>
          <w:rFonts w:eastAsia="HelenPro-Regular"/>
        </w:rPr>
      </w:pPr>
      <w:r w:rsidRPr="0095785D">
        <w:rPr>
          <w:rFonts w:eastAsia="HelenPro-Regular"/>
        </w:rPr>
        <w:t xml:space="preserve">See Data in the </w:t>
      </w:r>
      <w:r w:rsidRPr="0095785D">
        <w:rPr>
          <w:rFonts w:eastAsia="HelenPro-Bold"/>
          <w:b/>
          <w:bCs/>
        </w:rPr>
        <w:t xml:space="preserve">SPECIFIC PERFORMANCE CHARACTERISTICS </w:t>
      </w:r>
      <w:r w:rsidRPr="0095785D">
        <w:rPr>
          <w:rFonts w:eastAsia="HelenPro-Regular"/>
        </w:rPr>
        <w:t>section of the package insert</w:t>
      </w:r>
    </w:p>
    <w:p w:rsidR="002648A6" w:rsidRPr="0095785D" w:rsidRDefault="002648A6" w:rsidP="004E0AFF">
      <w:pPr>
        <w:autoSpaceDE w:val="0"/>
        <w:autoSpaceDN w:val="0"/>
        <w:adjustRightInd w:val="0"/>
        <w:rPr>
          <w:rFonts w:eastAsia="HelenPro-Bold"/>
          <w:b/>
          <w:bCs/>
        </w:rPr>
      </w:pPr>
    </w:p>
    <w:p w:rsidR="004E0AFF" w:rsidRPr="0095785D" w:rsidRDefault="002648A6" w:rsidP="004E0AFF">
      <w:pPr>
        <w:autoSpaceDE w:val="0"/>
        <w:autoSpaceDN w:val="0"/>
        <w:adjustRightInd w:val="0"/>
        <w:rPr>
          <w:rFonts w:eastAsia="HelenPro-Bold"/>
          <w:b/>
          <w:bCs/>
        </w:rPr>
      </w:pPr>
      <w:r w:rsidRPr="0095785D">
        <w:rPr>
          <w:rFonts w:eastAsia="HelenPro-Bold"/>
          <w:b/>
          <w:bCs/>
        </w:rPr>
        <w:t>Linearity</w:t>
      </w:r>
    </w:p>
    <w:p w:rsidR="00871834" w:rsidRPr="0095785D" w:rsidRDefault="00871834" w:rsidP="00871834">
      <w:pPr>
        <w:autoSpaceDE w:val="0"/>
        <w:autoSpaceDN w:val="0"/>
        <w:adjustRightInd w:val="0"/>
        <w:rPr>
          <w:rFonts w:eastAsia="HelenPro-Regular"/>
        </w:rPr>
      </w:pPr>
      <w:r w:rsidRPr="0095785D">
        <w:rPr>
          <w:rFonts w:eastAsia="HelenPro-Regular"/>
        </w:rPr>
        <w:t xml:space="preserve">See Data in the </w:t>
      </w:r>
      <w:r w:rsidRPr="0095785D">
        <w:rPr>
          <w:rFonts w:eastAsia="HelenPro-Bold"/>
          <w:b/>
          <w:bCs/>
        </w:rPr>
        <w:t xml:space="preserve">SPECIFIC PERFORMANCE CHARACTERISTICS </w:t>
      </w:r>
      <w:r w:rsidRPr="0095785D">
        <w:rPr>
          <w:rFonts w:eastAsia="HelenPro-Regular"/>
        </w:rPr>
        <w:t>section of the package insert</w:t>
      </w:r>
    </w:p>
    <w:p w:rsidR="002648A6" w:rsidRPr="0095785D" w:rsidRDefault="002648A6" w:rsidP="002C2F49">
      <w:pPr>
        <w:rPr>
          <w:rFonts w:eastAsia="HelenPro-Regular"/>
        </w:rPr>
      </w:pPr>
    </w:p>
    <w:p w:rsidR="002648A6" w:rsidRPr="0095785D" w:rsidRDefault="00470CE6" w:rsidP="002648A6">
      <w:pPr>
        <w:autoSpaceDE w:val="0"/>
        <w:autoSpaceDN w:val="0"/>
        <w:adjustRightInd w:val="0"/>
        <w:rPr>
          <w:rFonts w:eastAsia="HelenPro-Regular"/>
          <w:b/>
        </w:rPr>
      </w:pPr>
      <w:r w:rsidRPr="0095785D">
        <w:rPr>
          <w:rFonts w:eastAsia="HelenPro-Regular"/>
          <w:b/>
        </w:rPr>
        <w:t>Sensitivity/</w:t>
      </w:r>
      <w:r w:rsidR="002648A6" w:rsidRPr="0095785D">
        <w:rPr>
          <w:rFonts w:eastAsia="HelenPro-Regular"/>
          <w:b/>
        </w:rPr>
        <w:t>Limit of Detection</w:t>
      </w:r>
      <w:r w:rsidR="00317056" w:rsidRPr="0095785D">
        <w:rPr>
          <w:rFonts w:eastAsia="HelenPro-Regular"/>
          <w:b/>
        </w:rPr>
        <w:t xml:space="preserve"> (LOD)</w:t>
      </w:r>
    </w:p>
    <w:p w:rsidR="00317056" w:rsidRPr="0095785D" w:rsidRDefault="00E8215F" w:rsidP="00470CE6">
      <w:pPr>
        <w:autoSpaceDE w:val="0"/>
        <w:autoSpaceDN w:val="0"/>
        <w:adjustRightInd w:val="0"/>
        <w:rPr>
          <w:rFonts w:eastAsia="HelenPro-Regular"/>
        </w:rPr>
      </w:pPr>
      <w:r w:rsidRPr="0095785D">
        <w:rPr>
          <w:rFonts w:eastAsia="HelenPro-Regular"/>
        </w:rPr>
        <w:t xml:space="preserve">See Data in the </w:t>
      </w:r>
      <w:r w:rsidRPr="0095785D">
        <w:rPr>
          <w:rFonts w:eastAsia="HelenPro-Bold"/>
          <w:b/>
          <w:bCs/>
        </w:rPr>
        <w:t xml:space="preserve">SPECIFIC PERFORMANCE CHARACTERISTICS </w:t>
      </w:r>
      <w:r w:rsidRPr="0095785D">
        <w:rPr>
          <w:rFonts w:eastAsia="HelenPro-Regular"/>
        </w:rPr>
        <w:t>section of the package insert</w:t>
      </w:r>
    </w:p>
    <w:p w:rsidR="00D70A7B" w:rsidRPr="0095785D" w:rsidRDefault="00D70A7B" w:rsidP="002C2F49">
      <w:pPr>
        <w:rPr>
          <w:rFonts w:eastAsia="HelenPro-Bold"/>
          <w:b/>
          <w:bCs/>
        </w:rPr>
      </w:pPr>
    </w:p>
    <w:p w:rsidR="00912FE4" w:rsidRPr="0095785D" w:rsidRDefault="00912FE4" w:rsidP="002C2F49">
      <w:pPr>
        <w:rPr>
          <w:rFonts w:eastAsia="HelenPro-Bold"/>
          <w:b/>
          <w:bCs/>
        </w:rPr>
      </w:pPr>
      <w:r w:rsidRPr="0095785D">
        <w:rPr>
          <w:rFonts w:eastAsia="HelenPro-Bold"/>
          <w:b/>
          <w:bCs/>
        </w:rPr>
        <w:t>Dilution:</w:t>
      </w:r>
      <w:r w:rsidR="00973EAF" w:rsidRPr="0095785D">
        <w:rPr>
          <w:rFonts w:eastAsia="HelenPro-Bold"/>
          <w:b/>
          <w:bCs/>
        </w:rPr>
        <w:t xml:space="preserve"> </w:t>
      </w:r>
    </w:p>
    <w:p w:rsidR="00DA0D83" w:rsidRPr="0095785D" w:rsidRDefault="0043504D" w:rsidP="0043504D">
      <w:pPr>
        <w:autoSpaceDE w:val="0"/>
        <w:autoSpaceDN w:val="0"/>
        <w:adjustRightInd w:val="0"/>
        <w:rPr>
          <w:rFonts w:eastAsia="HelenPro-Regular"/>
        </w:rPr>
      </w:pPr>
      <w:r w:rsidRPr="0095785D">
        <w:rPr>
          <w:rFonts w:eastAsia="HelenPro-Regular"/>
        </w:rPr>
        <w:t xml:space="preserve">Specimens cannot be diluted for the ARCHITECT </w:t>
      </w:r>
      <w:r w:rsidR="00A805AB" w:rsidRPr="0095785D">
        <w:rPr>
          <w:rFonts w:eastAsia="HelenPro-Regular"/>
        </w:rPr>
        <w:t>Core-M</w:t>
      </w:r>
      <w:r w:rsidR="00E8215F" w:rsidRPr="0095785D">
        <w:rPr>
          <w:rFonts w:eastAsia="HelenPro-Regular"/>
        </w:rPr>
        <w:t xml:space="preserve"> </w:t>
      </w:r>
      <w:r w:rsidRPr="0095785D">
        <w:rPr>
          <w:rFonts w:eastAsia="HelenPro-Regular"/>
        </w:rPr>
        <w:t>assay.</w:t>
      </w:r>
    </w:p>
    <w:p w:rsidR="00DA0D83" w:rsidRPr="0095785D" w:rsidRDefault="00DA0D83" w:rsidP="00F95946">
      <w:pPr>
        <w:rPr>
          <w:b/>
          <w:color w:val="000000"/>
        </w:rPr>
      </w:pPr>
    </w:p>
    <w:p w:rsidR="00912FE4" w:rsidRPr="0095785D" w:rsidRDefault="00912FE4" w:rsidP="00F95946">
      <w:pPr>
        <w:rPr>
          <w:rFonts w:eastAsia="HelenPro-Regular"/>
        </w:rPr>
      </w:pPr>
      <w:r w:rsidRPr="0095785D">
        <w:rPr>
          <w:b/>
          <w:color w:val="000000"/>
        </w:rPr>
        <w:t>Precision:</w:t>
      </w:r>
      <w:r w:rsidR="0038442D" w:rsidRPr="0095785D">
        <w:rPr>
          <w:b/>
          <w:color w:val="000000"/>
        </w:rPr>
        <w:t xml:space="preserve"> </w:t>
      </w:r>
    </w:p>
    <w:p w:rsidR="00893E5B" w:rsidRPr="0095785D" w:rsidRDefault="00A805AB" w:rsidP="00A805AB">
      <w:pPr>
        <w:autoSpaceDE w:val="0"/>
        <w:autoSpaceDN w:val="0"/>
        <w:adjustRightInd w:val="0"/>
        <w:rPr>
          <w:rFonts w:eastAsia="HelenPro-Regular"/>
        </w:rPr>
      </w:pPr>
      <w:r w:rsidRPr="0095785D">
        <w:rPr>
          <w:rFonts w:eastAsia="HelenPro-Regular"/>
        </w:rPr>
        <w:t>The ARCHITECT CORE-M assay is designed to have a Total CV of &lt; 10% for the ARCHITECT CORE-M Positive Control and a low positive panel targeted to 1.20 S/CO, and less than or equal to a total SD of 0.10 S/CO for a high negative panel targeted to 0.80 S/CO.</w:t>
      </w:r>
      <w:r w:rsidR="00531F75" w:rsidRPr="0095785D">
        <w:rPr>
          <w:rFonts w:eastAsia="HelenPro-Regular"/>
        </w:rPr>
        <w:t>.</w:t>
      </w:r>
      <w:r w:rsidR="00041A33" w:rsidRPr="0095785D">
        <w:rPr>
          <w:rFonts w:eastAsia="HelenPro-Regular"/>
        </w:rPr>
        <w:t xml:space="preserve"> </w:t>
      </w:r>
      <w:r w:rsidR="002648A6" w:rsidRPr="0095785D">
        <w:rPr>
          <w:rFonts w:eastAsia="HelenPro-Regular"/>
        </w:rPr>
        <w:t>See re</w:t>
      </w:r>
      <w:r w:rsidR="00041A33" w:rsidRPr="0095785D">
        <w:rPr>
          <w:rFonts w:eastAsia="HelenPro-Regular"/>
        </w:rPr>
        <w:t>agent package insert for tables and more information.</w:t>
      </w:r>
    </w:p>
    <w:p w:rsidR="00D70A7B" w:rsidRPr="0095785D" w:rsidRDefault="00D70A7B" w:rsidP="00173EA4">
      <w:pPr>
        <w:autoSpaceDE w:val="0"/>
        <w:autoSpaceDN w:val="0"/>
        <w:adjustRightInd w:val="0"/>
        <w:rPr>
          <w:rFonts w:eastAsia="HelenPro-Regular"/>
        </w:rPr>
      </w:pPr>
    </w:p>
    <w:p w:rsidR="00C53E37" w:rsidRPr="0095785D" w:rsidRDefault="00C53E37" w:rsidP="00C53E37">
      <w:pPr>
        <w:pStyle w:val="Heading4"/>
        <w:rPr>
          <w:sz w:val="24"/>
          <w:szCs w:val="24"/>
        </w:rPr>
      </w:pPr>
      <w:r w:rsidRPr="0095785D">
        <w:rPr>
          <w:sz w:val="24"/>
          <w:szCs w:val="24"/>
        </w:rPr>
        <w:t>Limitations of Procedure</w:t>
      </w:r>
      <w:r w:rsidR="00973EAF" w:rsidRPr="0095785D">
        <w:rPr>
          <w:sz w:val="24"/>
          <w:szCs w:val="24"/>
        </w:rPr>
        <w:t xml:space="preserve"> </w:t>
      </w:r>
    </w:p>
    <w:p w:rsidR="005B1BF7" w:rsidRPr="0095785D" w:rsidRDefault="005B1BF7" w:rsidP="005B1BF7">
      <w:pPr>
        <w:pStyle w:val="ListParagraph"/>
        <w:numPr>
          <w:ilvl w:val="0"/>
          <w:numId w:val="20"/>
        </w:numPr>
        <w:autoSpaceDE w:val="0"/>
        <w:autoSpaceDN w:val="0"/>
        <w:adjustRightInd w:val="0"/>
        <w:rPr>
          <w:rFonts w:eastAsia="HelenPro-Regular"/>
        </w:rPr>
      </w:pPr>
      <w:r w:rsidRPr="0095785D">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such that employ mouse monoclonal antibodies.</w:t>
      </w:r>
    </w:p>
    <w:p w:rsidR="00E8215F" w:rsidRPr="0095785D" w:rsidRDefault="005B1BF7" w:rsidP="00E8215F">
      <w:pPr>
        <w:pStyle w:val="ListParagraph"/>
        <w:numPr>
          <w:ilvl w:val="0"/>
          <w:numId w:val="20"/>
        </w:numPr>
        <w:autoSpaceDE w:val="0"/>
        <w:autoSpaceDN w:val="0"/>
        <w:adjustRightInd w:val="0"/>
        <w:rPr>
          <w:rFonts w:eastAsia="HelenPro-Regular"/>
        </w:rPr>
      </w:pPr>
      <w:r w:rsidRPr="0095785D">
        <w:rPr>
          <w:rFonts w:eastAsia="HelenPro-Regular"/>
        </w:rPr>
        <w:t xml:space="preserve">Heterophilic antibodies in human serum can react with reagent immunoglobulins, interfering with </w:t>
      </w:r>
      <w:r w:rsidRPr="0095785D">
        <w:rPr>
          <w:rFonts w:eastAsia="HelenPro-Bold"/>
          <w:i/>
          <w:iCs/>
        </w:rPr>
        <w:t xml:space="preserve">in vitro </w:t>
      </w:r>
      <w:r w:rsidRPr="0095785D">
        <w:rPr>
          <w:rFonts w:eastAsia="HelenPro-Regular"/>
        </w:rPr>
        <w:t>immunoassays. Patients routinely exposed to animals or to animal serum products can be prone to this interference and anomalous results may be observed. Additional information may be required for diagnosis.</w:t>
      </w:r>
    </w:p>
    <w:p w:rsidR="00A805AB" w:rsidRPr="0095785D" w:rsidRDefault="00A805AB" w:rsidP="00A805AB">
      <w:pPr>
        <w:pStyle w:val="ListParagraph"/>
        <w:numPr>
          <w:ilvl w:val="0"/>
          <w:numId w:val="20"/>
        </w:numPr>
        <w:autoSpaceDE w:val="0"/>
        <w:autoSpaceDN w:val="0"/>
        <w:adjustRightInd w:val="0"/>
        <w:rPr>
          <w:rFonts w:eastAsia="HelenPro-Regular"/>
        </w:rPr>
      </w:pPr>
      <w:r w:rsidRPr="0095785D">
        <w:rPr>
          <w:rFonts w:eastAsia="HelenPro-Regular"/>
        </w:rPr>
        <w:t>Current methods for the detection of IgM anti-HBc may not detect all infected individuals. A nonreactive test result does not exclude the possibility of exposure to or infection with HBV.</w:t>
      </w:r>
    </w:p>
    <w:p w:rsidR="00A805AB" w:rsidRPr="0095785D" w:rsidRDefault="00A805AB" w:rsidP="00A805AB">
      <w:pPr>
        <w:pStyle w:val="ListParagraph"/>
        <w:numPr>
          <w:ilvl w:val="0"/>
          <w:numId w:val="20"/>
        </w:numPr>
        <w:autoSpaceDE w:val="0"/>
        <w:autoSpaceDN w:val="0"/>
        <w:adjustRightInd w:val="0"/>
        <w:rPr>
          <w:rFonts w:eastAsia="HelenPro-Regular"/>
        </w:rPr>
      </w:pPr>
      <w:r w:rsidRPr="0095785D">
        <w:rPr>
          <w:rFonts w:eastAsia="HelenPro-Regular"/>
        </w:rPr>
        <w:t>The ARCHITECT CORE-M assay is limited to the detection of IgM anti-HBc in human serum or plasma. It can be used to determine whether a patient has, or has recently had, acute or subclinical hepatitis B infection. Supportive clinical information, including other hepatitis B markers, should also be evaluated. The test cannot determine a patient’s immune status to hepatitis B.</w:t>
      </w:r>
    </w:p>
    <w:p w:rsidR="00E8215F" w:rsidRPr="0095785D" w:rsidRDefault="00A805AB" w:rsidP="00A805AB">
      <w:pPr>
        <w:pStyle w:val="ListParagraph"/>
        <w:numPr>
          <w:ilvl w:val="0"/>
          <w:numId w:val="20"/>
        </w:numPr>
        <w:autoSpaceDE w:val="0"/>
        <w:autoSpaceDN w:val="0"/>
        <w:adjustRightInd w:val="0"/>
        <w:rPr>
          <w:rFonts w:eastAsia="HelenPro-Regular"/>
        </w:rPr>
      </w:pPr>
      <w:r w:rsidRPr="0095785D">
        <w:rPr>
          <w:rFonts w:eastAsia="HelenPro-Regular"/>
        </w:rPr>
        <w:t>Specimens from patients with high levels of IgM (</w:t>
      </w:r>
      <w:r w:rsidRPr="0095785D">
        <w:rPr>
          <w:rFonts w:eastAsia="HelenPro-Regular"/>
          <w:i/>
          <w:iCs/>
        </w:rPr>
        <w:t>e.g.</w:t>
      </w:r>
      <w:r w:rsidRPr="0095785D">
        <w:rPr>
          <w:rFonts w:eastAsia="HelenPro-Regular"/>
        </w:rPr>
        <w:t>, specimens from patients with multiple myeloma) may show depressed values when tested with assay kits (such as ARCHITECT CORE-M) that use reagents containing anti</w:t>
      </w:r>
      <w:r w:rsidRPr="0095785D">
        <w:rPr>
          <w:rFonts w:ascii="MS Mincho" w:eastAsia="MS Mincho" w:hAnsi="MS Mincho" w:cs="MS Mincho" w:hint="eastAsia"/>
        </w:rPr>
        <w:t>‑</w:t>
      </w:r>
      <w:r w:rsidRPr="0095785D">
        <w:rPr>
          <w:rFonts w:eastAsia="HelenPro-Regular"/>
        </w:rPr>
        <w:t>human IgM.</w:t>
      </w:r>
    </w:p>
    <w:p w:rsidR="00531F75" w:rsidRPr="0095785D" w:rsidRDefault="00531F75" w:rsidP="00531F75">
      <w:pPr>
        <w:pStyle w:val="ListParagraph"/>
        <w:autoSpaceDE w:val="0"/>
        <w:autoSpaceDN w:val="0"/>
        <w:adjustRightInd w:val="0"/>
        <w:rPr>
          <w:rFonts w:eastAsia="HelenPro-Bold"/>
          <w:b/>
          <w:bCs/>
        </w:rPr>
      </w:pPr>
    </w:p>
    <w:p w:rsidR="00F95946" w:rsidRPr="0095785D" w:rsidRDefault="00F95946" w:rsidP="00F95946">
      <w:pPr>
        <w:autoSpaceDE w:val="0"/>
        <w:autoSpaceDN w:val="0"/>
        <w:adjustRightInd w:val="0"/>
        <w:rPr>
          <w:rFonts w:eastAsia="HelenPro-Bold"/>
          <w:b/>
          <w:bCs/>
        </w:rPr>
      </w:pPr>
      <w:r w:rsidRPr="0095785D">
        <w:rPr>
          <w:rFonts w:eastAsia="HelenPro-Bold"/>
          <w:b/>
          <w:bCs/>
        </w:rPr>
        <w:t>Interfering Substances</w:t>
      </w:r>
    </w:p>
    <w:p w:rsidR="00304229" w:rsidRPr="0095785D" w:rsidRDefault="00304229" w:rsidP="00304229">
      <w:pPr>
        <w:autoSpaceDE w:val="0"/>
        <w:autoSpaceDN w:val="0"/>
        <w:adjustRightInd w:val="0"/>
        <w:rPr>
          <w:rFonts w:eastAsia="HelenPro-Regular"/>
        </w:rPr>
      </w:pPr>
      <w:r w:rsidRPr="0095785D">
        <w:rPr>
          <w:rFonts w:eastAsia="HelenPro-Regular"/>
        </w:rPr>
        <w:t>At the concentrations listed below, bilirubin (conjugated and unconjugated), hemoglobin, total protein, and triglycerides showed less than 10% interference in the ARCHITECT CORE-M assay for high negative samples (S/CO range: 0.60 to 0.99) and low positive samples (S/CO range: 1.00 to 1.40):</w:t>
      </w:r>
    </w:p>
    <w:p w:rsidR="00304229" w:rsidRPr="0095785D" w:rsidRDefault="00304229" w:rsidP="00304229">
      <w:pPr>
        <w:autoSpaceDE w:val="0"/>
        <w:autoSpaceDN w:val="0"/>
        <w:adjustRightInd w:val="0"/>
        <w:rPr>
          <w:rFonts w:eastAsia="HelenPro-Regular"/>
        </w:rPr>
      </w:pPr>
      <w:r w:rsidRPr="0095785D">
        <w:rPr>
          <w:rFonts w:eastAsia="HelenPro-Bold"/>
          <w:b/>
          <w:bCs/>
        </w:rPr>
        <w:t xml:space="preserve">• </w:t>
      </w:r>
      <w:r w:rsidRPr="0095785D">
        <w:rPr>
          <w:rFonts w:eastAsia="HelenPro-Regular"/>
        </w:rPr>
        <w:t xml:space="preserve">Bilirubin </w:t>
      </w:r>
      <w:r w:rsidRPr="0095785D">
        <w:rPr>
          <w:rFonts w:eastAsia="HelenPro-Regular"/>
        </w:rPr>
        <w:tab/>
      </w:r>
      <w:r w:rsidRPr="0095785D">
        <w:rPr>
          <w:rFonts w:eastAsia="HelenPro-Regular"/>
        </w:rPr>
        <w:tab/>
      </w:r>
      <w:r w:rsidRPr="0095785D">
        <w:rPr>
          <w:rFonts w:eastAsia="HelenPro-Regular"/>
        </w:rPr>
        <w:tab/>
        <w:t>≤ 20 mg/dL</w:t>
      </w:r>
    </w:p>
    <w:p w:rsidR="00304229" w:rsidRPr="0095785D" w:rsidRDefault="00304229" w:rsidP="00304229">
      <w:pPr>
        <w:autoSpaceDE w:val="0"/>
        <w:autoSpaceDN w:val="0"/>
        <w:adjustRightInd w:val="0"/>
        <w:rPr>
          <w:rFonts w:eastAsia="HelenPro-Regular"/>
        </w:rPr>
      </w:pPr>
      <w:r w:rsidRPr="0095785D">
        <w:rPr>
          <w:rFonts w:eastAsia="HelenPro-Bold"/>
          <w:b/>
          <w:bCs/>
        </w:rPr>
        <w:t xml:space="preserve">• </w:t>
      </w:r>
      <w:r w:rsidRPr="0095785D">
        <w:rPr>
          <w:rFonts w:eastAsia="HelenPro-Regular"/>
        </w:rPr>
        <w:t xml:space="preserve">Hemoglobin </w:t>
      </w:r>
      <w:r w:rsidRPr="0095785D">
        <w:rPr>
          <w:rFonts w:eastAsia="HelenPro-Regular"/>
        </w:rPr>
        <w:tab/>
      </w:r>
      <w:r w:rsidRPr="0095785D">
        <w:rPr>
          <w:rFonts w:eastAsia="HelenPro-Regular"/>
        </w:rPr>
        <w:tab/>
      </w:r>
      <w:r w:rsidRPr="0095785D">
        <w:rPr>
          <w:rFonts w:eastAsia="HelenPro-Regular"/>
        </w:rPr>
        <w:tab/>
        <w:t>≤ 500 mg/dL</w:t>
      </w:r>
    </w:p>
    <w:p w:rsidR="00304229" w:rsidRPr="0095785D" w:rsidRDefault="00304229" w:rsidP="00304229">
      <w:pPr>
        <w:autoSpaceDE w:val="0"/>
        <w:autoSpaceDN w:val="0"/>
        <w:adjustRightInd w:val="0"/>
        <w:rPr>
          <w:rFonts w:eastAsia="HelenPro-Regular"/>
        </w:rPr>
      </w:pPr>
      <w:r w:rsidRPr="0095785D">
        <w:rPr>
          <w:rFonts w:eastAsia="HelenPro-Bold"/>
          <w:b/>
          <w:bCs/>
        </w:rPr>
        <w:t xml:space="preserve">• </w:t>
      </w:r>
      <w:r w:rsidRPr="0095785D">
        <w:rPr>
          <w:rFonts w:eastAsia="HelenPro-Regular"/>
        </w:rPr>
        <w:t xml:space="preserve">Total Protein </w:t>
      </w:r>
      <w:r w:rsidRPr="0095785D">
        <w:rPr>
          <w:rFonts w:eastAsia="HelenPro-Regular"/>
        </w:rPr>
        <w:tab/>
      </w:r>
      <w:r w:rsidRPr="0095785D">
        <w:rPr>
          <w:rFonts w:eastAsia="HelenPro-Regular"/>
        </w:rPr>
        <w:tab/>
        <w:t>≤ 12 g/dL</w:t>
      </w:r>
    </w:p>
    <w:p w:rsidR="005F4FCB" w:rsidRPr="0095785D" w:rsidRDefault="00304229" w:rsidP="00304229">
      <w:pPr>
        <w:autoSpaceDE w:val="0"/>
        <w:autoSpaceDN w:val="0"/>
        <w:adjustRightInd w:val="0"/>
        <w:rPr>
          <w:rFonts w:eastAsia="HelenPro-Regular"/>
        </w:rPr>
      </w:pPr>
      <w:r w:rsidRPr="0095785D">
        <w:rPr>
          <w:rFonts w:eastAsia="HelenPro-Bold"/>
          <w:b/>
          <w:bCs/>
        </w:rPr>
        <w:t xml:space="preserve">• </w:t>
      </w:r>
      <w:r w:rsidRPr="0095785D">
        <w:rPr>
          <w:rFonts w:eastAsia="HelenPro-Regular"/>
        </w:rPr>
        <w:t xml:space="preserve">Triglycerides </w:t>
      </w:r>
      <w:r w:rsidRPr="0095785D">
        <w:rPr>
          <w:rFonts w:eastAsia="HelenPro-Regular"/>
        </w:rPr>
        <w:tab/>
      </w:r>
      <w:r w:rsidRPr="0095785D">
        <w:rPr>
          <w:rFonts w:eastAsia="HelenPro-Regular"/>
        </w:rPr>
        <w:tab/>
        <w:t>≤ 3000 mg/dL</w:t>
      </w:r>
    </w:p>
    <w:p w:rsidR="00041A33" w:rsidRPr="0095785D" w:rsidRDefault="00041A33" w:rsidP="00D16B69">
      <w:pPr>
        <w:jc w:val="both"/>
        <w:rPr>
          <w:b/>
        </w:rPr>
      </w:pPr>
    </w:p>
    <w:p w:rsidR="002648A6" w:rsidRPr="0095785D" w:rsidRDefault="003356DF" w:rsidP="00D16B69">
      <w:pPr>
        <w:jc w:val="both"/>
        <w:rPr>
          <w:b/>
        </w:rPr>
      </w:pPr>
      <w:r w:rsidRPr="0095785D">
        <w:rPr>
          <w:b/>
        </w:rPr>
        <w:t>Specificity</w:t>
      </w:r>
    </w:p>
    <w:p w:rsidR="003356DF" w:rsidRPr="0095785D" w:rsidRDefault="00304229" w:rsidP="005F4FCB">
      <w:pPr>
        <w:autoSpaceDE w:val="0"/>
        <w:autoSpaceDN w:val="0"/>
        <w:adjustRightInd w:val="0"/>
        <w:rPr>
          <w:rFonts w:eastAsia="HelenPro-Regular"/>
        </w:rPr>
      </w:pPr>
      <w:r w:rsidRPr="0095785D">
        <w:rPr>
          <w:noProof/>
        </w:rPr>
        <w:lastRenderedPageBreak/>
        <w:drawing>
          <wp:inline distT="0" distB="0" distL="0" distR="0" wp14:anchorId="62E87B42" wp14:editId="0BCD88B2">
            <wp:extent cx="5943600" cy="4835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4835525"/>
                    </a:xfrm>
                    <a:prstGeom prst="rect">
                      <a:avLst/>
                    </a:prstGeom>
                  </pic:spPr>
                </pic:pic>
              </a:graphicData>
            </a:graphic>
          </wp:inline>
        </w:drawing>
      </w:r>
    </w:p>
    <w:p w:rsidR="00304229" w:rsidRPr="0095785D" w:rsidRDefault="00304229" w:rsidP="005F4FCB">
      <w:pPr>
        <w:autoSpaceDE w:val="0"/>
        <w:autoSpaceDN w:val="0"/>
        <w:adjustRightInd w:val="0"/>
        <w:rPr>
          <w:rFonts w:eastAsia="HelenPro-Regular"/>
        </w:rPr>
      </w:pPr>
      <w:r w:rsidRPr="0095785D">
        <w:rPr>
          <w:rFonts w:eastAsia="HelenPro-Regular"/>
        </w:rPr>
        <w:t xml:space="preserve">  </w:t>
      </w:r>
      <w:r w:rsidRPr="0095785D">
        <w:rPr>
          <w:noProof/>
        </w:rPr>
        <w:drawing>
          <wp:inline distT="0" distB="0" distL="0" distR="0" wp14:anchorId="6701BAF3" wp14:editId="486DF583">
            <wp:extent cx="5869172" cy="75946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69171" cy="759460"/>
                    </a:xfrm>
                    <a:prstGeom prst="rect">
                      <a:avLst/>
                    </a:prstGeom>
                  </pic:spPr>
                </pic:pic>
              </a:graphicData>
            </a:graphic>
          </wp:inline>
        </w:drawing>
      </w:r>
    </w:p>
    <w:p w:rsidR="005F4FCB" w:rsidRPr="0095785D" w:rsidRDefault="005F4FCB" w:rsidP="005F4FCB">
      <w:pPr>
        <w:autoSpaceDE w:val="0"/>
        <w:autoSpaceDN w:val="0"/>
        <w:adjustRightInd w:val="0"/>
        <w:rPr>
          <w:rFonts w:eastAsia="HelenPro-Regular"/>
        </w:rPr>
      </w:pPr>
    </w:p>
    <w:p w:rsidR="005F4FCB" w:rsidRPr="0095785D" w:rsidRDefault="005F4FCB" w:rsidP="00D16B69">
      <w:pPr>
        <w:jc w:val="both"/>
        <w:rPr>
          <w:b/>
        </w:rPr>
      </w:pPr>
    </w:p>
    <w:p w:rsidR="005F4FCB" w:rsidRPr="0095785D" w:rsidRDefault="005F4FCB" w:rsidP="00D16B69">
      <w:pPr>
        <w:jc w:val="both"/>
        <w:rPr>
          <w:b/>
        </w:rPr>
      </w:pPr>
    </w:p>
    <w:p w:rsidR="00304229" w:rsidRPr="0095785D" w:rsidRDefault="00304229" w:rsidP="00D16B69">
      <w:pPr>
        <w:jc w:val="both"/>
        <w:rPr>
          <w:b/>
        </w:rPr>
      </w:pPr>
    </w:p>
    <w:p w:rsidR="00304229" w:rsidRPr="0095785D" w:rsidRDefault="00304229" w:rsidP="00D16B69">
      <w:pPr>
        <w:jc w:val="both"/>
        <w:rPr>
          <w:b/>
        </w:rPr>
      </w:pPr>
    </w:p>
    <w:p w:rsidR="00304229" w:rsidRPr="0095785D" w:rsidRDefault="00304229" w:rsidP="00D16B69">
      <w:pPr>
        <w:jc w:val="both"/>
        <w:rPr>
          <w:b/>
        </w:rPr>
      </w:pPr>
    </w:p>
    <w:p w:rsidR="00041A33" w:rsidRPr="0095785D" w:rsidRDefault="00041A33" w:rsidP="00D16B69">
      <w:pPr>
        <w:jc w:val="both"/>
        <w:rPr>
          <w:b/>
        </w:rPr>
      </w:pPr>
    </w:p>
    <w:p w:rsidR="00041A33" w:rsidRPr="0095785D" w:rsidRDefault="00041A33" w:rsidP="00D16B69">
      <w:pPr>
        <w:jc w:val="both"/>
        <w:rPr>
          <w:b/>
        </w:rPr>
      </w:pPr>
    </w:p>
    <w:p w:rsidR="00041A33" w:rsidRPr="0095785D" w:rsidRDefault="00041A33" w:rsidP="00D16B69">
      <w:pPr>
        <w:jc w:val="both"/>
        <w:rPr>
          <w:b/>
        </w:rPr>
      </w:pPr>
    </w:p>
    <w:p w:rsidR="005B1BF7" w:rsidRPr="0095785D" w:rsidRDefault="005B1BF7" w:rsidP="00D16B69">
      <w:pPr>
        <w:jc w:val="both"/>
        <w:rPr>
          <w:b/>
        </w:rPr>
      </w:pPr>
    </w:p>
    <w:p w:rsidR="00D16B69" w:rsidRPr="0095785D" w:rsidRDefault="00D16B69" w:rsidP="00D16B69">
      <w:pPr>
        <w:jc w:val="both"/>
        <w:rPr>
          <w:b/>
        </w:rPr>
      </w:pPr>
      <w:r w:rsidRPr="0095785D">
        <w:rPr>
          <w:b/>
        </w:rPr>
        <w:t>References:</w:t>
      </w:r>
      <w:r w:rsidR="00973EAF" w:rsidRPr="0095785D">
        <w:rPr>
          <w:b/>
        </w:rPr>
        <w:t xml:space="preserve"> </w:t>
      </w:r>
    </w:p>
    <w:p w:rsidR="000A13F2" w:rsidRPr="0095785D" w:rsidRDefault="000A13F2" w:rsidP="00030CDD">
      <w:pPr>
        <w:pStyle w:val="ListParagraph"/>
        <w:numPr>
          <w:ilvl w:val="0"/>
          <w:numId w:val="4"/>
        </w:numPr>
        <w:rPr>
          <w:sz w:val="22"/>
          <w:szCs w:val="22"/>
        </w:rPr>
      </w:pPr>
      <w:r w:rsidRPr="0095785D">
        <w:rPr>
          <w:sz w:val="22"/>
          <w:szCs w:val="22"/>
        </w:rPr>
        <w:t xml:space="preserve">ABBOTT ARCHITECT </w:t>
      </w:r>
      <w:r w:rsidR="006A71AF" w:rsidRPr="0095785D">
        <w:rPr>
          <w:sz w:val="22"/>
          <w:szCs w:val="22"/>
        </w:rPr>
        <w:t>Core</w:t>
      </w:r>
      <w:r w:rsidR="00304229" w:rsidRPr="0095785D">
        <w:rPr>
          <w:sz w:val="22"/>
          <w:szCs w:val="22"/>
        </w:rPr>
        <w:t>-M</w:t>
      </w:r>
      <w:r w:rsidRPr="0095785D">
        <w:rPr>
          <w:sz w:val="22"/>
          <w:szCs w:val="22"/>
        </w:rPr>
        <w:t xml:space="preserve"> package insert</w:t>
      </w:r>
    </w:p>
    <w:p w:rsidR="000A13F2" w:rsidRPr="0095785D" w:rsidRDefault="000A13F2" w:rsidP="000A13F2">
      <w:pPr>
        <w:pStyle w:val="ListParagraph"/>
        <w:rPr>
          <w:sz w:val="22"/>
          <w:szCs w:val="22"/>
        </w:rPr>
      </w:pPr>
      <w:r w:rsidRPr="0095785D">
        <w:rPr>
          <w:sz w:val="22"/>
          <w:szCs w:val="22"/>
        </w:rPr>
        <w:t>Abbott Laboratories</w:t>
      </w:r>
    </w:p>
    <w:p w:rsidR="000A13F2" w:rsidRPr="0095785D" w:rsidRDefault="000A13F2" w:rsidP="000A13F2">
      <w:pPr>
        <w:pStyle w:val="ListParagraph"/>
        <w:rPr>
          <w:sz w:val="22"/>
          <w:szCs w:val="22"/>
        </w:rPr>
      </w:pPr>
      <w:r w:rsidRPr="0095785D">
        <w:rPr>
          <w:sz w:val="22"/>
          <w:szCs w:val="22"/>
        </w:rPr>
        <w:t>Diagnostics Division</w:t>
      </w:r>
    </w:p>
    <w:p w:rsidR="000A13F2" w:rsidRPr="0095785D" w:rsidRDefault="000A13F2" w:rsidP="000A13F2">
      <w:pPr>
        <w:pStyle w:val="ListParagraph"/>
        <w:rPr>
          <w:sz w:val="22"/>
          <w:szCs w:val="22"/>
        </w:rPr>
      </w:pPr>
      <w:r w:rsidRPr="0095785D">
        <w:rPr>
          <w:sz w:val="22"/>
          <w:szCs w:val="22"/>
        </w:rPr>
        <w:lastRenderedPageBreak/>
        <w:t>Abbott Park, IL  60064</w:t>
      </w:r>
    </w:p>
    <w:p w:rsidR="00425BA0" w:rsidRPr="0095785D" w:rsidRDefault="00304229" w:rsidP="00425BA0">
      <w:pPr>
        <w:pStyle w:val="ListParagraph"/>
        <w:rPr>
          <w:rFonts w:eastAsia="HelenPro-Bold"/>
          <w:b/>
          <w:bCs/>
          <w:sz w:val="20"/>
          <w:szCs w:val="20"/>
        </w:rPr>
      </w:pPr>
      <w:r w:rsidRPr="0095785D">
        <w:rPr>
          <w:bCs/>
          <w:sz w:val="22"/>
          <w:szCs w:val="22"/>
        </w:rPr>
        <w:t>May</w:t>
      </w:r>
      <w:r w:rsidR="0074336C" w:rsidRPr="0095785D">
        <w:rPr>
          <w:bCs/>
          <w:sz w:val="22"/>
          <w:szCs w:val="22"/>
        </w:rPr>
        <w:t xml:space="preserve"> 201</w:t>
      </w:r>
      <w:r w:rsidRPr="0095785D">
        <w:rPr>
          <w:bCs/>
          <w:sz w:val="22"/>
          <w:szCs w:val="22"/>
        </w:rPr>
        <w:t>2</w:t>
      </w:r>
      <w:r w:rsidR="000A13F2" w:rsidRPr="0095785D">
        <w:rPr>
          <w:bCs/>
          <w:sz w:val="22"/>
          <w:szCs w:val="22"/>
        </w:rPr>
        <w:t xml:space="preserve"> </w:t>
      </w:r>
      <w:r w:rsidRPr="0095785D">
        <w:rPr>
          <w:rFonts w:eastAsia="HelenPro-Bold"/>
          <w:bCs/>
        </w:rPr>
        <w:t>G2-6110</w:t>
      </w:r>
      <w:r w:rsidR="006A71AF" w:rsidRPr="0095785D">
        <w:rPr>
          <w:rFonts w:eastAsia="HelenPro-Bold"/>
        </w:rPr>
        <w:t xml:space="preserve">/ </w:t>
      </w:r>
      <w:r w:rsidR="006A71AF" w:rsidRPr="0095785D">
        <w:rPr>
          <w:rFonts w:eastAsia="HelenPro-Bold"/>
          <w:bCs/>
        </w:rPr>
        <w:t>R05</w:t>
      </w:r>
    </w:p>
    <w:p w:rsidR="000A13F2" w:rsidRPr="0095785D" w:rsidRDefault="000A13F2" w:rsidP="00425BA0">
      <w:pPr>
        <w:pStyle w:val="ListParagraph"/>
        <w:numPr>
          <w:ilvl w:val="0"/>
          <w:numId w:val="4"/>
        </w:numPr>
        <w:rPr>
          <w:rFonts w:eastAsia="HelenPro-Bold"/>
          <w:b/>
          <w:bCs/>
          <w:sz w:val="20"/>
          <w:szCs w:val="20"/>
        </w:rPr>
      </w:pPr>
      <w:r w:rsidRPr="0095785D">
        <w:rPr>
          <w:sz w:val="22"/>
          <w:szCs w:val="22"/>
        </w:rPr>
        <w:t xml:space="preserve">ABBOTT ARCHITECT </w:t>
      </w:r>
      <w:r w:rsidR="006A71AF" w:rsidRPr="0095785D">
        <w:rPr>
          <w:sz w:val="22"/>
          <w:szCs w:val="22"/>
        </w:rPr>
        <w:t>Core</w:t>
      </w:r>
      <w:r w:rsidR="00304229" w:rsidRPr="0095785D">
        <w:rPr>
          <w:sz w:val="22"/>
          <w:szCs w:val="22"/>
        </w:rPr>
        <w:t>-M</w:t>
      </w:r>
      <w:r w:rsidR="00871834" w:rsidRPr="0095785D">
        <w:rPr>
          <w:sz w:val="22"/>
          <w:szCs w:val="22"/>
        </w:rPr>
        <w:t xml:space="preserve"> </w:t>
      </w:r>
      <w:r w:rsidRPr="0095785D">
        <w:rPr>
          <w:sz w:val="22"/>
          <w:szCs w:val="22"/>
        </w:rPr>
        <w:t>Calibrator package insert</w:t>
      </w:r>
    </w:p>
    <w:p w:rsidR="000A13F2" w:rsidRPr="0095785D" w:rsidRDefault="000A13F2" w:rsidP="000A13F2">
      <w:pPr>
        <w:pStyle w:val="ListParagraph"/>
        <w:rPr>
          <w:sz w:val="22"/>
          <w:szCs w:val="22"/>
        </w:rPr>
      </w:pPr>
      <w:r w:rsidRPr="0095785D">
        <w:rPr>
          <w:sz w:val="22"/>
          <w:szCs w:val="22"/>
        </w:rPr>
        <w:t>Abbott Laboratories</w:t>
      </w:r>
    </w:p>
    <w:p w:rsidR="000A13F2" w:rsidRPr="0095785D" w:rsidRDefault="000A13F2" w:rsidP="000A13F2">
      <w:pPr>
        <w:pStyle w:val="ListParagraph"/>
        <w:rPr>
          <w:sz w:val="22"/>
          <w:szCs w:val="22"/>
        </w:rPr>
      </w:pPr>
      <w:r w:rsidRPr="0095785D">
        <w:rPr>
          <w:sz w:val="22"/>
          <w:szCs w:val="22"/>
        </w:rPr>
        <w:t>Diagnostics Division</w:t>
      </w:r>
    </w:p>
    <w:p w:rsidR="000A13F2" w:rsidRPr="0095785D" w:rsidRDefault="000A13F2" w:rsidP="000A13F2">
      <w:pPr>
        <w:pStyle w:val="ListParagraph"/>
        <w:rPr>
          <w:sz w:val="22"/>
          <w:szCs w:val="22"/>
        </w:rPr>
      </w:pPr>
      <w:r w:rsidRPr="0095785D">
        <w:rPr>
          <w:sz w:val="22"/>
          <w:szCs w:val="22"/>
        </w:rPr>
        <w:t>Abbott Park, IL  60064</w:t>
      </w:r>
    </w:p>
    <w:p w:rsidR="00881923" w:rsidRPr="0095785D" w:rsidRDefault="000A13F2" w:rsidP="00030CDD">
      <w:pPr>
        <w:pStyle w:val="ListParagraph"/>
        <w:numPr>
          <w:ilvl w:val="0"/>
          <w:numId w:val="4"/>
        </w:numPr>
        <w:spacing w:after="72"/>
        <w:jc w:val="both"/>
      </w:pPr>
      <w:r w:rsidRPr="0095785D">
        <w:t>Abbott ARCHITECT</w:t>
      </w:r>
      <w:r w:rsidR="00D16B69" w:rsidRPr="0095785D">
        <w:rPr>
          <w:lang w:val="ru-RU"/>
        </w:rPr>
        <w:t xml:space="preserve"> Operator’s Guide</w:t>
      </w:r>
    </w:p>
    <w:p w:rsidR="00AB5354" w:rsidRPr="0095785D" w:rsidRDefault="00AB5354" w:rsidP="0009322F">
      <w:pPr>
        <w:rPr>
          <w:b/>
        </w:rPr>
      </w:pPr>
    </w:p>
    <w:p w:rsidR="00173EA4" w:rsidRPr="0095785D" w:rsidRDefault="00173EA4" w:rsidP="00246FA8">
      <w:pPr>
        <w:rPr>
          <w:b/>
        </w:rPr>
      </w:pPr>
    </w:p>
    <w:p w:rsidR="00173EA4" w:rsidRPr="0095785D" w:rsidRDefault="00173EA4" w:rsidP="00246FA8">
      <w:pPr>
        <w:rPr>
          <w:b/>
        </w:rPr>
      </w:pPr>
    </w:p>
    <w:p w:rsidR="00173EA4" w:rsidRPr="0095785D" w:rsidRDefault="00173EA4"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p>
    <w:sectPr w:rsidR="00D16B69" w:rsidSect="00507B0C">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6C" w:rsidRDefault="00AC4D6C">
      <w:r>
        <w:separator/>
      </w:r>
    </w:p>
  </w:endnote>
  <w:endnote w:type="continuationSeparator" w:id="0">
    <w:p w:rsidR="00AC4D6C" w:rsidRDefault="00AC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MS Gothic"/>
    <w:panose1 w:val="00000000000000000000"/>
    <w:charset w:val="80"/>
    <w:family w:val="swiss"/>
    <w:notTrueType/>
    <w:pitch w:val="default"/>
    <w:sig w:usb0="00000000"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0" w:rsidRDefault="00CD7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732895">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300172">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300172">
      <w:rPr>
        <w:noProof/>
        <w:sz w:val="20"/>
        <w:szCs w:val="20"/>
      </w:rPr>
      <w:t>11</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0" w:rsidRDefault="00CD7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6C" w:rsidRDefault="00AC4D6C">
      <w:r>
        <w:separator/>
      </w:r>
    </w:p>
  </w:footnote>
  <w:footnote w:type="continuationSeparator" w:id="0">
    <w:p w:rsidR="00AC4D6C" w:rsidRDefault="00AC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0" w:rsidRDefault="00CD7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Pr>
        <w:b/>
        <w:sz w:val="20"/>
        <w:szCs w:val="20"/>
      </w:rPr>
      <w:t>Proc#</w:t>
    </w:r>
    <w:r w:rsidR="007D3C66">
      <w:rPr>
        <w:b/>
        <w:sz w:val="20"/>
        <w:szCs w:val="20"/>
      </w:rPr>
      <w:t xml:space="preserve"> 4840-CH-</w:t>
    </w:r>
    <w:r w:rsidR="00CD71C0">
      <w:rPr>
        <w:b/>
        <w:sz w:val="20"/>
        <w:szCs w:val="20"/>
      </w:rPr>
      <w:t>177</w:t>
    </w:r>
  </w:p>
  <w:p w:rsidR="00B54C79" w:rsidRDefault="00B54C79" w:rsidP="00100BF8">
    <w:pPr>
      <w:jc w:val="right"/>
      <w:rPr>
        <w:sz w:val="20"/>
        <w:szCs w:val="20"/>
      </w:rPr>
    </w:pPr>
    <w:r>
      <w:rPr>
        <w:sz w:val="20"/>
        <w:szCs w:val="20"/>
      </w:rPr>
      <w:t xml:space="preserve">ARCHITECT </w:t>
    </w:r>
    <w:r w:rsidR="006A71AF">
      <w:rPr>
        <w:sz w:val="20"/>
        <w:szCs w:val="20"/>
      </w:rPr>
      <w:t>Core</w:t>
    </w:r>
    <w:r w:rsidR="00732895">
      <w:rPr>
        <w:sz w:val="20"/>
        <w:szCs w:val="20"/>
      </w:rPr>
      <w: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0" w:rsidRDefault="00CD7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AA59D3"/>
    <w:multiLevelType w:val="hybridMultilevel"/>
    <w:tmpl w:val="5C8AB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7B8D"/>
    <w:multiLevelType w:val="hybridMultilevel"/>
    <w:tmpl w:val="F240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6275A"/>
    <w:multiLevelType w:val="hybridMultilevel"/>
    <w:tmpl w:val="BA9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2A77C0"/>
    <w:multiLevelType w:val="hybridMultilevel"/>
    <w:tmpl w:val="8E38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2703B"/>
    <w:multiLevelType w:val="hybridMultilevel"/>
    <w:tmpl w:val="D35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nsid w:val="6F4D28C7"/>
    <w:multiLevelType w:val="hybridMultilevel"/>
    <w:tmpl w:val="422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7"/>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7"/>
  </w:num>
  <w:num w:numId="8">
    <w:abstractNumId w:val="0"/>
  </w:num>
  <w:num w:numId="9">
    <w:abstractNumId w:val="21"/>
  </w:num>
  <w:num w:numId="10">
    <w:abstractNumId w:val="15"/>
  </w:num>
  <w:num w:numId="11">
    <w:abstractNumId w:val="20"/>
  </w:num>
  <w:num w:numId="12">
    <w:abstractNumId w:val="1"/>
  </w:num>
  <w:num w:numId="13">
    <w:abstractNumId w:val="8"/>
  </w:num>
  <w:num w:numId="14">
    <w:abstractNumId w:val="12"/>
  </w:num>
  <w:num w:numId="15">
    <w:abstractNumId w:val="28"/>
  </w:num>
  <w:num w:numId="16">
    <w:abstractNumId w:val="16"/>
  </w:num>
  <w:num w:numId="17">
    <w:abstractNumId w:val="4"/>
  </w:num>
  <w:num w:numId="18">
    <w:abstractNumId w:val="22"/>
  </w:num>
  <w:num w:numId="19">
    <w:abstractNumId w:val="6"/>
  </w:num>
  <w:num w:numId="20">
    <w:abstractNumId w:val="9"/>
  </w:num>
  <w:num w:numId="21">
    <w:abstractNumId w:val="5"/>
  </w:num>
  <w:num w:numId="22">
    <w:abstractNumId w:val="17"/>
  </w:num>
  <w:num w:numId="23">
    <w:abstractNumId w:val="3"/>
  </w:num>
  <w:num w:numId="24">
    <w:abstractNumId w:val="23"/>
  </w:num>
  <w:num w:numId="25">
    <w:abstractNumId w:val="26"/>
  </w:num>
  <w:num w:numId="26">
    <w:abstractNumId w:val="11"/>
  </w:num>
  <w:num w:numId="27">
    <w:abstractNumId w:val="19"/>
  </w:num>
  <w:num w:numId="28">
    <w:abstractNumId w:val="18"/>
  </w:num>
  <w:num w:numId="29">
    <w:abstractNumId w:val="2"/>
  </w:num>
  <w:num w:numId="3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1CC7"/>
    <w:rsid w:val="001D3841"/>
    <w:rsid w:val="001D6AE0"/>
    <w:rsid w:val="001E079E"/>
    <w:rsid w:val="001E417C"/>
    <w:rsid w:val="001F32A9"/>
    <w:rsid w:val="001F6B7B"/>
    <w:rsid w:val="002056B4"/>
    <w:rsid w:val="00211DD8"/>
    <w:rsid w:val="00246FA8"/>
    <w:rsid w:val="0025031C"/>
    <w:rsid w:val="00253C1F"/>
    <w:rsid w:val="00255C54"/>
    <w:rsid w:val="002648A6"/>
    <w:rsid w:val="002649AA"/>
    <w:rsid w:val="002746A8"/>
    <w:rsid w:val="00282F16"/>
    <w:rsid w:val="00294A08"/>
    <w:rsid w:val="002B0D2A"/>
    <w:rsid w:val="002B1993"/>
    <w:rsid w:val="002C0E55"/>
    <w:rsid w:val="002C2F49"/>
    <w:rsid w:val="002C7FD5"/>
    <w:rsid w:val="002D18CA"/>
    <w:rsid w:val="002D2075"/>
    <w:rsid w:val="002D370D"/>
    <w:rsid w:val="002D38DF"/>
    <w:rsid w:val="002D70E2"/>
    <w:rsid w:val="002E679B"/>
    <w:rsid w:val="002F52E0"/>
    <w:rsid w:val="00300172"/>
    <w:rsid w:val="00304229"/>
    <w:rsid w:val="003056A7"/>
    <w:rsid w:val="00317056"/>
    <w:rsid w:val="003356DF"/>
    <w:rsid w:val="00340B1A"/>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504D"/>
    <w:rsid w:val="00436811"/>
    <w:rsid w:val="0044058F"/>
    <w:rsid w:val="00442426"/>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3E74"/>
    <w:rsid w:val="00507B0C"/>
    <w:rsid w:val="00531F75"/>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5F4FCB"/>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A71AF"/>
    <w:rsid w:val="006B0A70"/>
    <w:rsid w:val="006B3C65"/>
    <w:rsid w:val="006D28ED"/>
    <w:rsid w:val="006D40ED"/>
    <w:rsid w:val="006E5155"/>
    <w:rsid w:val="006E6E5C"/>
    <w:rsid w:val="006F7F4F"/>
    <w:rsid w:val="00714B7D"/>
    <w:rsid w:val="00714F24"/>
    <w:rsid w:val="00715D55"/>
    <w:rsid w:val="00732895"/>
    <w:rsid w:val="00742830"/>
    <w:rsid w:val="0074336C"/>
    <w:rsid w:val="007703C0"/>
    <w:rsid w:val="007840DD"/>
    <w:rsid w:val="007B09E3"/>
    <w:rsid w:val="007B0CCE"/>
    <w:rsid w:val="007B247B"/>
    <w:rsid w:val="007D2CFE"/>
    <w:rsid w:val="007D3C66"/>
    <w:rsid w:val="007E4CE6"/>
    <w:rsid w:val="007E6C3C"/>
    <w:rsid w:val="0080146D"/>
    <w:rsid w:val="008036AC"/>
    <w:rsid w:val="00804822"/>
    <w:rsid w:val="00812CCF"/>
    <w:rsid w:val="00816ACE"/>
    <w:rsid w:val="00833E15"/>
    <w:rsid w:val="00841397"/>
    <w:rsid w:val="00846F9F"/>
    <w:rsid w:val="00847607"/>
    <w:rsid w:val="00861504"/>
    <w:rsid w:val="00863AA4"/>
    <w:rsid w:val="00864220"/>
    <w:rsid w:val="00871834"/>
    <w:rsid w:val="00880FDF"/>
    <w:rsid w:val="0088112F"/>
    <w:rsid w:val="00881923"/>
    <w:rsid w:val="0088257A"/>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389D"/>
    <w:rsid w:val="00924B1D"/>
    <w:rsid w:val="00926E1B"/>
    <w:rsid w:val="009318E8"/>
    <w:rsid w:val="009467CE"/>
    <w:rsid w:val="00951C8E"/>
    <w:rsid w:val="00952933"/>
    <w:rsid w:val="00953BF2"/>
    <w:rsid w:val="0095785D"/>
    <w:rsid w:val="00964971"/>
    <w:rsid w:val="00973EAF"/>
    <w:rsid w:val="00980C01"/>
    <w:rsid w:val="009841EC"/>
    <w:rsid w:val="009A4991"/>
    <w:rsid w:val="009B4C90"/>
    <w:rsid w:val="009C117A"/>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77001"/>
    <w:rsid w:val="00A805AB"/>
    <w:rsid w:val="00A81234"/>
    <w:rsid w:val="00A82E30"/>
    <w:rsid w:val="00A911E0"/>
    <w:rsid w:val="00A92E30"/>
    <w:rsid w:val="00AA271B"/>
    <w:rsid w:val="00AA5F66"/>
    <w:rsid w:val="00AA7423"/>
    <w:rsid w:val="00AA7B6F"/>
    <w:rsid w:val="00AB5354"/>
    <w:rsid w:val="00AB793D"/>
    <w:rsid w:val="00AC0E64"/>
    <w:rsid w:val="00AC4D6C"/>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793D"/>
    <w:rsid w:val="00BA0054"/>
    <w:rsid w:val="00BC1EC4"/>
    <w:rsid w:val="00BC76E2"/>
    <w:rsid w:val="00BE40A6"/>
    <w:rsid w:val="00BF32B2"/>
    <w:rsid w:val="00C32412"/>
    <w:rsid w:val="00C3571A"/>
    <w:rsid w:val="00C46D5D"/>
    <w:rsid w:val="00C53E37"/>
    <w:rsid w:val="00C63D0C"/>
    <w:rsid w:val="00C63D9F"/>
    <w:rsid w:val="00C90E57"/>
    <w:rsid w:val="00C912E2"/>
    <w:rsid w:val="00C967D5"/>
    <w:rsid w:val="00CA11D0"/>
    <w:rsid w:val="00CA5058"/>
    <w:rsid w:val="00CB3246"/>
    <w:rsid w:val="00CC2751"/>
    <w:rsid w:val="00CC37B4"/>
    <w:rsid w:val="00CC3D62"/>
    <w:rsid w:val="00CD71C0"/>
    <w:rsid w:val="00CE2DC7"/>
    <w:rsid w:val="00CF7868"/>
    <w:rsid w:val="00D006C7"/>
    <w:rsid w:val="00D16262"/>
    <w:rsid w:val="00D16B69"/>
    <w:rsid w:val="00D27C5A"/>
    <w:rsid w:val="00D339B0"/>
    <w:rsid w:val="00D5070C"/>
    <w:rsid w:val="00D50F05"/>
    <w:rsid w:val="00D51823"/>
    <w:rsid w:val="00D5211B"/>
    <w:rsid w:val="00D60AFA"/>
    <w:rsid w:val="00D64E39"/>
    <w:rsid w:val="00D70A7B"/>
    <w:rsid w:val="00D71AF7"/>
    <w:rsid w:val="00D73BF8"/>
    <w:rsid w:val="00D77B64"/>
    <w:rsid w:val="00D80968"/>
    <w:rsid w:val="00D84ADA"/>
    <w:rsid w:val="00D900C3"/>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7C43"/>
    <w:rsid w:val="00E12522"/>
    <w:rsid w:val="00E12AF4"/>
    <w:rsid w:val="00E30C56"/>
    <w:rsid w:val="00E36B73"/>
    <w:rsid w:val="00E40388"/>
    <w:rsid w:val="00E438CD"/>
    <w:rsid w:val="00E44BED"/>
    <w:rsid w:val="00E4787B"/>
    <w:rsid w:val="00E50643"/>
    <w:rsid w:val="00E70BBC"/>
    <w:rsid w:val="00E8215F"/>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428E9"/>
    <w:rsid w:val="00F524E8"/>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1994-0F35-4CDE-89FD-B083CF24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2362</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15826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5</cp:revision>
  <cp:lastPrinted>2012-02-10T12:42:00Z</cp:lastPrinted>
  <dcterms:created xsi:type="dcterms:W3CDTF">2018-09-05T17:58:00Z</dcterms:created>
  <dcterms:modified xsi:type="dcterms:W3CDTF">2018-10-24T17:52:00Z</dcterms:modified>
</cp:coreProperties>
</file>