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455E96" w:rsidRDefault="008F3171">
      <w:pPr>
        <w:rPr>
          <w:b/>
        </w:rPr>
      </w:pPr>
      <w:bookmarkStart w:id="0" w:name="_GoBack"/>
      <w:r w:rsidRPr="00455E96">
        <w:rPr>
          <w:noProof/>
        </w:rPr>
        <w:drawing>
          <wp:inline distT="0" distB="0" distL="0" distR="0" wp14:anchorId="06367972" wp14:editId="72DDB7E5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71" w:rsidRPr="00455E96" w:rsidRDefault="008F3171">
      <w:pPr>
        <w:rPr>
          <w:b/>
        </w:rPr>
      </w:pPr>
    </w:p>
    <w:p w:rsidR="00D006C7" w:rsidRPr="00455E96" w:rsidRDefault="00715D55" w:rsidP="006107A2">
      <w:pPr>
        <w:jc w:val="center"/>
        <w:rPr>
          <w:rFonts w:eastAsia="HelenPro-Regular"/>
          <w:b/>
          <w:sz w:val="28"/>
          <w:szCs w:val="28"/>
        </w:rPr>
      </w:pPr>
      <w:r w:rsidRPr="00455E96">
        <w:rPr>
          <w:rFonts w:eastAsia="HelenPro-Regular"/>
          <w:b/>
          <w:sz w:val="28"/>
          <w:szCs w:val="28"/>
        </w:rPr>
        <w:t>COMPLEMENT C4</w:t>
      </w:r>
    </w:p>
    <w:p w:rsidR="0056023B" w:rsidRPr="00455E96" w:rsidRDefault="004A2AA3" w:rsidP="006107A2">
      <w:pPr>
        <w:jc w:val="center"/>
        <w:rPr>
          <w:b/>
          <w:sz w:val="28"/>
          <w:szCs w:val="28"/>
        </w:rPr>
      </w:pPr>
      <w:r w:rsidRPr="00455E96">
        <w:rPr>
          <w:b/>
          <w:sz w:val="28"/>
          <w:szCs w:val="28"/>
        </w:rPr>
        <w:t>SERUM</w:t>
      </w:r>
      <w:r w:rsidR="00C32412" w:rsidRPr="00455E96">
        <w:rPr>
          <w:b/>
          <w:sz w:val="28"/>
          <w:szCs w:val="28"/>
        </w:rPr>
        <w:t xml:space="preserve"> OR PLASMA</w:t>
      </w:r>
    </w:p>
    <w:p w:rsidR="006107A2" w:rsidRPr="00455E96" w:rsidRDefault="0088112F" w:rsidP="006107A2">
      <w:pPr>
        <w:jc w:val="center"/>
        <w:rPr>
          <w:b/>
          <w:caps/>
          <w:sz w:val="28"/>
          <w:szCs w:val="28"/>
        </w:rPr>
      </w:pPr>
      <w:r w:rsidRPr="00455E96">
        <w:rPr>
          <w:b/>
          <w:caps/>
          <w:sz w:val="28"/>
          <w:szCs w:val="28"/>
        </w:rPr>
        <w:t>ABBOTT ARCHITECT</w:t>
      </w:r>
    </w:p>
    <w:p w:rsidR="006559EB" w:rsidRPr="00455E96" w:rsidRDefault="006559EB" w:rsidP="006559EB">
      <w:pPr>
        <w:rPr>
          <w:b/>
          <w:sz w:val="28"/>
          <w:szCs w:val="28"/>
        </w:rPr>
      </w:pPr>
    </w:p>
    <w:p w:rsidR="008A7F96" w:rsidRPr="00455E96" w:rsidRDefault="008A7F96" w:rsidP="008A7F96">
      <w:pPr>
        <w:rPr>
          <w:b/>
          <w:color w:val="FF0000"/>
          <w:sz w:val="28"/>
          <w:szCs w:val="28"/>
        </w:rPr>
      </w:pPr>
      <w:r w:rsidRPr="00455E96">
        <w:rPr>
          <w:b/>
          <w:sz w:val="28"/>
          <w:szCs w:val="28"/>
        </w:rPr>
        <w:t xml:space="preserve">Intended Use </w:t>
      </w:r>
    </w:p>
    <w:p w:rsidR="004A03BD" w:rsidRPr="00455E96" w:rsidRDefault="00715D55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The Complement C4 (C4</w:t>
      </w:r>
      <w:r w:rsidR="00C63D9F" w:rsidRPr="00455E96">
        <w:rPr>
          <w:rFonts w:eastAsia="HelenPro-Regular"/>
        </w:rPr>
        <w:t>) assay is use</w:t>
      </w:r>
      <w:r w:rsidRPr="00455E96">
        <w:rPr>
          <w:rFonts w:eastAsia="HelenPro-Regular"/>
        </w:rPr>
        <w:t>d for the quantitation of C4</w:t>
      </w:r>
      <w:r w:rsidR="002C2F49" w:rsidRPr="00455E96">
        <w:rPr>
          <w:rFonts w:eastAsia="HelenPro-Regular"/>
        </w:rPr>
        <w:t xml:space="preserve"> in </w:t>
      </w:r>
      <w:r w:rsidR="00C63D9F" w:rsidRPr="00455E96">
        <w:rPr>
          <w:rFonts w:eastAsia="HelenPro-Regular"/>
        </w:rPr>
        <w:t>human serum or plasma.</w:t>
      </w:r>
    </w:p>
    <w:p w:rsidR="00DC16C5" w:rsidRPr="00455E96" w:rsidRDefault="00DC16C5" w:rsidP="00DC16C5">
      <w:pPr>
        <w:jc w:val="both"/>
        <w:rPr>
          <w:b/>
        </w:rPr>
      </w:pPr>
    </w:p>
    <w:p w:rsidR="0009322F" w:rsidRPr="00455E96" w:rsidRDefault="006559EB" w:rsidP="006107A2">
      <w:pPr>
        <w:jc w:val="both"/>
        <w:rPr>
          <w:sz w:val="28"/>
          <w:szCs w:val="28"/>
        </w:rPr>
      </w:pPr>
      <w:r w:rsidRPr="00455E96">
        <w:rPr>
          <w:b/>
          <w:sz w:val="28"/>
          <w:szCs w:val="28"/>
        </w:rPr>
        <w:t>Clinical Significance</w:t>
      </w:r>
      <w:r w:rsidR="006107A2" w:rsidRPr="00455E96">
        <w:rPr>
          <w:sz w:val="28"/>
          <w:szCs w:val="28"/>
        </w:rPr>
        <w:t xml:space="preserve"> </w:t>
      </w:r>
    </w:p>
    <w:p w:rsidR="00715D5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All complement proteins are acute p</w:t>
      </w:r>
      <w:r w:rsidR="003D447C" w:rsidRPr="00455E96">
        <w:rPr>
          <w:rFonts w:eastAsia="HelenPro-Regular"/>
          <w:color w:val="231F20"/>
        </w:rPr>
        <w:t xml:space="preserve">hase reactants and rise rapidly </w:t>
      </w:r>
      <w:r w:rsidRPr="00455E96">
        <w:rPr>
          <w:rFonts w:eastAsia="HelenPro-Regular"/>
          <w:color w:val="231F20"/>
        </w:rPr>
        <w:t>during inflammatory episodes. Conversely, the rates of complement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protein catabolism may greatly increase in various autoimmune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diseases. Because complement component determinations represent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 static measurement of the net concentrations that result from a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dynamic balance between component synthesis and catabolism, serial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quantitations are more clinically useful.</w:t>
      </w:r>
    </w:p>
    <w:p w:rsidR="00715D5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Complement promotes inflammat</w:t>
      </w:r>
      <w:r w:rsidR="003D447C" w:rsidRPr="00455E96">
        <w:rPr>
          <w:rFonts w:eastAsia="HelenPro-Regular"/>
          <w:color w:val="231F20"/>
        </w:rPr>
        <w:t xml:space="preserve">ion or tissue damage during the </w:t>
      </w:r>
      <w:r w:rsidRPr="00455E96">
        <w:rPr>
          <w:rFonts w:eastAsia="HelenPro-Regular"/>
          <w:color w:val="231F20"/>
        </w:rPr>
        <w:t>immune response, and plays an important role in the pathogenesis of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some diseases. In the latter situation, complement is often activated by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an abnormal antibody (autoantibody), an immune complex, or by foreign</w:t>
      </w:r>
    </w:p>
    <w:p w:rsidR="00715D55" w:rsidRPr="00455E96" w:rsidRDefault="00715D55" w:rsidP="003D447C">
      <w:pPr>
        <w:tabs>
          <w:tab w:val="left" w:pos="1507"/>
        </w:tabs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material.</w:t>
      </w:r>
      <w:r w:rsidR="003D447C" w:rsidRPr="00455E96">
        <w:rPr>
          <w:rFonts w:eastAsia="HelenPro-Regular"/>
          <w:color w:val="231F20"/>
        </w:rPr>
        <w:tab/>
      </w:r>
    </w:p>
    <w:p w:rsidR="00715D5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Increased C4 levels are associated with acute phase reactions and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certain malignancies.</w:t>
      </w:r>
    </w:p>
    <w:p w:rsidR="00715D5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Decreased levels of C4 occur in individ</w:t>
      </w:r>
      <w:r w:rsidR="003D447C" w:rsidRPr="00455E96">
        <w:rPr>
          <w:rFonts w:eastAsia="HelenPro-Regular"/>
          <w:color w:val="231F20"/>
        </w:rPr>
        <w:t xml:space="preserve">uals with congenital deficiency </w:t>
      </w:r>
      <w:r w:rsidRPr="00455E96">
        <w:rPr>
          <w:rFonts w:eastAsia="HelenPro-Regular"/>
          <w:color w:val="231F20"/>
        </w:rPr>
        <w:t>or immunologic diseases (where complement is consumed at an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increased rate). C4 levels may be decreased in hereditary and acquired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angioedema, complement activation due to immune complex diseases,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decreased synthesis due to liver disease, increased consumption in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glomerulonephritis, systemic lupus erythematosus (SLE), rheumatoid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arthritis, respiratory distress syndrome, autoimmune hemolytic anemia,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cryoglobulinemia, and sepsis. Total congenital C4 deficiency is rare,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but partial C4 deficiency is common. Partial and complete congenital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C4 deficiencies have been associated with immune complex diseases,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SLE, autoimmune thyroiditis, and juvenile dermatomyositis. Infections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associated with C4 deficiency include bacterial or viral meningitis,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i/>
          <w:iCs/>
          <w:color w:val="231F20"/>
        </w:rPr>
        <w:t xml:space="preserve">Streptococcus </w:t>
      </w:r>
      <w:r w:rsidRPr="00455E96">
        <w:rPr>
          <w:rFonts w:eastAsia="HelenPro-Regular"/>
          <w:color w:val="231F20"/>
        </w:rPr>
        <w:t xml:space="preserve">and </w:t>
      </w:r>
      <w:r w:rsidRPr="00455E96">
        <w:rPr>
          <w:rFonts w:eastAsia="HelenPro-Regular"/>
          <w:i/>
          <w:iCs/>
          <w:color w:val="231F20"/>
        </w:rPr>
        <w:t xml:space="preserve">Staphylococcus </w:t>
      </w:r>
      <w:r w:rsidRPr="00455E96">
        <w:rPr>
          <w:rFonts w:eastAsia="HelenPro-Regular"/>
          <w:color w:val="231F20"/>
        </w:rPr>
        <w:t>sepsis, and pneumonia.</w:t>
      </w:r>
    </w:p>
    <w:p w:rsidR="00DC16C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Refer to the following table for a</w:t>
      </w:r>
      <w:r w:rsidR="003D447C" w:rsidRPr="00455E96">
        <w:rPr>
          <w:rFonts w:eastAsia="HelenPro-Regular"/>
          <w:color w:val="231F20"/>
        </w:rPr>
        <w:t xml:space="preserve"> general guide to evaluation of </w:t>
      </w:r>
      <w:r w:rsidRPr="00455E96">
        <w:rPr>
          <w:rFonts w:eastAsia="HelenPro-Regular"/>
          <w:color w:val="231F20"/>
        </w:rPr>
        <w:t>Complement C3 (C3) and C4 protein levels in the presence of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decreased hemolytic complement activity: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noProof/>
        </w:rPr>
        <w:lastRenderedPageBreak/>
        <w:drawing>
          <wp:inline distT="0" distB="0" distL="0" distR="0" wp14:anchorId="3EE4AFD9" wp14:editId="663AE1C9">
            <wp:extent cx="4171950" cy="2419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F7" w:rsidRPr="00455E96" w:rsidRDefault="00A062F7" w:rsidP="00A062F7">
      <w:pPr>
        <w:jc w:val="both"/>
        <w:rPr>
          <w:b/>
        </w:rPr>
      </w:pPr>
    </w:p>
    <w:p w:rsidR="008A7F96" w:rsidRPr="00455E96" w:rsidRDefault="008A7F96" w:rsidP="008A7F96">
      <w:pPr>
        <w:jc w:val="both"/>
        <w:rPr>
          <w:color w:val="FF0000"/>
          <w:sz w:val="28"/>
          <w:szCs w:val="28"/>
        </w:rPr>
      </w:pPr>
      <w:r w:rsidRPr="00455E96">
        <w:rPr>
          <w:b/>
          <w:sz w:val="28"/>
          <w:szCs w:val="28"/>
        </w:rPr>
        <w:t>Principle</w:t>
      </w:r>
      <w:r w:rsidRPr="00455E96">
        <w:rPr>
          <w:sz w:val="28"/>
          <w:szCs w:val="28"/>
        </w:rPr>
        <w:t xml:space="preserve"> </w:t>
      </w:r>
    </w:p>
    <w:p w:rsidR="008A7F96" w:rsidRPr="00455E96" w:rsidRDefault="008A7F96" w:rsidP="008A7F96">
      <w:pPr>
        <w:jc w:val="both"/>
      </w:pPr>
    </w:p>
    <w:p w:rsidR="00715D55" w:rsidRPr="00455E96" w:rsidRDefault="00715D55" w:rsidP="00715D55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The C4 assay is an immunoturbid</w:t>
      </w:r>
      <w:r w:rsidR="003D447C" w:rsidRPr="00455E96">
        <w:rPr>
          <w:rFonts w:eastAsia="HelenPro-Regular"/>
          <w:color w:val="231F20"/>
        </w:rPr>
        <w:t xml:space="preserve">imetric procedure that measures </w:t>
      </w:r>
      <w:r w:rsidRPr="00455E96">
        <w:rPr>
          <w:rFonts w:eastAsia="HelenPro-Regular"/>
          <w:color w:val="231F20"/>
        </w:rPr>
        <w:t>increasing sample turbidity caused by the formation of insoluble immune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complexes when antibody to C4 is added to the sample. Sample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containing C4</w:t>
      </w:r>
      <w:r w:rsidR="009A40BE" w:rsidRPr="00455E96">
        <w:rPr>
          <w:rFonts w:eastAsia="HelenPro-Regular"/>
          <w:color w:val="231F20"/>
        </w:rPr>
        <w:t xml:space="preserve"> is incubated with a buffer (R1</w:t>
      </w:r>
      <w:r w:rsidRPr="00455E96">
        <w:rPr>
          <w:rFonts w:eastAsia="HelenPro-Regular"/>
          <w:color w:val="231F20"/>
        </w:rPr>
        <w:t>) and a sample blank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 xml:space="preserve">determination is performed prior to </w:t>
      </w:r>
      <w:r w:rsidR="009A40BE" w:rsidRPr="00455E96">
        <w:rPr>
          <w:rFonts w:eastAsia="HelenPro-Regular"/>
          <w:color w:val="231F20"/>
        </w:rPr>
        <w:t>the addition of C4 antibody (R2</w:t>
      </w:r>
      <w:r w:rsidRPr="00455E96">
        <w:rPr>
          <w:rFonts w:eastAsia="HelenPro-Regular"/>
          <w:color w:val="231F20"/>
        </w:rPr>
        <w:t>). In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the presence of an appropriate antibody in excess, the C4 concentration</w:t>
      </w:r>
      <w:r w:rsidR="003D447C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is measured as a function of turbidity.</w:t>
      </w:r>
    </w:p>
    <w:p w:rsidR="003D447C" w:rsidRPr="00455E96" w:rsidRDefault="003D447C" w:rsidP="00715D55">
      <w:pPr>
        <w:autoSpaceDE w:val="0"/>
        <w:autoSpaceDN w:val="0"/>
        <w:adjustRightInd w:val="0"/>
        <w:rPr>
          <w:rFonts w:eastAsia="HelenPro-Bold"/>
          <w:b/>
          <w:bCs/>
          <w:color w:val="231F20"/>
        </w:rPr>
      </w:pPr>
    </w:p>
    <w:p w:rsidR="008A7F96" w:rsidRPr="00455E96" w:rsidRDefault="00715D55" w:rsidP="00715D55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Bold"/>
          <w:b/>
          <w:bCs/>
          <w:color w:val="231F20"/>
        </w:rPr>
        <w:t xml:space="preserve">Methodology: </w:t>
      </w:r>
      <w:r w:rsidRPr="00455E96">
        <w:rPr>
          <w:rFonts w:eastAsia="HelenPro-Regular"/>
          <w:color w:val="231F20"/>
        </w:rPr>
        <w:t>Immunoturbidimetric</w:t>
      </w:r>
    </w:p>
    <w:p w:rsidR="004E0AFF" w:rsidRPr="00455E96" w:rsidRDefault="004E0AFF" w:rsidP="006559EB">
      <w:pPr>
        <w:rPr>
          <w:b/>
          <w:sz w:val="28"/>
          <w:szCs w:val="28"/>
        </w:rPr>
      </w:pPr>
    </w:p>
    <w:p w:rsidR="006559EB" w:rsidRPr="00455E96" w:rsidRDefault="006559EB" w:rsidP="006559EB">
      <w:pPr>
        <w:rPr>
          <w:b/>
          <w:sz w:val="28"/>
          <w:szCs w:val="28"/>
        </w:rPr>
      </w:pPr>
      <w:r w:rsidRPr="00455E96">
        <w:rPr>
          <w:b/>
          <w:sz w:val="28"/>
          <w:szCs w:val="28"/>
        </w:rPr>
        <w:t>Specimen Collection and Handling</w:t>
      </w:r>
      <w:r w:rsidR="00D60AFA" w:rsidRPr="00455E96">
        <w:rPr>
          <w:b/>
          <w:sz w:val="28"/>
          <w:szCs w:val="28"/>
        </w:rPr>
        <w:t xml:space="preserve"> </w:t>
      </w:r>
    </w:p>
    <w:p w:rsidR="004A03BD" w:rsidRPr="00455E96" w:rsidRDefault="004A03BD" w:rsidP="006559EB">
      <w:pPr>
        <w:rPr>
          <w:b/>
        </w:rPr>
      </w:pPr>
    </w:p>
    <w:p w:rsidR="00D77B64" w:rsidRPr="00455E96" w:rsidRDefault="00D77B64" w:rsidP="00D77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Suitable Specimens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Serum and plasma are acceptable specimens.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• </w:t>
      </w:r>
      <w:r w:rsidRPr="00455E96">
        <w:rPr>
          <w:rFonts w:eastAsia="HelenPro-Bold"/>
          <w:b/>
          <w:bCs/>
        </w:rPr>
        <w:t xml:space="preserve">Serum: </w:t>
      </w:r>
      <w:r w:rsidRPr="00455E96">
        <w:rPr>
          <w:rFonts w:eastAsia="HelenPro-Regular"/>
        </w:rPr>
        <w:t>Use serum collected by s</w:t>
      </w:r>
      <w:r w:rsidR="002C2F49" w:rsidRPr="00455E96">
        <w:rPr>
          <w:rFonts w:eastAsia="HelenPro-Regular"/>
        </w:rPr>
        <w:t xml:space="preserve">tandard venipuncture techniques </w:t>
      </w:r>
      <w:r w:rsidRPr="00455E96">
        <w:rPr>
          <w:rFonts w:eastAsia="HelenPro-Regular"/>
        </w:rPr>
        <w:t>into glass or plastic tubes with or without gel barriers. Ensure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complete clot formation has taken place prior to centrifugation.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Centrifuge according to tube manufacturer’</w:t>
      </w:r>
      <w:r w:rsidR="002C2F49" w:rsidRPr="00455E96">
        <w:rPr>
          <w:rFonts w:eastAsia="HelenPro-Regular"/>
        </w:rPr>
        <w:t xml:space="preserve">s instructions to ensure </w:t>
      </w:r>
      <w:r w:rsidRPr="00455E96">
        <w:rPr>
          <w:rFonts w:eastAsia="HelenPro-Regular"/>
        </w:rPr>
        <w:t>proper separation of serum from blood cells.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Some specimens, especiall</w:t>
      </w:r>
      <w:r w:rsidR="002C2F49" w:rsidRPr="00455E96">
        <w:rPr>
          <w:rFonts w:eastAsia="HelenPro-Regular"/>
        </w:rPr>
        <w:t xml:space="preserve">y those from patients receiving </w:t>
      </w:r>
      <w:r w:rsidRPr="00455E96">
        <w:rPr>
          <w:rFonts w:eastAsia="HelenPro-Regular"/>
        </w:rPr>
        <w:t>anticoagulant or thrombolytic therapy, may take longer to complete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their clotting processes. Fibrin clots may subsequently form in these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sera and the clots could cause erroneous test results.</w:t>
      </w:r>
    </w:p>
    <w:p w:rsidR="00C63D9F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• </w:t>
      </w:r>
      <w:r w:rsidRPr="00455E96">
        <w:rPr>
          <w:rFonts w:eastAsia="HelenPro-Bold"/>
          <w:b/>
          <w:bCs/>
        </w:rPr>
        <w:t xml:space="preserve">Plasma: </w:t>
      </w:r>
      <w:r w:rsidRPr="00455E96">
        <w:rPr>
          <w:rFonts w:eastAsia="HelenPro-Regular"/>
        </w:rPr>
        <w:t>Use plasma collected by s</w:t>
      </w:r>
      <w:r w:rsidR="002C2F49" w:rsidRPr="00455E96">
        <w:rPr>
          <w:rFonts w:eastAsia="HelenPro-Regular"/>
        </w:rPr>
        <w:t xml:space="preserve">tandard venipuncture techniques </w:t>
      </w:r>
      <w:r w:rsidRPr="00455E96">
        <w:rPr>
          <w:rFonts w:eastAsia="HelenPro-Regular"/>
        </w:rPr>
        <w:t>into glass or plastic tubes. Acceptable anticoagulants are lithium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heparin (with or without gel barrier), sodium heparin, and EDTA.</w:t>
      </w:r>
    </w:p>
    <w:p w:rsidR="00C32412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Ensure centrifugation is adequate </w:t>
      </w:r>
      <w:r w:rsidR="002C2F49" w:rsidRPr="00455E96">
        <w:rPr>
          <w:rFonts w:eastAsia="HelenPro-Regular"/>
        </w:rPr>
        <w:t xml:space="preserve">to remove platelets. Centrifuge </w:t>
      </w:r>
      <w:r w:rsidRPr="00455E96">
        <w:rPr>
          <w:rFonts w:eastAsia="HelenPro-Regular"/>
        </w:rPr>
        <w:t>according to tube manufacturer’s instructions to ensure proper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separation of plasma from blood cells.</w:t>
      </w:r>
    </w:p>
    <w:p w:rsidR="00DC16C5" w:rsidRPr="00455E96" w:rsidRDefault="00DC16C5" w:rsidP="00DC16C5">
      <w:pPr>
        <w:autoSpaceDE w:val="0"/>
        <w:autoSpaceDN w:val="0"/>
        <w:adjustRightInd w:val="0"/>
        <w:rPr>
          <w:rFonts w:eastAsia="HelenPro-Regular"/>
        </w:rPr>
      </w:pPr>
    </w:p>
    <w:p w:rsidR="002C2F49" w:rsidRPr="00455E96" w:rsidRDefault="002C2F49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455E96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455E96">
        <w:rPr>
          <w:rFonts w:eastAsia="HelenPro-Regular"/>
          <w:b/>
        </w:rPr>
        <w:t>Specimen Storage</w:t>
      </w:r>
    </w:p>
    <w:p w:rsidR="003D447C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Bold"/>
          <w:b/>
          <w:bCs/>
        </w:rPr>
        <w:t xml:space="preserve">Serum and Plasma: </w:t>
      </w:r>
      <w:r w:rsidRPr="00455E96">
        <w:rPr>
          <w:rFonts w:eastAsia="HelenPro-Regular"/>
        </w:rPr>
        <w:t xml:space="preserve">Analyze fresh </w:t>
      </w:r>
      <w:r w:rsidR="002C2F49" w:rsidRPr="00455E96">
        <w:rPr>
          <w:rFonts w:eastAsia="HelenPro-Regular"/>
        </w:rPr>
        <w:t>specimens if possible</w:t>
      </w:r>
    </w:p>
    <w:p w:rsidR="00C63D9F" w:rsidRPr="00455E96" w:rsidRDefault="003D447C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noProof/>
        </w:rPr>
        <w:lastRenderedPageBreak/>
        <w:drawing>
          <wp:inline distT="0" distB="0" distL="0" distR="0" wp14:anchorId="7BF4C092" wp14:editId="778C9819">
            <wp:extent cx="2247900" cy="647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60" w:rsidRPr="00455E96" w:rsidRDefault="00B24260" w:rsidP="00B24260">
      <w:pPr>
        <w:autoSpaceDE w:val="0"/>
        <w:autoSpaceDN w:val="0"/>
        <w:adjustRightInd w:val="0"/>
        <w:rPr>
          <w:rFonts w:eastAsia="HelenPro-Regular"/>
        </w:rPr>
      </w:pPr>
    </w:p>
    <w:p w:rsidR="00A062F7" w:rsidRPr="00455E96" w:rsidRDefault="00A062F7" w:rsidP="00460600">
      <w:pPr>
        <w:autoSpaceDE w:val="0"/>
        <w:autoSpaceDN w:val="0"/>
        <w:adjustRightInd w:val="0"/>
        <w:rPr>
          <w:rFonts w:eastAsia="HelenPro-Regular"/>
        </w:rPr>
      </w:pPr>
    </w:p>
    <w:p w:rsidR="00D64E39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Bold"/>
          <w:b/>
          <w:bCs/>
        </w:rPr>
        <w:t xml:space="preserve">NOTE: </w:t>
      </w:r>
      <w:r w:rsidRPr="00455E96">
        <w:rPr>
          <w:rFonts w:eastAsia="HelenPro-Regular"/>
        </w:rPr>
        <w:t>Stored specimens must be inspected for particulates. If present, mix and centrifuge the specimen to remove particulates prior to testing</w:t>
      </w:r>
      <w:r w:rsidRPr="00455E96">
        <w:rPr>
          <w:rFonts w:eastAsia="HelenPro-Regular"/>
          <w:sz w:val="16"/>
          <w:szCs w:val="16"/>
        </w:rPr>
        <w:t>.</w:t>
      </w:r>
    </w:p>
    <w:p w:rsidR="00AB793D" w:rsidRPr="00455E96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455E96" w:rsidRDefault="00AE6F5B" w:rsidP="00AE6F5B">
      <w:pPr>
        <w:rPr>
          <w:b/>
        </w:rPr>
      </w:pPr>
      <w:r w:rsidRPr="00455E96">
        <w:rPr>
          <w:b/>
          <w:sz w:val="28"/>
          <w:szCs w:val="28"/>
        </w:rPr>
        <w:t>Materials and Equipment Required</w:t>
      </w:r>
      <w:r w:rsidR="00D60AFA" w:rsidRPr="00455E96">
        <w:rPr>
          <w:b/>
          <w:sz w:val="28"/>
          <w:szCs w:val="28"/>
        </w:rPr>
        <w:t xml:space="preserve"> </w:t>
      </w:r>
    </w:p>
    <w:p w:rsidR="00F7103F" w:rsidRPr="00455E96" w:rsidRDefault="00F7103F" w:rsidP="00973EAF">
      <w:pPr>
        <w:ind w:firstLine="720"/>
      </w:pPr>
      <w:r w:rsidRPr="00455E96">
        <w:rPr>
          <w:b/>
        </w:rPr>
        <w:t>TEST INSTRUMENT</w:t>
      </w:r>
      <w:r w:rsidRPr="00455E96">
        <w:t>:  Abbott ARCHITECT System</w:t>
      </w:r>
    </w:p>
    <w:p w:rsidR="006D40ED" w:rsidRPr="00455E96" w:rsidRDefault="006D40ED" w:rsidP="00F7103F">
      <w:pPr>
        <w:rPr>
          <w:b/>
        </w:rPr>
      </w:pPr>
    </w:p>
    <w:p w:rsidR="00F7103F" w:rsidRPr="00455E96" w:rsidRDefault="00F7103F" w:rsidP="00973EAF">
      <w:pPr>
        <w:ind w:firstLine="720"/>
        <w:rPr>
          <w:b/>
        </w:rPr>
      </w:pPr>
      <w:r w:rsidRPr="00455E96">
        <w:rPr>
          <w:b/>
        </w:rPr>
        <w:t>MATERIALS PROVIDED</w:t>
      </w:r>
    </w:p>
    <w:p w:rsidR="00F7103F" w:rsidRPr="00455E96" w:rsidRDefault="00F7103F" w:rsidP="00F7103F"/>
    <w:p w:rsidR="00F7103F" w:rsidRPr="00455E96" w:rsidRDefault="00F7103F" w:rsidP="00973EAF">
      <w:pPr>
        <w:ind w:firstLine="720"/>
      </w:pPr>
      <w:r w:rsidRPr="00455E96">
        <w:rPr>
          <w:rFonts w:eastAsia="HelenPro-Regular"/>
        </w:rPr>
        <w:t xml:space="preserve"> </w:t>
      </w:r>
      <w:r w:rsidR="003D447C" w:rsidRPr="00455E96">
        <w:rPr>
          <w:rFonts w:eastAsia="HelenPro-Regular"/>
        </w:rPr>
        <w:t>9D97 Complement C4</w:t>
      </w:r>
      <w:r w:rsidR="00C63D9F" w:rsidRPr="00455E96">
        <w:rPr>
          <w:rFonts w:eastAsia="HelenPro-Regular"/>
        </w:rPr>
        <w:t xml:space="preserve"> </w:t>
      </w:r>
      <w:r w:rsidR="00CA5058" w:rsidRPr="00455E96">
        <w:rPr>
          <w:rFonts w:eastAsia="HelenPro-Regular"/>
        </w:rPr>
        <w:t>Kit</w:t>
      </w:r>
    </w:p>
    <w:p w:rsidR="00A062F7" w:rsidRPr="00455E96" w:rsidRDefault="00A062F7" w:rsidP="00973EAF">
      <w:pPr>
        <w:ind w:firstLine="720"/>
        <w:rPr>
          <w:b/>
        </w:rPr>
      </w:pPr>
    </w:p>
    <w:p w:rsidR="00F7103F" w:rsidRPr="00455E96" w:rsidRDefault="00F7103F" w:rsidP="00973EAF">
      <w:pPr>
        <w:ind w:firstLine="720"/>
        <w:rPr>
          <w:b/>
        </w:rPr>
      </w:pPr>
      <w:r w:rsidRPr="00455E96">
        <w:rPr>
          <w:b/>
        </w:rPr>
        <w:t>MATERIALS REQUIRED BUT NOT PROVIDED</w:t>
      </w:r>
    </w:p>
    <w:p w:rsidR="00F7103F" w:rsidRPr="00455E96" w:rsidRDefault="00F7103F" w:rsidP="00F7103F"/>
    <w:p w:rsidR="00DC16C5" w:rsidRPr="00455E96" w:rsidRDefault="00DC16C5" w:rsidP="00C3571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 xml:space="preserve">• </w:t>
      </w:r>
      <w:r w:rsidR="00C63D9F" w:rsidRPr="00455E96">
        <w:rPr>
          <w:rFonts w:eastAsia="HelenPro-Regular"/>
        </w:rPr>
        <w:t>1E78 Specific Proteins Multiconstituent Calibrator</w:t>
      </w:r>
    </w:p>
    <w:p w:rsidR="00C32412" w:rsidRPr="00455E96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 xml:space="preserve">• </w:t>
      </w:r>
      <w:r w:rsidR="00C3571A" w:rsidRPr="00455E96">
        <w:rPr>
          <w:rFonts w:eastAsia="HelenPro-Regular"/>
        </w:rPr>
        <w:t>Control Material</w:t>
      </w:r>
    </w:p>
    <w:p w:rsidR="00952933" w:rsidRPr="00455E96" w:rsidRDefault="00C32412" w:rsidP="00C32412">
      <w:pPr>
        <w:ind w:left="720"/>
        <w:rPr>
          <w:b/>
        </w:rPr>
      </w:pPr>
      <w:r w:rsidRPr="00455E96">
        <w:rPr>
          <w:rFonts w:eastAsia="HelenPro-Regular"/>
        </w:rPr>
        <w:t>• Saline (0.85% to 0.90% NaCl) for specimens that require dilution</w:t>
      </w:r>
    </w:p>
    <w:p w:rsidR="00C32412" w:rsidRPr="00455E96" w:rsidRDefault="00C32412" w:rsidP="00507B0C">
      <w:pPr>
        <w:rPr>
          <w:b/>
          <w:sz w:val="28"/>
          <w:szCs w:val="28"/>
        </w:rPr>
      </w:pPr>
    </w:p>
    <w:p w:rsidR="00507B0C" w:rsidRPr="00455E96" w:rsidRDefault="00507B0C" w:rsidP="00507B0C">
      <w:pPr>
        <w:rPr>
          <w:b/>
          <w:sz w:val="28"/>
          <w:szCs w:val="28"/>
        </w:rPr>
      </w:pPr>
      <w:r w:rsidRPr="00455E96">
        <w:rPr>
          <w:b/>
          <w:sz w:val="28"/>
          <w:szCs w:val="28"/>
        </w:rPr>
        <w:t xml:space="preserve">Reagent Handling and Storage: </w:t>
      </w:r>
    </w:p>
    <w:p w:rsidR="00507B0C" w:rsidRPr="00455E96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455E96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455E96">
        <w:rPr>
          <w:b/>
          <w:i/>
          <w:sz w:val="24"/>
          <w:szCs w:val="24"/>
        </w:rPr>
        <w:t>CAUTION</w:t>
      </w:r>
      <w:r w:rsidRPr="00455E96">
        <w:rPr>
          <w:b/>
          <w:sz w:val="24"/>
          <w:szCs w:val="24"/>
        </w:rPr>
        <w:t>: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</w:rPr>
        <w:t>1. For in vitro diagnostic use.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</w:rPr>
        <w:t>2. Do not use components beyond the expiration date.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</w:rPr>
        <w:t>3. Do not mix materials from different kit lot numbers.</w:t>
      </w:r>
    </w:p>
    <w:p w:rsidR="003D447C" w:rsidRPr="00455E96" w:rsidRDefault="003D447C" w:rsidP="00F7103F">
      <w:pPr>
        <w:rPr>
          <w:rFonts w:eastAsia="HelenPro-Regular"/>
        </w:rPr>
      </w:pPr>
      <w:r w:rsidRPr="00455E96">
        <w:rPr>
          <w:rFonts w:eastAsia="HelenPro-Regular"/>
          <w:color w:val="231F20"/>
        </w:rPr>
        <w:t>Do not mix fresh reagent with in-use reagents.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  <w:b/>
          <w:bCs/>
        </w:rPr>
        <w:t xml:space="preserve">CAUTION: </w:t>
      </w:r>
      <w:r w:rsidRPr="00455E96">
        <w:rPr>
          <w:rFonts w:eastAsia="HelenPro-Regular"/>
        </w:rPr>
        <w:t>This product requires the handling of human specimens.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</w:rPr>
        <w:t>It is recommended that all human sourced materials be considered</w:t>
      </w:r>
    </w:p>
    <w:p w:rsidR="00F7103F" w:rsidRPr="00455E96" w:rsidRDefault="00F7103F" w:rsidP="00F7103F">
      <w:pPr>
        <w:rPr>
          <w:rFonts w:eastAsia="HelenPro-Regular"/>
        </w:rPr>
      </w:pPr>
      <w:r w:rsidRPr="00455E96">
        <w:rPr>
          <w:rFonts w:eastAsia="HelenPro-Regular"/>
        </w:rPr>
        <w:t>potentially infectious and be handled in accordance with the OSHA</w:t>
      </w:r>
    </w:p>
    <w:p w:rsidR="004A03BD" w:rsidRPr="00455E96" w:rsidRDefault="00F7103F" w:rsidP="00DC16C5">
      <w:pPr>
        <w:rPr>
          <w:rFonts w:eastAsia="HelenPro-Regular"/>
        </w:rPr>
      </w:pPr>
      <w:r w:rsidRPr="00455E96">
        <w:rPr>
          <w:rFonts w:eastAsia="HelenPro-Regular"/>
        </w:rPr>
        <w:t>Standard on Bloodborne Pathogens. Biosafety Level 2 or other</w:t>
      </w:r>
      <w:r w:rsidR="00DC16C5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Pr="00455E9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• The following warning and precaution apply to R1</w:t>
      </w:r>
      <w:r w:rsidR="00CA5058" w:rsidRPr="00455E96">
        <w:rPr>
          <w:rFonts w:eastAsia="HelenPro-Regular"/>
        </w:rPr>
        <w:t xml:space="preserve"> and R2</w:t>
      </w:r>
      <w:r w:rsidRPr="00455E96">
        <w:rPr>
          <w:rFonts w:eastAsia="HelenPro-Regular"/>
        </w:rPr>
        <w:t>:</w:t>
      </w:r>
    </w:p>
    <w:p w:rsidR="00DC16C5" w:rsidRPr="00455E96" w:rsidRDefault="00DC16C5" w:rsidP="0061553C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455E96">
        <w:rPr>
          <w:rFonts w:eastAsia="HelenPro-Regular"/>
        </w:rPr>
        <w:t>Contains sodium azide.</w:t>
      </w:r>
    </w:p>
    <w:p w:rsidR="00DC16C5" w:rsidRPr="00455E9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EUH032 Contact with acids liberates very toxic gas.</w:t>
      </w:r>
    </w:p>
    <w:p w:rsidR="0038442D" w:rsidRPr="00455E9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These materials and their containers must be disposed of in a safe way.</w:t>
      </w:r>
    </w:p>
    <w:p w:rsidR="00DC16C5" w:rsidRPr="00455E96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455E9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Reagent Handling</w:t>
      </w:r>
    </w:p>
    <w:p w:rsidR="00C32412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• Remove air bubbles, if present in the reagent cartridge, with a new applicator stick. Alternatively, allow the reagent to sit at the appropriate storage temperature to allow the bubbles to dissipate.</w:t>
      </w:r>
    </w:p>
    <w:p w:rsidR="00C32412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To minimize volume depletion, do not use a transfer pipette to remove the bubbles.</w:t>
      </w:r>
    </w:p>
    <w:p w:rsidR="00C32412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Bold"/>
          <w:b/>
          <w:bCs/>
        </w:rPr>
        <w:lastRenderedPageBreak/>
        <w:t xml:space="preserve">CAUTION: </w:t>
      </w:r>
      <w:r w:rsidRPr="00455E96">
        <w:rPr>
          <w:rFonts w:eastAsia="HelenPro-Regular"/>
        </w:rPr>
        <w:t>Reagent bubbles may interfere with proper detection of reagent level in the cartridge, causing insufficient reagent aspiration that could impact results.</w:t>
      </w:r>
    </w:p>
    <w:p w:rsidR="0038442D" w:rsidRPr="00455E9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455E9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Reagent Storage</w:t>
      </w:r>
    </w:p>
    <w:p w:rsidR="00C32412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• Reagent stability is </w:t>
      </w:r>
      <w:r w:rsidR="00C63D9F" w:rsidRPr="00455E96">
        <w:rPr>
          <w:rFonts w:eastAsia="HelenPro-Regular"/>
        </w:rPr>
        <w:t>57</w:t>
      </w:r>
      <w:r w:rsidRPr="00455E96">
        <w:rPr>
          <w:rFonts w:eastAsia="HelenPro-Regular"/>
        </w:rPr>
        <w:t xml:space="preserve"> days if the reagent is uncapped and onboard.</w:t>
      </w:r>
    </w:p>
    <w:p w:rsidR="0038442D" w:rsidRPr="00455E9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• Unopened reagents are stable until the expiration date when stored at 2 to 8°C.</w:t>
      </w:r>
    </w:p>
    <w:p w:rsidR="00DB3051" w:rsidRPr="00455E96" w:rsidRDefault="00DB3051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455E96" w:rsidRDefault="00B36577" w:rsidP="00B36577">
      <w:pPr>
        <w:spacing w:after="72"/>
      </w:pPr>
      <w:r w:rsidRPr="00455E9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455E96">
        <w:rPr>
          <w:lang w:val="ru-RU"/>
        </w:rPr>
        <w:t xml:space="preserve"> </w:t>
      </w:r>
    </w:p>
    <w:p w:rsidR="00D64E39" w:rsidRPr="00455E96" w:rsidRDefault="003D447C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9D97-21 Complement C4</w:t>
      </w:r>
      <w:r w:rsidR="00C63D9F" w:rsidRPr="00455E96">
        <w:rPr>
          <w:rFonts w:eastAsia="HelenPro-Regular"/>
        </w:rPr>
        <w:t xml:space="preserve"> is supp</w:t>
      </w:r>
      <w:r w:rsidR="002C2F49" w:rsidRPr="00455E96">
        <w:rPr>
          <w:rFonts w:eastAsia="HelenPro-Regular"/>
        </w:rPr>
        <w:t xml:space="preserve">lied as a liquid, ready-to-use, </w:t>
      </w:r>
      <w:r w:rsidR="00C63D9F" w:rsidRPr="00455E96">
        <w:rPr>
          <w:rFonts w:eastAsia="HelenPro-Regular"/>
        </w:rPr>
        <w:t>two-reagent kit which contains:</w:t>
      </w:r>
      <w:r w:rsidR="00C3571A" w:rsidRPr="00455E96">
        <w:rPr>
          <w:rFonts w:eastAsia="HelenPro-Regular"/>
          <w:sz w:val="16"/>
          <w:szCs w:val="16"/>
        </w:rPr>
        <w:t xml:space="preserve"> </w:t>
      </w:r>
      <w:r w:rsidR="00020469" w:rsidRPr="00455E96">
        <w:rPr>
          <w:rFonts w:eastAsia="HelenPro-Regular"/>
          <w:b/>
          <w:bCs/>
        </w:rPr>
        <w:t xml:space="preserve">R1 </w:t>
      </w:r>
      <w:r w:rsidR="00CA5058" w:rsidRPr="00455E96">
        <w:rPr>
          <w:rFonts w:eastAsia="HelenPro-Regular"/>
          <w:b/>
          <w:bCs/>
        </w:rPr>
        <w:t>&amp; R2</w:t>
      </w:r>
    </w:p>
    <w:p w:rsidR="009F648F" w:rsidRPr="00455E96" w:rsidRDefault="003D447C" w:rsidP="009F648F">
      <w:pPr>
        <w:pStyle w:val="txt"/>
        <w:ind w:left="0"/>
        <w:rPr>
          <w:sz w:val="24"/>
          <w:szCs w:val="24"/>
        </w:rPr>
      </w:pPr>
      <w:r w:rsidRPr="00455E96">
        <w:rPr>
          <w:noProof/>
        </w:rPr>
        <w:drawing>
          <wp:inline distT="0" distB="0" distL="0" distR="0" wp14:anchorId="67B3E90C" wp14:editId="7C0055D6">
            <wp:extent cx="4171950" cy="15811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1A" w:rsidRPr="00455E96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b/>
        </w:rPr>
        <w:t>Calibrator:</w:t>
      </w:r>
      <w:r w:rsidRPr="00455E96">
        <w:t xml:space="preserve">  </w:t>
      </w:r>
      <w:r w:rsidR="00C63D9F" w:rsidRPr="00455E96">
        <w:rPr>
          <w:rFonts w:eastAsia="HelenPro-Regular"/>
        </w:rPr>
        <w:t>1E78 Specific Proteins Multiconstituent Calibrator</w:t>
      </w:r>
    </w:p>
    <w:p w:rsidR="00507B0C" w:rsidRPr="00455E96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455E96" w:rsidRDefault="00B36577" w:rsidP="00973EAF">
      <w:pPr>
        <w:spacing w:after="43"/>
        <w:rPr>
          <w:i/>
          <w:color w:val="FF0000"/>
          <w:szCs w:val="15"/>
        </w:rPr>
      </w:pPr>
      <w:r w:rsidRPr="00455E96">
        <w:rPr>
          <w:b/>
          <w:szCs w:val="14"/>
        </w:rPr>
        <w:t>Quality Control:</w:t>
      </w:r>
      <w:r w:rsidR="00CA11D0" w:rsidRPr="00455E96">
        <w:rPr>
          <w:szCs w:val="14"/>
        </w:rPr>
        <w:t xml:space="preserve">  </w:t>
      </w:r>
      <w:r w:rsidR="00324268" w:rsidRPr="00455E96">
        <w:rPr>
          <w:szCs w:val="14"/>
        </w:rPr>
        <w:t>Chemistry controls</w:t>
      </w:r>
    </w:p>
    <w:p w:rsidR="0025031C" w:rsidRPr="00455E96" w:rsidRDefault="0025031C" w:rsidP="0025031C">
      <w:pPr>
        <w:ind w:left="1440"/>
      </w:pPr>
      <w:r w:rsidRPr="00455E96">
        <w:rPr>
          <w:b/>
          <w:szCs w:val="14"/>
        </w:rPr>
        <w:t xml:space="preserve">    </w:t>
      </w:r>
    </w:p>
    <w:p w:rsidR="00D60AFA" w:rsidRPr="00455E96" w:rsidRDefault="00AE6F5B" w:rsidP="00D60AFA">
      <w:pPr>
        <w:spacing w:after="43"/>
        <w:rPr>
          <w:i/>
          <w:color w:val="FF0000"/>
          <w:szCs w:val="15"/>
        </w:rPr>
      </w:pPr>
      <w:r w:rsidRPr="00455E96">
        <w:rPr>
          <w:b/>
          <w:sz w:val="28"/>
          <w:szCs w:val="28"/>
        </w:rPr>
        <w:t>Calibration</w:t>
      </w:r>
      <w:r w:rsidR="00D60AFA" w:rsidRPr="00455E96">
        <w:rPr>
          <w:b/>
          <w:sz w:val="28"/>
          <w:szCs w:val="28"/>
        </w:rPr>
        <w:t xml:space="preserve"> </w:t>
      </w:r>
    </w:p>
    <w:p w:rsidR="00AE6F5B" w:rsidRPr="00455E96" w:rsidRDefault="00AE6F5B" w:rsidP="00AE6F5B">
      <w:pPr>
        <w:rPr>
          <w:b/>
          <w:sz w:val="28"/>
          <w:szCs w:val="28"/>
        </w:rPr>
      </w:pPr>
    </w:p>
    <w:p w:rsidR="00644800" w:rsidRPr="00455E96" w:rsidRDefault="00644800" w:rsidP="00644800">
      <w:pPr>
        <w:ind w:firstLine="720"/>
        <w:rPr>
          <w:b/>
        </w:rPr>
      </w:pPr>
      <w:r w:rsidRPr="00455E96">
        <w:rPr>
          <w:b/>
        </w:rPr>
        <w:t xml:space="preserve">Frequency:  </w:t>
      </w:r>
    </w:p>
    <w:p w:rsidR="00CC3D62" w:rsidRPr="00455E96" w:rsidRDefault="00E4787B" w:rsidP="00E4787B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55E96">
        <w:t xml:space="preserve">Calibration is stable for </w:t>
      </w:r>
      <w:r w:rsidR="00C63D9F" w:rsidRPr="00455E96">
        <w:t>57</w:t>
      </w:r>
      <w:r w:rsidRPr="00455E96">
        <w:t xml:space="preserve"> days (</w:t>
      </w:r>
      <w:r w:rsidR="00C63D9F" w:rsidRPr="00455E96">
        <w:t>1368</w:t>
      </w:r>
      <w:r w:rsidRPr="00455E96">
        <w:t xml:space="preserve"> hours)</w:t>
      </w:r>
      <w:r w:rsidR="00AF597C" w:rsidRPr="00455E96">
        <w:t xml:space="preserve"> for any one lot.</w:t>
      </w:r>
      <w:r w:rsidRPr="00455E96">
        <w:t xml:space="preserve"> </w:t>
      </w:r>
    </w:p>
    <w:p w:rsidR="0055619E" w:rsidRPr="00455E96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455E96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455E96">
        <w:rPr>
          <w:b/>
        </w:rPr>
        <w:t>A new calibration is required:</w:t>
      </w:r>
    </w:p>
    <w:p w:rsidR="00CC3D62" w:rsidRPr="00455E96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Pr="00455E96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455E96">
        <w:rPr>
          <w:rFonts w:eastAsia="HelenPro-Regular"/>
        </w:rPr>
        <w:t>If quality control results do not meet acceptance criteria defined by your</w:t>
      </w:r>
      <w:r w:rsidRPr="00455E96">
        <w:t xml:space="preserve"> </w:t>
      </w:r>
      <w:r w:rsidRPr="00455E96">
        <w:rPr>
          <w:rFonts w:eastAsia="HelenPro-Regular"/>
        </w:rPr>
        <w:t>laboratory, patient values may be suspect. Follow the established quality</w:t>
      </w:r>
      <w:r w:rsidRPr="00455E96">
        <w:t xml:space="preserve"> </w:t>
      </w:r>
      <w:r w:rsidRPr="00455E96">
        <w:rPr>
          <w:rFonts w:eastAsia="HelenPro-Regular"/>
        </w:rPr>
        <w:t>control procedures for your laboratory. Recalibration may be necessary.</w:t>
      </w:r>
    </w:p>
    <w:p w:rsidR="00CC3D62" w:rsidRPr="00455E96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455E96">
        <w:rPr>
          <w:rFonts w:eastAsia="HelenPro-Regular"/>
        </w:rPr>
        <w:t>Review quality control results and acceptance criteria following a</w:t>
      </w:r>
      <w:r w:rsidR="00912FE4" w:rsidRPr="00455E96">
        <w:t xml:space="preserve"> </w:t>
      </w:r>
      <w:r w:rsidRPr="00455E96">
        <w:rPr>
          <w:rFonts w:eastAsia="HelenPro-Regular"/>
        </w:rPr>
        <w:t>change of reagent or calibrator lot.</w:t>
      </w:r>
    </w:p>
    <w:p w:rsidR="00CC3D62" w:rsidRPr="00455E96" w:rsidRDefault="00CC3D62" w:rsidP="00E4787B">
      <w:pPr>
        <w:autoSpaceDE w:val="0"/>
        <w:autoSpaceDN w:val="0"/>
        <w:adjustRightInd w:val="0"/>
        <w:ind w:left="720"/>
      </w:pPr>
    </w:p>
    <w:p w:rsidR="00656BB9" w:rsidRPr="00455E96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455E96">
        <w:rPr>
          <w:b/>
        </w:rPr>
        <w:t>Calibrator Required:</w:t>
      </w:r>
      <w:r w:rsidRPr="00455E96">
        <w:t xml:space="preserve">  </w:t>
      </w:r>
      <w:r w:rsidR="00C63D9F" w:rsidRPr="00455E96">
        <w:rPr>
          <w:rFonts w:eastAsia="HelenPro-Regular"/>
        </w:rPr>
        <w:t>1E78 Specific Proteins Multiconstituent Calibrator</w:t>
      </w:r>
    </w:p>
    <w:p w:rsidR="00714F24" w:rsidRPr="00455E96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455E96" w:rsidRDefault="0025031C" w:rsidP="004F5F8A">
      <w:pPr>
        <w:ind w:firstLine="720"/>
        <w:rPr>
          <w:b/>
        </w:rPr>
      </w:pPr>
      <w:r w:rsidRPr="00455E96">
        <w:rPr>
          <w:b/>
        </w:rPr>
        <w:t>Reagents:</w:t>
      </w:r>
    </w:p>
    <w:p w:rsidR="00173EA4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Specific Proteins Multiconstituent Calibrator is prepared from human IgA, IgG, IgM, C3, C4, haptoglobin, and transferrin fractions in human serum.</w:t>
      </w:r>
    </w:p>
    <w:p w:rsidR="002C2F49" w:rsidRPr="00455E96" w:rsidRDefault="002C2F49" w:rsidP="00F3700B">
      <w:pPr>
        <w:ind w:left="720"/>
        <w:rPr>
          <w:b/>
        </w:rPr>
      </w:pPr>
    </w:p>
    <w:p w:rsidR="00F3700B" w:rsidRPr="00455E96" w:rsidRDefault="0037463A" w:rsidP="00F3700B">
      <w:pPr>
        <w:ind w:left="720"/>
      </w:pPr>
      <w:r w:rsidRPr="00455E96">
        <w:rPr>
          <w:b/>
        </w:rPr>
        <w:t xml:space="preserve">Calibrator Preparation: </w:t>
      </w:r>
    </w:p>
    <w:p w:rsidR="00173EA4" w:rsidRPr="00455E96" w:rsidRDefault="002C2F49" w:rsidP="002C2F49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455E96">
        <w:rPr>
          <w:rFonts w:eastAsia="HelenPro-Regular"/>
        </w:rPr>
        <w:t>Specific Proteins Multiconstituent Calibrator requires no preparation prior to use.</w:t>
      </w:r>
    </w:p>
    <w:p w:rsidR="002C2F49" w:rsidRPr="00455E96" w:rsidRDefault="002C2F49" w:rsidP="00AD402C">
      <w:pPr>
        <w:ind w:firstLine="720"/>
        <w:rPr>
          <w:b/>
        </w:rPr>
      </w:pPr>
    </w:p>
    <w:p w:rsidR="004F5F8A" w:rsidRPr="00455E96" w:rsidRDefault="0025031C" w:rsidP="00AD402C">
      <w:pPr>
        <w:ind w:firstLine="720"/>
        <w:rPr>
          <w:b/>
        </w:rPr>
      </w:pPr>
      <w:r w:rsidRPr="00455E96">
        <w:rPr>
          <w:b/>
        </w:rPr>
        <w:t>Calibration Procedure:</w:t>
      </w:r>
      <w:r w:rsidR="0006502B" w:rsidRPr="00455E96">
        <w:rPr>
          <w:b/>
        </w:rPr>
        <w:t xml:space="preserve"> </w:t>
      </w:r>
    </w:p>
    <w:p w:rsidR="002C2F49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Calibration is performed by running a water blank and the Specific Proteins Multiconstituent Calibrator set. Water for the blank is provided by the instrument.</w:t>
      </w:r>
    </w:p>
    <w:p w:rsidR="002C2F49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1. Verify that the correct calibrator values have been entered into the calibration file.</w:t>
      </w:r>
    </w:p>
    <w:p w:rsidR="002C2F49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2. Mix bottle several times by gentle inversion.</w:t>
      </w:r>
    </w:p>
    <w:p w:rsidR="002C2F49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3. Open bottle, place an appropriate amount of each calibrator in a separate sample cup, and place in the assigned positions.</w:t>
      </w:r>
    </w:p>
    <w:p w:rsidR="002C2F49" w:rsidRPr="00455E9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4. Cap bottle tightly and return to refrigerated storage immediately after use.</w:t>
      </w:r>
    </w:p>
    <w:p w:rsidR="004E0AFF" w:rsidRPr="00455E96" w:rsidRDefault="002C2F49" w:rsidP="002C2F49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55E96">
        <w:rPr>
          <w:rFonts w:eastAsia="HelenPro-Regular"/>
        </w:rPr>
        <w:t xml:space="preserve">5. Perform calibration as indicated in the </w:t>
      </w:r>
      <w:r w:rsidRPr="00455E96">
        <w:rPr>
          <w:rFonts w:eastAsia="HelenPro-Bold"/>
          <w:b/>
          <w:bCs/>
        </w:rPr>
        <w:t>ARCHITECT System Operations Manual</w:t>
      </w:r>
      <w:r w:rsidRPr="00455E96">
        <w:rPr>
          <w:rFonts w:eastAsia="HelenPro-Regular"/>
        </w:rPr>
        <w:t>.</w:t>
      </w:r>
    </w:p>
    <w:p w:rsidR="002C2F49" w:rsidRPr="00455E96" w:rsidRDefault="002C2F49" w:rsidP="0055619E">
      <w:pPr>
        <w:ind w:left="720"/>
        <w:rPr>
          <w:b/>
          <w:bCs/>
        </w:rPr>
      </w:pPr>
    </w:p>
    <w:p w:rsidR="00AF597C" w:rsidRPr="00455E96" w:rsidRDefault="00AF597C" w:rsidP="0055619E">
      <w:pPr>
        <w:ind w:left="720"/>
        <w:rPr>
          <w:b/>
          <w:bCs/>
        </w:rPr>
      </w:pPr>
      <w:r w:rsidRPr="00455E96">
        <w:rPr>
          <w:b/>
          <w:bCs/>
        </w:rPr>
        <w:t>Troubleshooting and Overall Acceptance Criteria Failure</w:t>
      </w:r>
    </w:p>
    <w:p w:rsidR="00AF597C" w:rsidRPr="00455E96" w:rsidRDefault="00AF597C" w:rsidP="00AF597C">
      <w:pPr>
        <w:ind w:left="900"/>
        <w:rPr>
          <w:bCs/>
        </w:rPr>
      </w:pPr>
    </w:p>
    <w:p w:rsidR="00AF597C" w:rsidRPr="00455E96" w:rsidRDefault="0055619E" w:rsidP="00AF597C">
      <w:pPr>
        <w:ind w:left="720"/>
        <w:rPr>
          <w:bCs/>
          <w:highlight w:val="cyan"/>
        </w:rPr>
      </w:pPr>
      <w:r w:rsidRPr="00455E96">
        <w:rPr>
          <w:bCs/>
        </w:rPr>
        <w:t>See ARCHITECT Operations Manual for further calibration troubleshooting.</w:t>
      </w:r>
    </w:p>
    <w:p w:rsidR="0055619E" w:rsidRPr="00455E96" w:rsidRDefault="0055619E" w:rsidP="004F5F8A">
      <w:pPr>
        <w:ind w:left="720"/>
      </w:pPr>
    </w:p>
    <w:p w:rsidR="00912FE4" w:rsidRPr="00455E96" w:rsidRDefault="00912FE4" w:rsidP="0025031C">
      <w:pPr>
        <w:rPr>
          <w:b/>
          <w:sz w:val="28"/>
          <w:szCs w:val="28"/>
        </w:rPr>
      </w:pPr>
    </w:p>
    <w:p w:rsidR="00D60AFA" w:rsidRPr="00455E96" w:rsidRDefault="0025031C" w:rsidP="00D60AFA">
      <w:pPr>
        <w:spacing w:after="43"/>
        <w:rPr>
          <w:i/>
          <w:color w:val="FF0000"/>
          <w:szCs w:val="15"/>
        </w:rPr>
      </w:pPr>
      <w:r w:rsidRPr="00455E96">
        <w:rPr>
          <w:b/>
          <w:sz w:val="28"/>
          <w:szCs w:val="28"/>
        </w:rPr>
        <w:t>Quality Control:</w:t>
      </w:r>
      <w:r w:rsidR="00D60AFA" w:rsidRPr="00455E96">
        <w:rPr>
          <w:b/>
          <w:sz w:val="28"/>
          <w:szCs w:val="28"/>
        </w:rPr>
        <w:t xml:space="preserve"> </w:t>
      </w:r>
    </w:p>
    <w:p w:rsidR="00F3700B" w:rsidRPr="00455E9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324268" w:rsidRPr="00455E96" w:rsidRDefault="00324268" w:rsidP="00324268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455E96">
        <w:rPr>
          <w:rFonts w:eastAsia="HelenPro-Regular"/>
        </w:rPr>
        <w:t>• Three levels of quality control are to be run every 24 hours</w:t>
      </w:r>
    </w:p>
    <w:p w:rsidR="00F3700B" w:rsidRPr="00455E96" w:rsidRDefault="00324268" w:rsidP="00324268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• Run three levels of quality control with each cartridge change.</w:t>
      </w:r>
    </w:p>
    <w:p w:rsidR="00F3700B" w:rsidRPr="00455E9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455E9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455E9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Recalibration may be necessary.</w:t>
      </w:r>
    </w:p>
    <w:p w:rsidR="00973EAF" w:rsidRPr="00455E9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55E96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455E96" w:rsidRDefault="00F3700B" w:rsidP="00F66836">
      <w:pPr>
        <w:rPr>
          <w:b/>
          <w:sz w:val="28"/>
          <w:szCs w:val="28"/>
        </w:rPr>
      </w:pPr>
    </w:p>
    <w:p w:rsidR="00F66836" w:rsidRPr="00455E96" w:rsidRDefault="00F66836" w:rsidP="00F66836">
      <w:pPr>
        <w:rPr>
          <w:b/>
          <w:sz w:val="28"/>
          <w:szCs w:val="28"/>
        </w:rPr>
      </w:pPr>
      <w:r w:rsidRPr="00455E96">
        <w:rPr>
          <w:b/>
          <w:sz w:val="28"/>
          <w:szCs w:val="28"/>
        </w:rPr>
        <w:t>Procedure</w:t>
      </w:r>
      <w:r w:rsidR="006D40ED" w:rsidRPr="00455E96">
        <w:rPr>
          <w:b/>
          <w:sz w:val="28"/>
          <w:szCs w:val="28"/>
        </w:rPr>
        <w:t xml:space="preserve"> </w:t>
      </w:r>
    </w:p>
    <w:p w:rsidR="00B36577" w:rsidRPr="00455E96" w:rsidRDefault="00A554D4" w:rsidP="002C7FD5">
      <w:pPr>
        <w:rPr>
          <w:rFonts w:eastAsia="HelenPro-Regular"/>
        </w:rPr>
      </w:pPr>
      <w:r w:rsidRPr="00455E96">
        <w:rPr>
          <w:rFonts w:eastAsia="HelenPro-Regular"/>
        </w:rPr>
        <w:t xml:space="preserve">For a detailed description of how to run an assay, refer to </w:t>
      </w:r>
      <w:r w:rsidRPr="00455E96">
        <w:rPr>
          <w:i/>
          <w:iCs/>
        </w:rPr>
        <w:t xml:space="preserve">Section 5 </w:t>
      </w:r>
      <w:r w:rsidRPr="00455E96">
        <w:rPr>
          <w:rFonts w:eastAsia="HelenPro-Regular"/>
        </w:rPr>
        <w:t xml:space="preserve">of the </w:t>
      </w:r>
      <w:r w:rsidRPr="00455E96">
        <w:rPr>
          <w:b/>
          <w:bCs/>
        </w:rPr>
        <w:t>ARCHITECT System Operations Manual</w:t>
      </w:r>
      <w:r w:rsidRPr="00455E96">
        <w:rPr>
          <w:rFonts w:eastAsia="HelenPro-Regular"/>
        </w:rPr>
        <w:t>.</w:t>
      </w:r>
    </w:p>
    <w:p w:rsidR="00173EA4" w:rsidRPr="00455E96" w:rsidRDefault="00173EA4" w:rsidP="002C7FD5">
      <w:pPr>
        <w:rPr>
          <w:b/>
        </w:rPr>
      </w:pPr>
      <w:r w:rsidRPr="00455E96">
        <w:rPr>
          <w:noProof/>
        </w:rPr>
        <w:lastRenderedPageBreak/>
        <w:drawing>
          <wp:inline distT="0" distB="0" distL="0" distR="0" wp14:anchorId="33E9E2D6" wp14:editId="2EAFFB64">
            <wp:extent cx="3867150" cy="3590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D4" w:rsidRPr="00455E96" w:rsidRDefault="00A554D4" w:rsidP="00714F24">
      <w:pPr>
        <w:rPr>
          <w:b/>
        </w:rPr>
      </w:pPr>
    </w:p>
    <w:p w:rsidR="006D40ED" w:rsidRPr="00455E96" w:rsidRDefault="00132081" w:rsidP="00F3700B">
      <w:pPr>
        <w:rPr>
          <w:i/>
          <w:color w:val="FF0000"/>
          <w:sz w:val="28"/>
          <w:szCs w:val="28"/>
        </w:rPr>
      </w:pPr>
      <w:r w:rsidRPr="00455E96">
        <w:rPr>
          <w:b/>
          <w:sz w:val="28"/>
          <w:szCs w:val="28"/>
        </w:rPr>
        <w:t>Calculations</w:t>
      </w:r>
      <w:r w:rsidR="00D60AFA" w:rsidRPr="00455E96">
        <w:rPr>
          <w:b/>
          <w:sz w:val="28"/>
          <w:szCs w:val="28"/>
        </w:rPr>
        <w:t xml:space="preserve"> </w:t>
      </w:r>
    </w:p>
    <w:p w:rsidR="00A554D4" w:rsidRPr="00455E96" w:rsidRDefault="00A554D4" w:rsidP="00AB793D">
      <w:pPr>
        <w:rPr>
          <w:rFonts w:eastAsia="HelenPro-Regular"/>
        </w:rPr>
      </w:pPr>
      <w:r w:rsidRPr="00455E96">
        <w:rPr>
          <w:rFonts w:eastAsia="HelenPro-Regular"/>
        </w:rPr>
        <w:t xml:space="preserve">Refer to </w:t>
      </w:r>
      <w:r w:rsidRPr="00455E96">
        <w:rPr>
          <w:rFonts w:eastAsia="HelenPro-Regular"/>
          <w:i/>
          <w:iCs/>
        </w:rPr>
        <w:t xml:space="preserve">Appendix C </w:t>
      </w:r>
      <w:r w:rsidRPr="00455E96">
        <w:rPr>
          <w:rFonts w:eastAsia="HelenPro-Regular"/>
        </w:rPr>
        <w:t xml:space="preserve">of the </w:t>
      </w:r>
      <w:r w:rsidRPr="00455E96">
        <w:rPr>
          <w:rFonts w:eastAsia="HelenPro-Regular"/>
          <w:b/>
          <w:bCs/>
        </w:rPr>
        <w:t xml:space="preserve">ARCHITECT System Operations Manual </w:t>
      </w:r>
      <w:r w:rsidRPr="00455E96">
        <w:rPr>
          <w:rFonts w:eastAsia="HelenPro-Regular"/>
        </w:rPr>
        <w:t>for</w:t>
      </w:r>
      <w:r w:rsidR="00D64E3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information on results calculations.</w:t>
      </w:r>
    </w:p>
    <w:p w:rsidR="00F92520" w:rsidRPr="00455E96" w:rsidRDefault="00F92520" w:rsidP="00A554D4">
      <w:pPr>
        <w:ind w:left="1530"/>
        <w:rPr>
          <w:rFonts w:eastAsia="HelenPro-Regular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455E96" w:rsidRPr="00455E96" w:rsidRDefault="00455E96" w:rsidP="000A090B">
      <w:pPr>
        <w:jc w:val="both"/>
        <w:rPr>
          <w:b/>
          <w:sz w:val="28"/>
          <w:szCs w:val="28"/>
        </w:rPr>
      </w:pPr>
    </w:p>
    <w:p w:rsidR="000A090B" w:rsidRPr="00455E96" w:rsidRDefault="00132081" w:rsidP="000A090B">
      <w:pPr>
        <w:jc w:val="both"/>
        <w:rPr>
          <w:sz w:val="28"/>
          <w:szCs w:val="28"/>
        </w:rPr>
      </w:pPr>
      <w:r w:rsidRPr="00455E96">
        <w:rPr>
          <w:b/>
          <w:sz w:val="28"/>
          <w:szCs w:val="28"/>
        </w:rPr>
        <w:lastRenderedPageBreak/>
        <w:t>Reporting Results</w:t>
      </w:r>
      <w:r w:rsidR="000A090B" w:rsidRPr="00455E96">
        <w:rPr>
          <w:sz w:val="28"/>
          <w:szCs w:val="28"/>
        </w:rPr>
        <w:t xml:space="preserve"> </w:t>
      </w:r>
    </w:p>
    <w:p w:rsidR="00F3700B" w:rsidRPr="00455E96" w:rsidRDefault="00C3571A" w:rsidP="00C3571A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The result unit for the </w:t>
      </w:r>
      <w:r w:rsidR="003D447C" w:rsidRPr="00455E96">
        <w:rPr>
          <w:rFonts w:eastAsia="HelenPro-Regular"/>
        </w:rPr>
        <w:t>Complement C4</w:t>
      </w:r>
      <w:r w:rsidR="00173EA4" w:rsidRPr="00455E96">
        <w:rPr>
          <w:rFonts w:eastAsia="HelenPro-Regular"/>
        </w:rPr>
        <w:t xml:space="preserve"> assay can be reported in mg/dL or g/L</w:t>
      </w:r>
      <w:r w:rsidRPr="00455E96">
        <w:rPr>
          <w:rFonts w:eastAsia="HelenPro-Regular"/>
        </w:rPr>
        <w:t>.</w:t>
      </w:r>
    </w:p>
    <w:p w:rsidR="00D64E39" w:rsidRPr="00455E96" w:rsidRDefault="00D64E39" w:rsidP="00AB793D">
      <w:pPr>
        <w:rPr>
          <w:b/>
          <w:bCs/>
        </w:rPr>
      </w:pPr>
    </w:p>
    <w:p w:rsidR="00912FE4" w:rsidRPr="00455E96" w:rsidRDefault="00912FE4" w:rsidP="00AB793D">
      <w:pPr>
        <w:rPr>
          <w:b/>
          <w:bCs/>
          <w:sz w:val="28"/>
          <w:szCs w:val="28"/>
        </w:rPr>
      </w:pPr>
      <w:r w:rsidRPr="00455E96">
        <w:rPr>
          <w:b/>
          <w:bCs/>
          <w:sz w:val="28"/>
          <w:szCs w:val="28"/>
        </w:rPr>
        <w:t>Specific Performance Characteristics</w:t>
      </w:r>
      <w:r w:rsidR="00D60AFA" w:rsidRPr="00455E96">
        <w:rPr>
          <w:b/>
          <w:bCs/>
          <w:sz w:val="28"/>
          <w:szCs w:val="28"/>
        </w:rPr>
        <w:t xml:space="preserve"> </w:t>
      </w:r>
    </w:p>
    <w:p w:rsidR="00CE2DC7" w:rsidRPr="00455E96" w:rsidRDefault="00CE2DC7" w:rsidP="00AB793D">
      <w:pPr>
        <w:rPr>
          <w:b/>
          <w:bCs/>
        </w:rPr>
      </w:pPr>
      <w:r w:rsidRPr="00455E96">
        <w:rPr>
          <w:b/>
          <w:bCs/>
        </w:rPr>
        <w:t>Reference Ranges</w:t>
      </w:r>
      <w:r w:rsidR="00D60AFA" w:rsidRPr="00455E96">
        <w:rPr>
          <w:b/>
          <w:bCs/>
        </w:rPr>
        <w:t xml:space="preserve"> </w:t>
      </w:r>
    </w:p>
    <w:p w:rsidR="0055619E" w:rsidRPr="00455E96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6A15AE" w:rsidRPr="00455E96" w:rsidRDefault="006A15AE" w:rsidP="00AB793D">
      <w:pPr>
        <w:rPr>
          <w:b/>
          <w:bCs/>
        </w:rPr>
      </w:pPr>
    </w:p>
    <w:p w:rsidR="00A554D4" w:rsidRPr="00455E96" w:rsidRDefault="00A554D4" w:rsidP="00AB793D">
      <w:pPr>
        <w:rPr>
          <w:b/>
          <w:bCs/>
        </w:rPr>
      </w:pPr>
      <w:r w:rsidRPr="00455E96">
        <w:rPr>
          <w:b/>
          <w:bCs/>
        </w:rPr>
        <w:t>Serum/Plasma</w:t>
      </w:r>
      <w:r w:rsidR="00455E96" w:rsidRPr="00455E96">
        <w:rPr>
          <w:b/>
          <w:bCs/>
        </w:rPr>
        <w:t>:</w:t>
      </w:r>
    </w:p>
    <w:p w:rsidR="00DA6C6A" w:rsidRPr="00455E96" w:rsidRDefault="003D447C" w:rsidP="00DA6C6A">
      <w:pPr>
        <w:rPr>
          <w:rFonts w:eastAsia="HelenPro-Bold"/>
          <w:b/>
          <w:bCs/>
        </w:rPr>
      </w:pPr>
      <w:r w:rsidRPr="00455E96">
        <w:rPr>
          <w:noProof/>
        </w:rPr>
        <w:drawing>
          <wp:inline distT="0" distB="0" distL="0" distR="0" wp14:anchorId="304C0864" wp14:editId="6FEAAEBB">
            <wp:extent cx="4219575" cy="17430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A" w:rsidRPr="00455E96" w:rsidRDefault="00DA6C6A" w:rsidP="00AB793D">
      <w:pPr>
        <w:rPr>
          <w:b/>
          <w:bCs/>
        </w:rPr>
      </w:pPr>
    </w:p>
    <w:p w:rsidR="00B63E8F" w:rsidRPr="00455E96" w:rsidRDefault="00B63E8F" w:rsidP="00623EFB">
      <w:pPr>
        <w:ind w:right="720"/>
        <w:jc w:val="both"/>
        <w:rPr>
          <w:b/>
        </w:rPr>
      </w:pPr>
      <w:r w:rsidRPr="00455E96">
        <w:rPr>
          <w:b/>
        </w:rPr>
        <w:t>Critical Values</w:t>
      </w:r>
      <w:r w:rsidR="00455E96" w:rsidRPr="00455E96">
        <w:rPr>
          <w:b/>
        </w:rPr>
        <w:t>:</w:t>
      </w:r>
    </w:p>
    <w:p w:rsidR="0038442D" w:rsidRPr="00455E96" w:rsidRDefault="0038442D" w:rsidP="00AB793D">
      <w:pPr>
        <w:rPr>
          <w:b/>
          <w:sz w:val="28"/>
          <w:szCs w:val="28"/>
        </w:rPr>
      </w:pPr>
    </w:p>
    <w:p w:rsidR="00D5211B" w:rsidRPr="00455E96" w:rsidRDefault="005E3D52" w:rsidP="00AB793D">
      <w:pPr>
        <w:rPr>
          <w:i/>
          <w:color w:val="FF0000"/>
          <w:sz w:val="28"/>
          <w:szCs w:val="28"/>
        </w:rPr>
      </w:pPr>
      <w:r w:rsidRPr="00455E96">
        <w:rPr>
          <w:b/>
          <w:sz w:val="28"/>
          <w:szCs w:val="28"/>
        </w:rPr>
        <w:t>Performance Characteristics</w:t>
      </w:r>
      <w:r w:rsidR="00973EAF" w:rsidRPr="00455E96">
        <w:rPr>
          <w:b/>
          <w:sz w:val="28"/>
          <w:szCs w:val="28"/>
        </w:rPr>
        <w:t xml:space="preserve"> </w:t>
      </w:r>
    </w:p>
    <w:p w:rsidR="00B45FE2" w:rsidRPr="00455E96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73EA4" w:rsidRPr="00455E96" w:rsidRDefault="00173EA4" w:rsidP="00173EA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Reportable Range</w:t>
      </w:r>
    </w:p>
    <w:p w:rsidR="00B45FE2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The C4 assay reportable range (analyt</w:t>
      </w:r>
      <w:r w:rsidR="006A15AE" w:rsidRPr="00455E96">
        <w:rPr>
          <w:rFonts w:eastAsia="HelenPro-Regular"/>
          <w:color w:val="231F20"/>
        </w:rPr>
        <w:t xml:space="preserve">ical measurement range) is from </w:t>
      </w:r>
      <w:r w:rsidRPr="00455E96">
        <w:rPr>
          <w:rFonts w:eastAsia="HelenPro-Regular"/>
          <w:color w:val="231F20"/>
        </w:rPr>
        <w:t>2.9 mg/dL (0.029 g/L) to the highest calibrator concentration.</w:t>
      </w:r>
    </w:p>
    <w:p w:rsidR="004E0AFF" w:rsidRPr="00455E96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455E96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Limit of Quantitation (LOQ)</w:t>
      </w:r>
    </w:p>
    <w:p w:rsidR="00C63D9F" w:rsidRPr="00455E96" w:rsidRDefault="003D447C" w:rsidP="001B29A7">
      <w:pPr>
        <w:ind w:left="90"/>
        <w:rPr>
          <w:rFonts w:eastAsia="HelenPro-Bold"/>
          <w:b/>
          <w:bCs/>
        </w:rPr>
      </w:pPr>
      <w:r w:rsidRPr="00455E96">
        <w:rPr>
          <w:rFonts w:eastAsia="HelenPro-Regular"/>
          <w:color w:val="231F20"/>
        </w:rPr>
        <w:t>The LOQ for C4 is ≤ 1.0 mg/dL (0.010 g/L).</w:t>
      </w:r>
    </w:p>
    <w:p w:rsidR="003D447C" w:rsidRPr="00455E96" w:rsidRDefault="003D447C" w:rsidP="002C2F49">
      <w:pPr>
        <w:rPr>
          <w:rFonts w:eastAsia="HelenPro-Bold"/>
          <w:b/>
          <w:bCs/>
        </w:rPr>
      </w:pPr>
    </w:p>
    <w:p w:rsidR="00912FE4" w:rsidRPr="00455E96" w:rsidRDefault="00912FE4" w:rsidP="002C2F49">
      <w:pPr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Dilution:</w:t>
      </w:r>
      <w:r w:rsidR="00973EAF" w:rsidRPr="00455E96">
        <w:rPr>
          <w:rFonts w:eastAsia="HelenPro-Bold"/>
          <w:b/>
          <w:bCs/>
        </w:rPr>
        <w:t xml:space="preserve"> 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Bold"/>
          <w:b/>
          <w:bCs/>
          <w:color w:val="231F20"/>
        </w:rPr>
        <w:t xml:space="preserve">Serum and Plasma: </w:t>
      </w:r>
      <w:r w:rsidRPr="00455E96">
        <w:rPr>
          <w:rFonts w:eastAsia="HelenPro-Regular"/>
          <w:color w:val="231F20"/>
        </w:rPr>
        <w:t xml:space="preserve">Specimens with </w:t>
      </w:r>
      <w:r w:rsidR="006A15AE" w:rsidRPr="00455E96">
        <w:rPr>
          <w:rFonts w:eastAsia="HelenPro-Regular"/>
          <w:color w:val="231F20"/>
        </w:rPr>
        <w:t xml:space="preserve">C4 values exceeding the highest </w:t>
      </w:r>
      <w:r w:rsidRPr="00455E96">
        <w:rPr>
          <w:rFonts w:eastAsia="HelenPro-Regular"/>
          <w:color w:val="231F20"/>
        </w:rPr>
        <w:t>calibrator are flagged and may be diluted by following either the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Automated Dilution Protocol or the Manual Dilution Procedure.</w:t>
      </w:r>
    </w:p>
    <w:p w:rsidR="006A15AE" w:rsidRPr="00455E96" w:rsidRDefault="006A15AE" w:rsidP="003D447C">
      <w:pPr>
        <w:autoSpaceDE w:val="0"/>
        <w:autoSpaceDN w:val="0"/>
        <w:adjustRightInd w:val="0"/>
        <w:rPr>
          <w:rFonts w:eastAsia="HelenPro-Bold"/>
          <w:b/>
          <w:bCs/>
          <w:color w:val="231F20"/>
        </w:rPr>
      </w:pP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Bold"/>
          <w:b/>
          <w:bCs/>
          <w:color w:val="231F20"/>
        </w:rPr>
      </w:pPr>
      <w:r w:rsidRPr="00455E96">
        <w:rPr>
          <w:rFonts w:eastAsia="HelenPro-Bold"/>
          <w:b/>
          <w:bCs/>
          <w:color w:val="231F20"/>
        </w:rPr>
        <w:t>Automated Dilution Protocol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If using the Automated Dilution Prot</w:t>
      </w:r>
      <w:r w:rsidR="006A15AE" w:rsidRPr="00455E96">
        <w:rPr>
          <w:rFonts w:eastAsia="HelenPro-Regular"/>
          <w:color w:val="231F20"/>
        </w:rPr>
        <w:t xml:space="preserve">ocol, the system performs a 1:2 </w:t>
      </w:r>
      <w:r w:rsidRPr="00455E96">
        <w:rPr>
          <w:rFonts w:eastAsia="HelenPro-Regular"/>
          <w:color w:val="231F20"/>
        </w:rPr>
        <w:t>dilution of the specimen and automatically corrects the concentration by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multiplying the result by the appropriate dilution factor.</w:t>
      </w:r>
    </w:p>
    <w:p w:rsidR="006A15AE" w:rsidRPr="00455E96" w:rsidRDefault="006A15AE" w:rsidP="003D447C">
      <w:pPr>
        <w:autoSpaceDE w:val="0"/>
        <w:autoSpaceDN w:val="0"/>
        <w:adjustRightInd w:val="0"/>
        <w:rPr>
          <w:rFonts w:eastAsia="HelenPro-Bold"/>
          <w:b/>
          <w:bCs/>
          <w:color w:val="231F20"/>
        </w:rPr>
      </w:pP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Bold"/>
          <w:b/>
          <w:bCs/>
          <w:color w:val="231F20"/>
        </w:rPr>
      </w:pPr>
      <w:r w:rsidRPr="00455E96">
        <w:rPr>
          <w:rFonts w:eastAsia="HelenPro-Bold"/>
          <w:b/>
          <w:bCs/>
          <w:color w:val="231F20"/>
        </w:rPr>
        <w:t>Manual Dilution Procedure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Manual dilutions should be performed as follows: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• Use saline (0.85% to 0.90% NaCl) to dilute the sample.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 xml:space="preserve">• The operator must enter the dilution factor in the </w:t>
      </w:r>
      <w:r w:rsidR="006A15AE" w:rsidRPr="00455E96">
        <w:rPr>
          <w:rFonts w:eastAsia="HelenPro-Regular"/>
          <w:color w:val="231F20"/>
        </w:rPr>
        <w:t xml:space="preserve">patient or control </w:t>
      </w:r>
      <w:r w:rsidRPr="00455E96">
        <w:rPr>
          <w:rFonts w:eastAsia="HelenPro-Regular"/>
          <w:color w:val="231F20"/>
        </w:rPr>
        <w:t>order screen. The system uses this dilution factor to automatically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correct the concentration by multiplying the result by the entered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factor.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lastRenderedPageBreak/>
        <w:t>• If the operator does not enter the d</w:t>
      </w:r>
      <w:r w:rsidR="006A15AE" w:rsidRPr="00455E96">
        <w:rPr>
          <w:rFonts w:eastAsia="HelenPro-Regular"/>
          <w:color w:val="231F20"/>
        </w:rPr>
        <w:t xml:space="preserve">ilution factor, the result must </w:t>
      </w:r>
      <w:r w:rsidRPr="00455E96">
        <w:rPr>
          <w:rFonts w:eastAsia="HelenPro-Regular"/>
          <w:color w:val="231F20"/>
        </w:rPr>
        <w:t>be multiplied by the appropriate dilution factor before reporting the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result.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Bold"/>
          <w:b/>
          <w:bCs/>
          <w:color w:val="231F20"/>
        </w:rPr>
        <w:t xml:space="preserve">NOTE: </w:t>
      </w:r>
      <w:r w:rsidRPr="00455E96">
        <w:rPr>
          <w:rFonts w:eastAsia="HelenPro-Regular"/>
          <w:color w:val="231F20"/>
        </w:rPr>
        <w:t>If a diluted sample result is flagged</w:t>
      </w:r>
      <w:r w:rsidR="006A15AE" w:rsidRPr="00455E96">
        <w:rPr>
          <w:rFonts w:eastAsia="HelenPro-Regular"/>
          <w:color w:val="231F20"/>
        </w:rPr>
        <w:t xml:space="preserve"> indicating it is less than the </w:t>
      </w:r>
      <w:r w:rsidRPr="00455E96">
        <w:rPr>
          <w:rFonts w:eastAsia="HelenPro-Regular"/>
          <w:color w:val="231F20"/>
        </w:rPr>
        <w:t>linear low limit, do not report the result. Rerun using an appropriate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dilution.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 xml:space="preserve">For detailed information on ordering dilutions, refer to </w:t>
      </w:r>
      <w:r w:rsidRPr="00455E96">
        <w:rPr>
          <w:rFonts w:eastAsia="HelenPro-Bold"/>
          <w:i/>
          <w:iCs/>
          <w:color w:val="231F20"/>
        </w:rPr>
        <w:t xml:space="preserve">Section 5 </w:t>
      </w:r>
      <w:r w:rsidRPr="00455E96">
        <w:rPr>
          <w:rFonts w:eastAsia="HelenPro-Regular"/>
          <w:color w:val="231F20"/>
        </w:rPr>
        <w:t>of the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Bold"/>
          <w:b/>
          <w:bCs/>
          <w:color w:val="231F20"/>
        </w:rPr>
        <w:t>ARCHITECT System Operations Manual</w:t>
      </w:r>
      <w:r w:rsidRPr="00455E96">
        <w:rPr>
          <w:rFonts w:eastAsia="HelenPro-Regular"/>
          <w:color w:val="231F20"/>
        </w:rPr>
        <w:t>.</w:t>
      </w:r>
    </w:p>
    <w:p w:rsidR="00973EAF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The patient result flag “&gt;” may indicat</w:t>
      </w:r>
      <w:r w:rsidR="006A15AE" w:rsidRPr="00455E96">
        <w:rPr>
          <w:rFonts w:eastAsia="HelenPro-Regular"/>
          <w:color w:val="231F20"/>
        </w:rPr>
        <w:t xml:space="preserve">e antigen excess. Dilute sample </w:t>
      </w:r>
      <w:r w:rsidRPr="00455E96">
        <w:rPr>
          <w:rFonts w:eastAsia="HelenPro-Regular"/>
          <w:color w:val="231F20"/>
        </w:rPr>
        <w:t>and rerun. Samples were tested for antigen excess up to 335 mg/dL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(3.35 g/L).</w:t>
      </w:r>
    </w:p>
    <w:p w:rsidR="002C2F49" w:rsidRPr="00455E96" w:rsidRDefault="002C2F49" w:rsidP="00F95946">
      <w:pPr>
        <w:rPr>
          <w:b/>
          <w:color w:val="000000"/>
        </w:rPr>
      </w:pPr>
    </w:p>
    <w:p w:rsidR="00912FE4" w:rsidRPr="00455E96" w:rsidRDefault="00912FE4" w:rsidP="00F95946">
      <w:pPr>
        <w:rPr>
          <w:rFonts w:eastAsia="HelenPro-Regular"/>
        </w:rPr>
      </w:pPr>
      <w:r w:rsidRPr="00455E96">
        <w:rPr>
          <w:b/>
          <w:color w:val="000000"/>
        </w:rPr>
        <w:t>Precision:</w:t>
      </w:r>
      <w:r w:rsidR="0038442D" w:rsidRPr="00455E96">
        <w:rPr>
          <w:b/>
          <w:color w:val="000000"/>
        </w:rPr>
        <w:t xml:space="preserve"> </w:t>
      </w:r>
    </w:p>
    <w:p w:rsidR="00C63D9F" w:rsidRPr="00455E96" w:rsidRDefault="003D447C" w:rsidP="00173EA4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The imprecision of the C4 assay is ≤ 4.5% Total CV.</w:t>
      </w:r>
    </w:p>
    <w:p w:rsidR="003D447C" w:rsidRPr="00455E96" w:rsidRDefault="003D447C" w:rsidP="00173EA4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noProof/>
        </w:rPr>
        <w:drawing>
          <wp:inline distT="0" distB="0" distL="0" distR="0" wp14:anchorId="193E23F0" wp14:editId="7FF56628">
            <wp:extent cx="4181475" cy="254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455E96" w:rsidRDefault="00C53E37" w:rsidP="00C53E37">
      <w:pPr>
        <w:pStyle w:val="Heading4"/>
        <w:rPr>
          <w:sz w:val="24"/>
          <w:szCs w:val="24"/>
        </w:rPr>
      </w:pPr>
      <w:r w:rsidRPr="00455E96">
        <w:rPr>
          <w:sz w:val="24"/>
          <w:szCs w:val="24"/>
        </w:rPr>
        <w:t>Limitations of Procedure</w:t>
      </w:r>
      <w:r w:rsidR="00973EAF" w:rsidRPr="00455E96">
        <w:rPr>
          <w:sz w:val="24"/>
          <w:szCs w:val="24"/>
        </w:rPr>
        <w:t xml:space="preserve"> </w:t>
      </w:r>
    </w:p>
    <w:p w:rsidR="003D447C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Samples containing paraproteins (</w:t>
      </w:r>
      <w:r w:rsidR="006A15AE" w:rsidRPr="00455E96">
        <w:rPr>
          <w:rFonts w:eastAsia="HelenPro-Regular"/>
          <w:color w:val="231F20"/>
        </w:rPr>
        <w:t xml:space="preserve">abnormal monoclonal antibodies) </w:t>
      </w:r>
      <w:r w:rsidRPr="00455E96">
        <w:rPr>
          <w:rFonts w:eastAsia="HelenPro-Regular"/>
          <w:color w:val="231F20"/>
        </w:rPr>
        <w:t>may interfere with test results. Samples with elevated total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protein concentrations or samples from patients with suspected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paraproteinemia can be screened using other laboratory methods such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as protein electrophoresis.</w:t>
      </w:r>
    </w:p>
    <w:p w:rsidR="00173EA4" w:rsidRPr="00455E96" w:rsidRDefault="003D447C" w:rsidP="003D447C">
      <w:pPr>
        <w:autoSpaceDE w:val="0"/>
        <w:autoSpaceDN w:val="0"/>
        <w:adjustRightInd w:val="0"/>
        <w:rPr>
          <w:rFonts w:eastAsia="HelenPro-Regular"/>
          <w:color w:val="231F20"/>
        </w:rPr>
      </w:pPr>
      <w:r w:rsidRPr="00455E96">
        <w:rPr>
          <w:rFonts w:eastAsia="HelenPro-Regular"/>
          <w:color w:val="231F20"/>
        </w:rPr>
        <w:t>Elevated fibrinogen levels in EDTA plasma samples may yield a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depressed result. C4 results should be evaluated by comparing to other</w:t>
      </w:r>
      <w:r w:rsidR="006A15AE" w:rsidRPr="00455E96">
        <w:rPr>
          <w:rFonts w:eastAsia="HelenPro-Regular"/>
          <w:color w:val="231F20"/>
        </w:rPr>
        <w:t xml:space="preserve"> </w:t>
      </w:r>
      <w:r w:rsidRPr="00455E96">
        <w:rPr>
          <w:rFonts w:eastAsia="HelenPro-Regular"/>
          <w:color w:val="231F20"/>
        </w:rPr>
        <w:t>clinically relevant information.</w:t>
      </w:r>
    </w:p>
    <w:p w:rsidR="00A062F7" w:rsidRPr="00455E96" w:rsidRDefault="00173EA4" w:rsidP="00173EA4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 xml:space="preserve">R2 contains elevated levels of serum protein (≥ 20% w/w). Use of this reagent can cause protein build-up in R2 probe(s). This build-up can cause reagent carryover that results in elevated or depressed assay results. To remove protein build-up, perform the As-needed maintenance procedure, </w:t>
      </w:r>
      <w:r w:rsidRPr="00455E96">
        <w:rPr>
          <w:rFonts w:eastAsia="HelenPro-Regular"/>
          <w:i/>
          <w:iCs/>
        </w:rPr>
        <w:t xml:space="preserve">6058 Clean R2 Probe. </w:t>
      </w:r>
      <w:r w:rsidRPr="00455E96">
        <w:rPr>
          <w:rFonts w:eastAsia="HelenPro-Regular"/>
        </w:rPr>
        <w:t>Refer to the PROCEDURE section of the package insert.</w:t>
      </w:r>
    </w:p>
    <w:p w:rsidR="00173EA4" w:rsidRPr="00455E96" w:rsidRDefault="00173EA4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455E9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5E96">
        <w:rPr>
          <w:rFonts w:eastAsia="HelenPro-Bold"/>
          <w:b/>
          <w:bCs/>
        </w:rPr>
        <w:t>Interfering Substances</w:t>
      </w:r>
    </w:p>
    <w:p w:rsidR="00F95946" w:rsidRPr="00455E9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rFonts w:eastAsia="HelenPro-Regular"/>
        </w:rPr>
        <w:t>Interference effects wer</w:t>
      </w:r>
      <w:r w:rsidR="002C2F49" w:rsidRPr="00455E96">
        <w:rPr>
          <w:rFonts w:eastAsia="HelenPro-Regular"/>
        </w:rPr>
        <w:t xml:space="preserve">e assessed by Dose Response and </w:t>
      </w:r>
      <w:r w:rsidRPr="00455E96">
        <w:rPr>
          <w:rFonts w:eastAsia="HelenPro-Regular"/>
        </w:rPr>
        <w:t>Paired Difference methods, at two medical decision levels of the</w:t>
      </w:r>
      <w:r w:rsidR="002C2F49" w:rsidRPr="00455E96">
        <w:rPr>
          <w:rFonts w:eastAsia="HelenPro-Regular"/>
        </w:rPr>
        <w:t xml:space="preserve"> </w:t>
      </w:r>
      <w:r w:rsidRPr="00455E96">
        <w:rPr>
          <w:rFonts w:eastAsia="HelenPro-Regular"/>
        </w:rPr>
        <w:t>analyte.</w:t>
      </w:r>
    </w:p>
    <w:p w:rsidR="00C63D9F" w:rsidRPr="00455E96" w:rsidRDefault="003D447C" w:rsidP="00C63D9F">
      <w:pPr>
        <w:autoSpaceDE w:val="0"/>
        <w:autoSpaceDN w:val="0"/>
        <w:adjustRightInd w:val="0"/>
        <w:rPr>
          <w:rFonts w:eastAsia="HelenPro-Regular"/>
        </w:rPr>
      </w:pPr>
      <w:r w:rsidRPr="00455E96">
        <w:rPr>
          <w:noProof/>
        </w:rPr>
        <w:lastRenderedPageBreak/>
        <w:drawing>
          <wp:inline distT="0" distB="0" distL="0" distR="0" wp14:anchorId="045D00AD" wp14:editId="7EEF8EF0">
            <wp:extent cx="4114800" cy="5133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6C" w:rsidRPr="00455E96" w:rsidRDefault="0074336C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16B69" w:rsidRPr="00455E96" w:rsidRDefault="00D16B69" w:rsidP="00D16B69">
      <w:pPr>
        <w:jc w:val="both"/>
        <w:rPr>
          <w:b/>
        </w:rPr>
      </w:pPr>
      <w:r w:rsidRPr="00455E96">
        <w:rPr>
          <w:b/>
        </w:rPr>
        <w:t>References:</w:t>
      </w:r>
      <w:r w:rsidR="00973EAF" w:rsidRPr="00455E96">
        <w:rPr>
          <w:b/>
        </w:rPr>
        <w:t xml:space="preserve"> </w:t>
      </w:r>
    </w:p>
    <w:p w:rsidR="000A13F2" w:rsidRPr="00455E96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55E96">
        <w:rPr>
          <w:sz w:val="22"/>
          <w:szCs w:val="22"/>
        </w:rPr>
        <w:t xml:space="preserve">ABBOTT ARCHITECT </w:t>
      </w:r>
      <w:r w:rsidR="00030B7A" w:rsidRPr="00455E96">
        <w:rPr>
          <w:sz w:val="22"/>
          <w:szCs w:val="22"/>
        </w:rPr>
        <w:t>Complement C</w:t>
      </w:r>
      <w:r w:rsidR="00715D55" w:rsidRPr="00455E96">
        <w:rPr>
          <w:sz w:val="22"/>
          <w:szCs w:val="22"/>
        </w:rPr>
        <w:t>4</w:t>
      </w:r>
      <w:r w:rsidRPr="00455E96">
        <w:rPr>
          <w:sz w:val="22"/>
          <w:szCs w:val="22"/>
        </w:rPr>
        <w:t xml:space="preserve"> package insert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Abbott Laboratories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Diagnostics Division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Abbott Park, IL  60064</w:t>
      </w:r>
    </w:p>
    <w:p w:rsidR="00425BA0" w:rsidRPr="00455E96" w:rsidRDefault="00715D55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455E96">
        <w:rPr>
          <w:bCs/>
          <w:sz w:val="22"/>
          <w:szCs w:val="22"/>
        </w:rPr>
        <w:t>Nov</w:t>
      </w:r>
      <w:r w:rsidR="0074336C" w:rsidRPr="00455E96">
        <w:rPr>
          <w:bCs/>
          <w:sz w:val="22"/>
          <w:szCs w:val="22"/>
        </w:rPr>
        <w:t xml:space="preserve"> 201</w:t>
      </w:r>
      <w:r w:rsidRPr="00455E96">
        <w:rPr>
          <w:bCs/>
          <w:sz w:val="22"/>
          <w:szCs w:val="22"/>
        </w:rPr>
        <w:t>1</w:t>
      </w:r>
      <w:r w:rsidR="000A13F2" w:rsidRPr="00455E96">
        <w:rPr>
          <w:bCs/>
          <w:sz w:val="22"/>
          <w:szCs w:val="22"/>
        </w:rPr>
        <w:t xml:space="preserve"> </w:t>
      </w:r>
      <w:r w:rsidRPr="00455E96">
        <w:rPr>
          <w:rFonts w:eastAsia="HelenPro-Bold"/>
          <w:bCs/>
          <w:color w:val="231F20"/>
        </w:rPr>
        <w:t>304611/R02</w:t>
      </w:r>
    </w:p>
    <w:p w:rsidR="000A13F2" w:rsidRPr="00455E96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55E96">
        <w:rPr>
          <w:sz w:val="22"/>
          <w:szCs w:val="22"/>
        </w:rPr>
        <w:t xml:space="preserve">ABBOTT ARCHITECT </w:t>
      </w:r>
      <w:r w:rsidR="00C63D9F" w:rsidRPr="00455E96">
        <w:rPr>
          <w:sz w:val="22"/>
          <w:szCs w:val="22"/>
        </w:rPr>
        <w:t>Specific Proteins Multiconstituent</w:t>
      </w:r>
      <w:r w:rsidRPr="00455E96">
        <w:rPr>
          <w:sz w:val="22"/>
          <w:szCs w:val="22"/>
        </w:rPr>
        <w:t xml:space="preserve"> Calibrator package insert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Abbott Laboratories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Diagnostics Division</w:t>
      </w:r>
    </w:p>
    <w:p w:rsidR="000A13F2" w:rsidRPr="00455E96" w:rsidRDefault="000A13F2" w:rsidP="000A13F2">
      <w:pPr>
        <w:pStyle w:val="ListParagraph"/>
        <w:rPr>
          <w:sz w:val="22"/>
          <w:szCs w:val="22"/>
        </w:rPr>
      </w:pPr>
      <w:r w:rsidRPr="00455E96">
        <w:rPr>
          <w:sz w:val="22"/>
          <w:szCs w:val="22"/>
        </w:rPr>
        <w:t>Abbott Park, IL  60064</w:t>
      </w:r>
    </w:p>
    <w:p w:rsidR="00881923" w:rsidRPr="00455E96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455E96">
        <w:t>Abbott ARCHITECT</w:t>
      </w:r>
      <w:r w:rsidR="00D16B69" w:rsidRPr="00455E96">
        <w:rPr>
          <w:lang w:val="ru-RU"/>
        </w:rPr>
        <w:t xml:space="preserve"> Operator’s Guide</w:t>
      </w:r>
    </w:p>
    <w:p w:rsidR="00AB5354" w:rsidRPr="00455E96" w:rsidRDefault="00AB5354" w:rsidP="0009322F">
      <w:pPr>
        <w:rPr>
          <w:b/>
        </w:rPr>
      </w:pPr>
    </w:p>
    <w:p w:rsidR="00B45FE2" w:rsidRPr="00455E96" w:rsidRDefault="00B45FE2" w:rsidP="00246FA8">
      <w:pPr>
        <w:rPr>
          <w:b/>
        </w:rPr>
      </w:pPr>
    </w:p>
    <w:p w:rsidR="00881923" w:rsidRPr="00455E96" w:rsidRDefault="002D18CA" w:rsidP="00246FA8">
      <w:pPr>
        <w:rPr>
          <w:i/>
          <w:sz w:val="20"/>
          <w:szCs w:val="20"/>
        </w:rPr>
      </w:pPr>
      <w:r w:rsidRPr="00455E96">
        <w:rPr>
          <w:b/>
        </w:rPr>
        <w:t>R</w:t>
      </w:r>
      <w:r w:rsidR="0009322F" w:rsidRPr="00455E96">
        <w:rPr>
          <w:b/>
        </w:rPr>
        <w:t xml:space="preserve">elated Documents: </w:t>
      </w:r>
    </w:p>
    <w:p w:rsidR="00D16B69" w:rsidRPr="00455E96" w:rsidRDefault="00157696" w:rsidP="00455E96">
      <w:r w:rsidRPr="00455E96">
        <w:rPr>
          <w:b/>
        </w:rPr>
        <w:t>Attachments:</w:t>
      </w:r>
      <w:r w:rsidR="00973EAF" w:rsidRPr="00455E96">
        <w:rPr>
          <w:b/>
        </w:rPr>
        <w:t xml:space="preserve"> </w:t>
      </w:r>
      <w:bookmarkEnd w:id="0"/>
    </w:p>
    <w:sectPr w:rsidR="00D16B69" w:rsidRPr="00455E96" w:rsidSect="00507B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C5" w:rsidRDefault="00BC11C5">
      <w:r>
        <w:separator/>
      </w:r>
    </w:p>
  </w:endnote>
  <w:endnote w:type="continuationSeparator" w:id="0">
    <w:p w:rsidR="00BC11C5" w:rsidRDefault="00B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1" w:rsidRDefault="008F3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455E96">
      <w:rPr>
        <w:noProof/>
        <w:sz w:val="20"/>
        <w:szCs w:val="20"/>
      </w:rPr>
      <w:t>1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455E96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1" w:rsidRDefault="008F3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C5" w:rsidRDefault="00BC11C5">
      <w:r>
        <w:separator/>
      </w:r>
    </w:p>
  </w:footnote>
  <w:footnote w:type="continuationSeparator" w:id="0">
    <w:p w:rsidR="00BC11C5" w:rsidRDefault="00BC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1" w:rsidRDefault="008F3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1" w:rsidRDefault="00DA040A" w:rsidP="00100BF8">
    <w:pPr>
      <w:jc w:val="right"/>
      <w:rPr>
        <w:b/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</w:t>
    </w:r>
    <w:r w:rsidR="008F3171">
      <w:rPr>
        <w:b/>
        <w:sz w:val="20"/>
        <w:szCs w:val="20"/>
      </w:rPr>
      <w:t xml:space="preserve"> 4840-CH-204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715D55">
      <w:rPr>
        <w:sz w:val="20"/>
        <w:szCs w:val="20"/>
      </w:rPr>
      <w:t>Complement C4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1" w:rsidRDefault="008F3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B7A"/>
    <w:rsid w:val="00030CDD"/>
    <w:rsid w:val="00032E92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32081"/>
    <w:rsid w:val="00133F38"/>
    <w:rsid w:val="0014554C"/>
    <w:rsid w:val="0015066A"/>
    <w:rsid w:val="00155687"/>
    <w:rsid w:val="00157696"/>
    <w:rsid w:val="0016247C"/>
    <w:rsid w:val="00167572"/>
    <w:rsid w:val="00172CF7"/>
    <w:rsid w:val="00173EA4"/>
    <w:rsid w:val="0019760C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1DD8"/>
    <w:rsid w:val="00246FA8"/>
    <w:rsid w:val="0025031C"/>
    <w:rsid w:val="00253C1F"/>
    <w:rsid w:val="00255C54"/>
    <w:rsid w:val="002649AA"/>
    <w:rsid w:val="002746A8"/>
    <w:rsid w:val="00294A08"/>
    <w:rsid w:val="002B0D2A"/>
    <w:rsid w:val="002B1993"/>
    <w:rsid w:val="002C0E55"/>
    <w:rsid w:val="002C2F49"/>
    <w:rsid w:val="002C7FD5"/>
    <w:rsid w:val="002D18CA"/>
    <w:rsid w:val="002D2075"/>
    <w:rsid w:val="002D370D"/>
    <w:rsid w:val="002D38DF"/>
    <w:rsid w:val="002F52E0"/>
    <w:rsid w:val="003056A7"/>
    <w:rsid w:val="00324268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8B7"/>
    <w:rsid w:val="003D447C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5E96"/>
    <w:rsid w:val="00456575"/>
    <w:rsid w:val="00460600"/>
    <w:rsid w:val="00461686"/>
    <w:rsid w:val="0046271A"/>
    <w:rsid w:val="004708FA"/>
    <w:rsid w:val="00493DD1"/>
    <w:rsid w:val="004A03BD"/>
    <w:rsid w:val="004A2AA3"/>
    <w:rsid w:val="004C05F8"/>
    <w:rsid w:val="004C104D"/>
    <w:rsid w:val="004C2C23"/>
    <w:rsid w:val="004C37CB"/>
    <w:rsid w:val="004C73AF"/>
    <w:rsid w:val="004E0AFF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E3AB5"/>
    <w:rsid w:val="005E3D52"/>
    <w:rsid w:val="005F3E81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82038"/>
    <w:rsid w:val="00687C2F"/>
    <w:rsid w:val="006A15AE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15D55"/>
    <w:rsid w:val="0074336C"/>
    <w:rsid w:val="007703C0"/>
    <w:rsid w:val="007840DD"/>
    <w:rsid w:val="007B09E3"/>
    <w:rsid w:val="007B0CCE"/>
    <w:rsid w:val="007B247B"/>
    <w:rsid w:val="007C0237"/>
    <w:rsid w:val="007E4CE6"/>
    <w:rsid w:val="007E6C3C"/>
    <w:rsid w:val="0080146D"/>
    <w:rsid w:val="00804822"/>
    <w:rsid w:val="00812CCF"/>
    <w:rsid w:val="00833E15"/>
    <w:rsid w:val="00840C1C"/>
    <w:rsid w:val="00841397"/>
    <w:rsid w:val="00846F9F"/>
    <w:rsid w:val="00847607"/>
    <w:rsid w:val="00861504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06FF"/>
    <w:rsid w:val="008D30BD"/>
    <w:rsid w:val="008D4DF4"/>
    <w:rsid w:val="008E00E3"/>
    <w:rsid w:val="008F3171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0BE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F60"/>
    <w:rsid w:val="00A1152E"/>
    <w:rsid w:val="00A1486D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D402C"/>
    <w:rsid w:val="00AE6F5B"/>
    <w:rsid w:val="00AF597C"/>
    <w:rsid w:val="00B11C38"/>
    <w:rsid w:val="00B13AB5"/>
    <w:rsid w:val="00B24260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C11C5"/>
    <w:rsid w:val="00BC1EC4"/>
    <w:rsid w:val="00BC76E2"/>
    <w:rsid w:val="00BE40A6"/>
    <w:rsid w:val="00BF32B2"/>
    <w:rsid w:val="00C32412"/>
    <w:rsid w:val="00C3571A"/>
    <w:rsid w:val="00C46D5D"/>
    <w:rsid w:val="00C53E37"/>
    <w:rsid w:val="00C63D0C"/>
    <w:rsid w:val="00C63D9F"/>
    <w:rsid w:val="00C90E57"/>
    <w:rsid w:val="00C912E2"/>
    <w:rsid w:val="00C967D5"/>
    <w:rsid w:val="00CA11D0"/>
    <w:rsid w:val="00CA5058"/>
    <w:rsid w:val="00CC2751"/>
    <w:rsid w:val="00CC37B4"/>
    <w:rsid w:val="00CC3D62"/>
    <w:rsid w:val="00CE2DC7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3051"/>
    <w:rsid w:val="00DB49D0"/>
    <w:rsid w:val="00DC16C5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F4170"/>
    <w:rsid w:val="00F05CCD"/>
    <w:rsid w:val="00F13523"/>
    <w:rsid w:val="00F175CB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C1A-D5CA-457A-BCCB-70A11824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11649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kalckt</cp:lastModifiedBy>
  <cp:revision>3</cp:revision>
  <cp:lastPrinted>2012-02-10T12:42:00Z</cp:lastPrinted>
  <dcterms:created xsi:type="dcterms:W3CDTF">2018-08-22T20:52:00Z</dcterms:created>
  <dcterms:modified xsi:type="dcterms:W3CDTF">2018-10-24T15:51:00Z</dcterms:modified>
</cp:coreProperties>
</file>