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BF632D">
      <w:pPr>
        <w:rPr>
          <w:b/>
        </w:rPr>
      </w:pPr>
      <w:r>
        <w:rPr>
          <w:noProof/>
        </w:rPr>
        <w:drawing>
          <wp:inline distT="0" distB="0" distL="0" distR="0" wp14:anchorId="31A1B4ED" wp14:editId="23A6C682">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BF632D" w:rsidRPr="007E4CE6" w:rsidRDefault="00BF632D">
      <w:pPr>
        <w:rPr>
          <w:b/>
        </w:rPr>
      </w:pPr>
    </w:p>
    <w:p w:rsidR="00D006C7" w:rsidRPr="00D006C7" w:rsidRDefault="00A30D01" w:rsidP="006107A2">
      <w:pPr>
        <w:jc w:val="center"/>
        <w:rPr>
          <w:rFonts w:eastAsia="HelenPro-Regular"/>
          <w:b/>
          <w:sz w:val="28"/>
          <w:szCs w:val="28"/>
        </w:rPr>
      </w:pPr>
      <w:r>
        <w:rPr>
          <w:rFonts w:eastAsia="HelenPro-Regular"/>
          <w:b/>
          <w:sz w:val="28"/>
          <w:szCs w:val="28"/>
        </w:rPr>
        <w:t>CA 125</w:t>
      </w:r>
    </w:p>
    <w:p w:rsidR="0056023B" w:rsidRPr="001A639E" w:rsidRDefault="00A30D01" w:rsidP="006107A2">
      <w:pPr>
        <w:jc w:val="center"/>
        <w:rPr>
          <w:b/>
          <w:sz w:val="28"/>
          <w:szCs w:val="28"/>
        </w:rPr>
      </w:pPr>
      <w:r>
        <w:rPr>
          <w:b/>
          <w:sz w:val="28"/>
          <w:szCs w:val="28"/>
        </w:rPr>
        <w:t xml:space="preserve">SERUM OR </w:t>
      </w:r>
      <w:r w:rsidR="00C32412">
        <w:rPr>
          <w:b/>
          <w:sz w:val="28"/>
          <w:szCs w:val="28"/>
        </w:rPr>
        <w:t>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A03BD" w:rsidRPr="00A7716D" w:rsidRDefault="00A30D01" w:rsidP="00A30D01">
      <w:pPr>
        <w:autoSpaceDE w:val="0"/>
        <w:autoSpaceDN w:val="0"/>
        <w:adjustRightInd w:val="0"/>
        <w:rPr>
          <w:rFonts w:eastAsia="HelenPro-Regular"/>
        </w:rPr>
      </w:pPr>
      <w:r w:rsidRPr="004E04CB">
        <w:rPr>
          <w:rFonts w:eastAsia="HelenPro-Regular"/>
        </w:rPr>
        <w:t>The ARCHITECT CA 125 II assay is a</w:t>
      </w:r>
      <w:r w:rsidR="004E04CB">
        <w:rPr>
          <w:rFonts w:eastAsia="HelenPro-Regular"/>
        </w:rPr>
        <w:t xml:space="preserve"> </w:t>
      </w:r>
      <w:proofErr w:type="spellStart"/>
      <w:r w:rsidR="004E04CB">
        <w:rPr>
          <w:rFonts w:eastAsia="HelenPro-Regular"/>
        </w:rPr>
        <w:t>chemiluminescent</w:t>
      </w:r>
      <w:proofErr w:type="spellEnd"/>
      <w:r w:rsidR="004E04CB">
        <w:rPr>
          <w:rFonts w:eastAsia="HelenPro-Regular"/>
        </w:rPr>
        <w:t xml:space="preserve"> </w:t>
      </w:r>
      <w:proofErr w:type="spellStart"/>
      <w:r w:rsidR="004E04CB">
        <w:rPr>
          <w:rFonts w:eastAsia="HelenPro-Regular"/>
        </w:rPr>
        <w:t>microparticle</w:t>
      </w:r>
      <w:proofErr w:type="spellEnd"/>
      <w:r w:rsidR="004E04CB">
        <w:rPr>
          <w:rFonts w:eastAsia="HelenPro-Regular"/>
        </w:rPr>
        <w:t xml:space="preserve"> </w:t>
      </w:r>
      <w:r w:rsidRPr="004E04CB">
        <w:rPr>
          <w:rFonts w:eastAsia="HelenPro-Regular"/>
        </w:rPr>
        <w:t>immunoassay (CMIA) for the quantitative determination of OC 125 defined</w:t>
      </w:r>
      <w:r w:rsidR="004E04CB">
        <w:rPr>
          <w:rFonts w:eastAsia="HelenPro-Regular"/>
        </w:rPr>
        <w:t xml:space="preserve"> </w:t>
      </w:r>
      <w:r w:rsidRPr="004E04CB">
        <w:rPr>
          <w:rFonts w:eastAsia="HelenPro-Regular"/>
        </w:rPr>
        <w:t xml:space="preserve">antigen in human serum and plasma on the ARCHITECT </w:t>
      </w:r>
      <w:proofErr w:type="spellStart"/>
      <w:r w:rsidRPr="004E04CB">
        <w:rPr>
          <w:rFonts w:eastAsia="HelenPro-Regular"/>
          <w:i/>
          <w:iCs/>
        </w:rPr>
        <w:t>i</w:t>
      </w:r>
      <w:proofErr w:type="spellEnd"/>
      <w:r w:rsidRPr="004E04CB">
        <w:rPr>
          <w:rFonts w:eastAsia="HelenPro-Regular"/>
          <w:i/>
          <w:iCs/>
        </w:rPr>
        <w:t xml:space="preserve"> </w:t>
      </w:r>
      <w:r w:rsidRPr="004E04CB">
        <w:rPr>
          <w:rFonts w:eastAsia="HelenPro-Regular"/>
        </w:rPr>
        <w:t>System. The</w:t>
      </w:r>
      <w:r w:rsidR="004E04CB">
        <w:rPr>
          <w:rFonts w:eastAsia="HelenPro-Regular"/>
        </w:rPr>
        <w:t xml:space="preserve"> </w:t>
      </w:r>
      <w:r w:rsidRPr="004E04CB">
        <w:rPr>
          <w:rFonts w:eastAsia="HelenPro-Regular"/>
        </w:rPr>
        <w:t>ARCHITECT CA 125 II assay is to be used as an aid in monitoring response</w:t>
      </w:r>
      <w:r w:rsidR="004E04CB">
        <w:rPr>
          <w:rFonts w:eastAsia="HelenPro-Regular"/>
        </w:rPr>
        <w:t xml:space="preserve"> </w:t>
      </w:r>
      <w:r w:rsidRPr="004E04CB">
        <w:rPr>
          <w:rFonts w:eastAsia="HelenPro-Regular"/>
        </w:rPr>
        <w:t>to therapy for patients with epithelial ovarian cancer. Serial testing for</w:t>
      </w:r>
      <w:r w:rsidR="004E04CB">
        <w:rPr>
          <w:rFonts w:eastAsia="HelenPro-Regular"/>
        </w:rPr>
        <w:t xml:space="preserve"> </w:t>
      </w:r>
      <w:r w:rsidRPr="004E04CB">
        <w:rPr>
          <w:rFonts w:eastAsia="HelenPro-Regular"/>
        </w:rPr>
        <w:t>patient CA 125 II assay values should be used in conjunction with other</w:t>
      </w:r>
      <w:r w:rsidR="004E04CB">
        <w:rPr>
          <w:rFonts w:eastAsia="HelenPro-Regular"/>
        </w:rPr>
        <w:t xml:space="preserve"> </w:t>
      </w:r>
      <w:r w:rsidRPr="004E04CB">
        <w:rPr>
          <w:rFonts w:eastAsia="HelenPro-Regular"/>
        </w:rPr>
        <w:t>clinical methods used for monitoring ovarian cancer</w:t>
      </w:r>
      <w:r>
        <w:rPr>
          <w:rFonts w:ascii="HelenPro-Regular" w:eastAsia="HelenPro-Regular" w:cs="HelenPro-Regular"/>
          <w:sz w:val="16"/>
          <w:szCs w:val="16"/>
        </w:rPr>
        <w:t>.</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900D77" w:rsidRPr="004E04CB" w:rsidRDefault="00900D77" w:rsidP="00900D77">
      <w:pPr>
        <w:autoSpaceDE w:val="0"/>
        <w:autoSpaceDN w:val="0"/>
        <w:adjustRightInd w:val="0"/>
        <w:rPr>
          <w:rFonts w:eastAsia="HelenPro-Regular"/>
        </w:rPr>
      </w:pPr>
      <w:r w:rsidRPr="004E04CB">
        <w:rPr>
          <w:rFonts w:eastAsia="HelenPro-Regular"/>
        </w:rPr>
        <w:t>CA 125 II assay values are defined</w:t>
      </w:r>
      <w:r w:rsidR="004E04CB">
        <w:rPr>
          <w:rFonts w:eastAsia="HelenPro-Regular"/>
        </w:rPr>
        <w:t xml:space="preserve"> by using the OC 125 monoclonal </w:t>
      </w:r>
      <w:r w:rsidRPr="004E04CB">
        <w:rPr>
          <w:rFonts w:eastAsia="HelenPro-Regular"/>
        </w:rPr>
        <w:t>antibody. OC 125 was generated through the hybridization of mouse</w:t>
      </w:r>
      <w:r w:rsidR="004E04CB">
        <w:rPr>
          <w:rFonts w:eastAsia="HelenPro-Regular"/>
        </w:rPr>
        <w:t xml:space="preserve"> </w:t>
      </w:r>
      <w:r w:rsidRPr="004E04CB">
        <w:rPr>
          <w:rFonts w:eastAsia="HelenPro-Regular"/>
        </w:rPr>
        <w:t>myeloma cells to spleen cells from a mouse immunized with a human</w:t>
      </w:r>
      <w:r w:rsidR="004E04CB">
        <w:rPr>
          <w:rFonts w:eastAsia="HelenPro-Regular"/>
        </w:rPr>
        <w:t xml:space="preserve"> </w:t>
      </w:r>
      <w:r w:rsidRPr="004E04CB">
        <w:rPr>
          <w:rFonts w:eastAsia="HelenPro-Regular"/>
        </w:rPr>
        <w:t xml:space="preserve">serous </w:t>
      </w:r>
      <w:proofErr w:type="spellStart"/>
      <w:r w:rsidRPr="004E04CB">
        <w:rPr>
          <w:rFonts w:eastAsia="HelenPro-Regular"/>
        </w:rPr>
        <w:t>cystadenocarcinoma</w:t>
      </w:r>
      <w:proofErr w:type="spellEnd"/>
      <w:r w:rsidRPr="004E04CB">
        <w:rPr>
          <w:rFonts w:eastAsia="HelenPro-Regular"/>
        </w:rPr>
        <w:t xml:space="preserve"> cell line called OVCA 433. ARCHITECT</w:t>
      </w:r>
      <w:r w:rsidR="004E04CB">
        <w:rPr>
          <w:rFonts w:eastAsia="HelenPro-Regular"/>
        </w:rPr>
        <w:t xml:space="preserve"> </w:t>
      </w:r>
      <w:r w:rsidRPr="004E04CB">
        <w:rPr>
          <w:rFonts w:eastAsia="HelenPro-Regular"/>
        </w:rPr>
        <w:t>CA 125 II is a second-generation assay for the detection of OC 125</w:t>
      </w:r>
      <w:r w:rsidR="004E04CB">
        <w:rPr>
          <w:rFonts w:eastAsia="HelenPro-Regular"/>
        </w:rPr>
        <w:t xml:space="preserve"> </w:t>
      </w:r>
      <w:r w:rsidRPr="004E04CB">
        <w:rPr>
          <w:rFonts w:eastAsia="HelenPro-Regular"/>
        </w:rPr>
        <w:t>defined antigen. The assay utilizes the OC 125 monoclonal antibody, as</w:t>
      </w:r>
      <w:r w:rsidR="004E04CB">
        <w:rPr>
          <w:rFonts w:eastAsia="HelenPro-Regular"/>
        </w:rPr>
        <w:t xml:space="preserve"> </w:t>
      </w:r>
      <w:r w:rsidRPr="004E04CB">
        <w:rPr>
          <w:rFonts w:eastAsia="HelenPro-Regular"/>
        </w:rPr>
        <w:t xml:space="preserve">the capture antibody coated onto paramagnetic </w:t>
      </w:r>
      <w:proofErr w:type="spellStart"/>
      <w:r w:rsidRPr="004E04CB">
        <w:rPr>
          <w:rFonts w:eastAsia="HelenPro-Regular"/>
        </w:rPr>
        <w:t>microparticles</w:t>
      </w:r>
      <w:proofErr w:type="spellEnd"/>
      <w:r w:rsidRPr="004E04CB">
        <w:rPr>
          <w:rFonts w:eastAsia="HelenPro-Regular"/>
        </w:rPr>
        <w:t xml:space="preserve"> that bind</w:t>
      </w:r>
      <w:r w:rsidR="004E04CB">
        <w:rPr>
          <w:rFonts w:eastAsia="HelenPro-Regular"/>
        </w:rPr>
        <w:t xml:space="preserve"> </w:t>
      </w:r>
      <w:r w:rsidRPr="004E04CB">
        <w:rPr>
          <w:rFonts w:eastAsia="HelenPro-Regular"/>
        </w:rPr>
        <w:t>molecules containing OC 125 defined antigen. These defined antigens are</w:t>
      </w:r>
      <w:r w:rsidR="004E04CB">
        <w:rPr>
          <w:rFonts w:eastAsia="HelenPro-Regular"/>
        </w:rPr>
        <w:t xml:space="preserve"> </w:t>
      </w:r>
      <w:r w:rsidRPr="004E04CB">
        <w:rPr>
          <w:rFonts w:eastAsia="HelenPro-Regular"/>
        </w:rPr>
        <w:t xml:space="preserve">quantified using </w:t>
      </w:r>
      <w:proofErr w:type="spellStart"/>
      <w:r w:rsidRPr="004E04CB">
        <w:rPr>
          <w:rFonts w:eastAsia="HelenPro-Regular"/>
        </w:rPr>
        <w:t>acridinium</w:t>
      </w:r>
      <w:proofErr w:type="spellEnd"/>
      <w:r w:rsidRPr="004E04CB">
        <w:rPr>
          <w:rFonts w:eastAsia="HelenPro-Regular"/>
        </w:rPr>
        <w:t>-labeled M11 antibody. The OC 125 monoclonal</w:t>
      </w:r>
      <w:r w:rsidR="004E04CB">
        <w:rPr>
          <w:rFonts w:eastAsia="HelenPro-Regular"/>
        </w:rPr>
        <w:t xml:space="preserve"> </w:t>
      </w:r>
      <w:r w:rsidRPr="004E04CB">
        <w:rPr>
          <w:rFonts w:eastAsia="HelenPro-Regular"/>
        </w:rPr>
        <w:t>antibody is reactive with repeating OC 125 defined antigen expressed</w:t>
      </w:r>
      <w:r w:rsidR="004E04CB">
        <w:rPr>
          <w:rFonts w:eastAsia="HelenPro-Regular"/>
        </w:rPr>
        <w:t xml:space="preserve"> </w:t>
      </w:r>
      <w:r w:rsidRPr="004E04CB">
        <w:rPr>
          <w:rFonts w:eastAsia="HelenPro-Regular"/>
        </w:rPr>
        <w:t xml:space="preserve">by a high percentage of </w:t>
      </w:r>
      <w:proofErr w:type="spellStart"/>
      <w:r w:rsidRPr="004E04CB">
        <w:rPr>
          <w:rFonts w:eastAsia="HelenPro-Regular"/>
        </w:rPr>
        <w:t>nonmucinous</w:t>
      </w:r>
      <w:proofErr w:type="spellEnd"/>
      <w:r w:rsidRPr="004E04CB">
        <w:rPr>
          <w:rFonts w:eastAsia="HelenPro-Regular"/>
        </w:rPr>
        <w:t xml:space="preserve"> ovarian carcinomas (serous,</w:t>
      </w:r>
      <w:r w:rsidR="004E04CB">
        <w:rPr>
          <w:rFonts w:eastAsia="HelenPro-Regular"/>
        </w:rPr>
        <w:t xml:space="preserve"> </w:t>
      </w:r>
      <w:proofErr w:type="spellStart"/>
      <w:r w:rsidRPr="004E04CB">
        <w:rPr>
          <w:rFonts w:eastAsia="HelenPro-Regular"/>
        </w:rPr>
        <w:t>endometrioid</w:t>
      </w:r>
      <w:proofErr w:type="spellEnd"/>
      <w:r w:rsidRPr="004E04CB">
        <w:rPr>
          <w:rFonts w:eastAsia="HelenPro-Regular"/>
        </w:rPr>
        <w:t xml:space="preserve">, clear cell, and undifferentiated </w:t>
      </w:r>
      <w:proofErr w:type="spellStart"/>
      <w:r w:rsidRPr="004E04CB">
        <w:rPr>
          <w:rFonts w:eastAsia="HelenPro-Regular"/>
        </w:rPr>
        <w:t>histologies</w:t>
      </w:r>
      <w:proofErr w:type="spellEnd"/>
      <w:r w:rsidRPr="004E04CB">
        <w:rPr>
          <w:rFonts w:eastAsia="HelenPro-Regular"/>
        </w:rPr>
        <w:t>) and epithelial</w:t>
      </w:r>
      <w:r w:rsidR="004E04CB">
        <w:rPr>
          <w:rFonts w:eastAsia="HelenPro-Regular"/>
        </w:rPr>
        <w:t xml:space="preserve"> </w:t>
      </w:r>
      <w:r w:rsidRPr="004E04CB">
        <w:rPr>
          <w:rFonts w:eastAsia="HelenPro-Regular"/>
        </w:rPr>
        <w:t>ovarian carcinoma cell lines. OC 125 defined antigens were originally</w:t>
      </w:r>
      <w:r w:rsidR="004E04CB">
        <w:rPr>
          <w:rFonts w:eastAsia="HelenPro-Regular"/>
        </w:rPr>
        <w:t xml:space="preserve"> </w:t>
      </w:r>
      <w:r w:rsidRPr="004E04CB">
        <w:rPr>
          <w:rFonts w:eastAsia="HelenPro-Regular"/>
        </w:rPr>
        <w:t>detected in normal peritoneal, pleural and pericardial tissues of both fetus</w:t>
      </w:r>
      <w:r w:rsidR="004E04CB">
        <w:rPr>
          <w:rFonts w:eastAsia="HelenPro-Regular"/>
        </w:rPr>
        <w:t xml:space="preserve"> </w:t>
      </w:r>
      <w:r w:rsidRPr="004E04CB">
        <w:rPr>
          <w:rFonts w:eastAsia="HelenPro-Regular"/>
        </w:rPr>
        <w:t>and adult. In the fetus, OC 125 defined antigens have been localized in</w:t>
      </w:r>
      <w:r w:rsidR="004E04CB">
        <w:rPr>
          <w:rFonts w:eastAsia="HelenPro-Regular"/>
        </w:rPr>
        <w:t xml:space="preserve"> </w:t>
      </w:r>
      <w:r w:rsidRPr="004E04CB">
        <w:rPr>
          <w:rFonts w:eastAsia="HelenPro-Regular"/>
        </w:rPr>
        <w:t xml:space="preserve">amniotic and umbilical epithelial and </w:t>
      </w:r>
      <w:proofErr w:type="spellStart"/>
      <w:r w:rsidRPr="004E04CB">
        <w:rPr>
          <w:rFonts w:eastAsia="HelenPro-Regular"/>
        </w:rPr>
        <w:t>Mullerian</w:t>
      </w:r>
      <w:proofErr w:type="spellEnd"/>
      <w:r w:rsidRPr="004E04CB">
        <w:rPr>
          <w:rFonts w:eastAsia="HelenPro-Regular"/>
        </w:rPr>
        <w:t xml:space="preserve"> epithelial tissues. In the</w:t>
      </w:r>
      <w:r w:rsidR="004E04CB">
        <w:rPr>
          <w:rFonts w:eastAsia="HelenPro-Regular"/>
        </w:rPr>
        <w:t xml:space="preserve"> </w:t>
      </w:r>
      <w:r w:rsidRPr="004E04CB">
        <w:rPr>
          <w:rFonts w:eastAsia="HelenPro-Regular"/>
        </w:rPr>
        <w:t xml:space="preserve">adult, localization has been identified in </w:t>
      </w:r>
      <w:proofErr w:type="spellStart"/>
      <w:r w:rsidRPr="004E04CB">
        <w:rPr>
          <w:rFonts w:eastAsia="HelenPro-Regular"/>
        </w:rPr>
        <w:t>endocervical</w:t>
      </w:r>
      <w:proofErr w:type="spellEnd"/>
      <w:r w:rsidRPr="004E04CB">
        <w:rPr>
          <w:rFonts w:eastAsia="HelenPro-Regular"/>
        </w:rPr>
        <w:t xml:space="preserve"> and endometrial</w:t>
      </w:r>
      <w:r w:rsidR="004E04CB">
        <w:rPr>
          <w:rFonts w:eastAsia="HelenPro-Regular"/>
        </w:rPr>
        <w:t xml:space="preserve"> </w:t>
      </w:r>
      <w:r w:rsidRPr="004E04CB">
        <w:rPr>
          <w:rFonts w:eastAsia="HelenPro-Regular"/>
        </w:rPr>
        <w:t>tissues and ovarian inclusion cysts and papillary excrescences. However,</w:t>
      </w:r>
      <w:r w:rsidR="004E04CB">
        <w:rPr>
          <w:rFonts w:eastAsia="HelenPro-Regular"/>
        </w:rPr>
        <w:t xml:space="preserve"> </w:t>
      </w:r>
      <w:r w:rsidRPr="004E04CB">
        <w:rPr>
          <w:rFonts w:eastAsia="HelenPro-Regular"/>
        </w:rPr>
        <w:t>OC 125 defined antigens were not detected in fetal ovarian tissue or</w:t>
      </w:r>
      <w:r w:rsidR="004E04CB">
        <w:rPr>
          <w:rFonts w:eastAsia="HelenPro-Regular"/>
        </w:rPr>
        <w:t xml:space="preserve"> </w:t>
      </w:r>
      <w:r w:rsidRPr="004E04CB">
        <w:rPr>
          <w:rFonts w:eastAsia="HelenPro-Regular"/>
        </w:rPr>
        <w:t>other normal adult ovarian tissues or benign mucinous ovarian tumors. In</w:t>
      </w:r>
      <w:r w:rsidR="004E04CB">
        <w:rPr>
          <w:rFonts w:eastAsia="HelenPro-Regular"/>
        </w:rPr>
        <w:t xml:space="preserve"> </w:t>
      </w:r>
      <w:r w:rsidRPr="004E04CB">
        <w:rPr>
          <w:rFonts w:eastAsia="HelenPro-Regular"/>
        </w:rPr>
        <w:t>serum, the OC 125 defined antigens are associated with high molecular</w:t>
      </w:r>
      <w:r w:rsidR="004E04CB">
        <w:rPr>
          <w:rFonts w:eastAsia="HelenPro-Regular"/>
        </w:rPr>
        <w:t xml:space="preserve"> </w:t>
      </w:r>
      <w:r w:rsidRPr="004E04CB">
        <w:rPr>
          <w:rFonts w:eastAsia="HelenPro-Regular"/>
        </w:rPr>
        <w:t>weight glycoproteins heterogeneous in size and charge. The structure of</w:t>
      </w:r>
      <w:r w:rsidR="004E04CB">
        <w:rPr>
          <w:rFonts w:eastAsia="HelenPro-Regular"/>
        </w:rPr>
        <w:t xml:space="preserve"> </w:t>
      </w:r>
      <w:r w:rsidRPr="004E04CB">
        <w:rPr>
          <w:rFonts w:eastAsia="HelenPro-Regular"/>
        </w:rPr>
        <w:t>the CA 125 molecule, including closely situated repeating epitopes for OC</w:t>
      </w:r>
      <w:r w:rsidR="004E04CB">
        <w:rPr>
          <w:rFonts w:eastAsia="HelenPro-Regular"/>
        </w:rPr>
        <w:t xml:space="preserve"> </w:t>
      </w:r>
      <w:r w:rsidRPr="004E04CB">
        <w:rPr>
          <w:rFonts w:eastAsia="HelenPro-Regular"/>
        </w:rPr>
        <w:t>125 and M11 antibodies has been proposed.</w:t>
      </w:r>
      <w:r w:rsidR="004E04CB">
        <w:rPr>
          <w:rFonts w:eastAsia="HelenPro-Regular"/>
        </w:rPr>
        <w:t xml:space="preserve"> </w:t>
      </w:r>
      <w:r w:rsidRPr="004E04CB">
        <w:rPr>
          <w:rFonts w:eastAsia="HelenPro-Regular"/>
        </w:rPr>
        <w:t>Serum CA 125 II assay values are useful for monitoring the course of</w:t>
      </w:r>
      <w:r w:rsidR="004E04CB">
        <w:rPr>
          <w:rFonts w:eastAsia="HelenPro-Regular"/>
        </w:rPr>
        <w:t xml:space="preserve"> </w:t>
      </w:r>
      <w:r w:rsidRPr="004E04CB">
        <w:rPr>
          <w:rFonts w:eastAsia="HelenPro-Regular"/>
        </w:rPr>
        <w:t>disease in patients with invasive epithelial ovarian cancer. In a review</w:t>
      </w:r>
      <w:r w:rsidR="004E04CB">
        <w:rPr>
          <w:rFonts w:eastAsia="HelenPro-Regular"/>
        </w:rPr>
        <w:t xml:space="preserve"> </w:t>
      </w:r>
      <w:r w:rsidRPr="004E04CB">
        <w:rPr>
          <w:rFonts w:eastAsia="HelenPro-Regular"/>
        </w:rPr>
        <w:t>of nine published studies, the overall correlation reported between</w:t>
      </w:r>
      <w:r w:rsidR="004E04CB">
        <w:rPr>
          <w:rFonts w:eastAsia="HelenPro-Regular"/>
        </w:rPr>
        <w:t xml:space="preserve"> </w:t>
      </w:r>
      <w:r w:rsidRPr="004E04CB">
        <w:rPr>
          <w:rFonts w:eastAsia="HelenPro-Regular"/>
        </w:rPr>
        <w:t>CA 125 serum levels and the course of the disease was 87%.Persistently</w:t>
      </w:r>
      <w:r w:rsidR="004E04CB">
        <w:rPr>
          <w:rFonts w:eastAsia="HelenPro-Regular"/>
        </w:rPr>
        <w:t xml:space="preserve"> </w:t>
      </w:r>
      <w:r w:rsidRPr="004E04CB">
        <w:rPr>
          <w:rFonts w:eastAsia="HelenPro-Regular"/>
        </w:rPr>
        <w:t>rising CA 125 assay values may be associated with malignant disease and</w:t>
      </w:r>
      <w:r w:rsidR="004E04CB">
        <w:rPr>
          <w:rFonts w:eastAsia="HelenPro-Regular"/>
        </w:rPr>
        <w:t xml:space="preserve"> </w:t>
      </w:r>
      <w:r w:rsidRPr="004E04CB">
        <w:rPr>
          <w:rFonts w:eastAsia="HelenPro-Regular"/>
        </w:rPr>
        <w:t>poor response to therapy, whereas decreasing CA 125 assay values may</w:t>
      </w:r>
      <w:r w:rsidR="004E04CB">
        <w:rPr>
          <w:rFonts w:eastAsia="HelenPro-Regular"/>
        </w:rPr>
        <w:t xml:space="preserve"> </w:t>
      </w:r>
      <w:r w:rsidRPr="004E04CB">
        <w:rPr>
          <w:rFonts w:eastAsia="HelenPro-Regular"/>
        </w:rPr>
        <w:t>indicate a favorable response to therapy.</w:t>
      </w:r>
    </w:p>
    <w:p w:rsidR="00900D77" w:rsidRPr="004E04CB" w:rsidRDefault="00900D77" w:rsidP="00900D77">
      <w:pPr>
        <w:autoSpaceDE w:val="0"/>
        <w:autoSpaceDN w:val="0"/>
        <w:adjustRightInd w:val="0"/>
        <w:rPr>
          <w:rFonts w:eastAsia="HelenPro-Regular"/>
        </w:rPr>
      </w:pPr>
      <w:r w:rsidRPr="004E04CB">
        <w:rPr>
          <w:rFonts w:eastAsia="HelenPro-Regular"/>
        </w:rPr>
        <w:t xml:space="preserve">A second-look, exploratory laparotomy </w:t>
      </w:r>
      <w:r w:rsidR="004E04CB">
        <w:rPr>
          <w:rFonts w:eastAsia="HelenPro-Regular"/>
        </w:rPr>
        <w:t xml:space="preserve">may have been performed </w:t>
      </w:r>
      <w:r w:rsidRPr="004E04CB">
        <w:rPr>
          <w:rFonts w:eastAsia="HelenPro-Regular"/>
        </w:rPr>
        <w:t>previously to assess response to therapy. The benefit has recently come</w:t>
      </w:r>
      <w:r w:rsidR="004E04CB">
        <w:rPr>
          <w:rFonts w:eastAsia="HelenPro-Regular"/>
        </w:rPr>
        <w:t xml:space="preserve"> </w:t>
      </w:r>
      <w:r w:rsidRPr="004E04CB">
        <w:rPr>
          <w:rFonts w:eastAsia="HelenPro-Regular"/>
        </w:rPr>
        <w:t>into question because of high morbidity and low sensitivity in detecting</w:t>
      </w:r>
      <w:r w:rsidR="004E04CB">
        <w:rPr>
          <w:rFonts w:eastAsia="HelenPro-Regular"/>
        </w:rPr>
        <w:t xml:space="preserve"> </w:t>
      </w:r>
      <w:r w:rsidRPr="004E04CB">
        <w:rPr>
          <w:rFonts w:eastAsia="HelenPro-Regular"/>
        </w:rPr>
        <w:t>residual or recurrent carcinoma. In women with primary epithelial ovarian</w:t>
      </w:r>
      <w:r w:rsidR="004E04CB">
        <w:rPr>
          <w:rFonts w:eastAsia="HelenPro-Regular"/>
        </w:rPr>
        <w:t xml:space="preserve"> </w:t>
      </w:r>
      <w:r w:rsidRPr="004E04CB">
        <w:rPr>
          <w:rFonts w:eastAsia="HelenPro-Regular"/>
        </w:rPr>
        <w:t>carcinoma who had undergone first-line therapy and were candidates for</w:t>
      </w:r>
      <w:r w:rsidR="004E04CB">
        <w:rPr>
          <w:rFonts w:eastAsia="HelenPro-Regular"/>
        </w:rPr>
        <w:t xml:space="preserve"> </w:t>
      </w:r>
      <w:r w:rsidRPr="004E04CB">
        <w:rPr>
          <w:rFonts w:eastAsia="HelenPro-Regular"/>
        </w:rPr>
        <w:t>diagnostic second-look procedures, a CA 125 assay value greater than or</w:t>
      </w:r>
      <w:r w:rsidR="004E04CB">
        <w:rPr>
          <w:rFonts w:eastAsia="HelenPro-Regular"/>
        </w:rPr>
        <w:t xml:space="preserve"> </w:t>
      </w:r>
      <w:r w:rsidRPr="004E04CB">
        <w:rPr>
          <w:rFonts w:eastAsia="HelenPro-Regular"/>
        </w:rPr>
        <w:t>equal to 35 U/mL was found to be indicative of the presence of residual</w:t>
      </w:r>
    </w:p>
    <w:p w:rsidR="00D84ADA" w:rsidRPr="004E04CB" w:rsidRDefault="00900D77" w:rsidP="00900D77">
      <w:pPr>
        <w:autoSpaceDE w:val="0"/>
        <w:autoSpaceDN w:val="0"/>
        <w:adjustRightInd w:val="0"/>
        <w:rPr>
          <w:rFonts w:eastAsia="HelenPro-Regular"/>
        </w:rPr>
      </w:pPr>
      <w:r w:rsidRPr="004E04CB">
        <w:rPr>
          <w:rFonts w:eastAsia="HelenPro-Regular"/>
        </w:rPr>
        <w:lastRenderedPageBreak/>
        <w:t xml:space="preserve">tumor. However, a CA 125 assay value below </w:t>
      </w:r>
      <w:r w:rsidR="004E04CB">
        <w:rPr>
          <w:rFonts w:eastAsia="HelenPro-Regular"/>
        </w:rPr>
        <w:t xml:space="preserve">35 U/mL does not </w:t>
      </w:r>
      <w:r w:rsidRPr="004E04CB">
        <w:rPr>
          <w:rFonts w:eastAsia="HelenPro-Regular"/>
        </w:rPr>
        <w:t>indicate the absence of residual ovarian cancer because patients with</w:t>
      </w:r>
      <w:r w:rsidR="004E04CB">
        <w:rPr>
          <w:rFonts w:eastAsia="HelenPro-Regular"/>
        </w:rPr>
        <w:t xml:space="preserve"> </w:t>
      </w:r>
      <w:proofErr w:type="spellStart"/>
      <w:r w:rsidRPr="004E04CB">
        <w:rPr>
          <w:rFonts w:eastAsia="HelenPro-Regular"/>
        </w:rPr>
        <w:t>histopathologic</w:t>
      </w:r>
      <w:proofErr w:type="spellEnd"/>
      <w:r w:rsidRPr="004E04CB">
        <w:rPr>
          <w:rFonts w:eastAsia="HelenPro-Regular"/>
        </w:rPr>
        <w:t xml:space="preserve"> evidence of ovarian carcinoma may have CA 125 assay</w:t>
      </w:r>
      <w:r w:rsidR="004E04CB">
        <w:rPr>
          <w:rFonts w:eastAsia="HelenPro-Regular"/>
        </w:rPr>
        <w:t xml:space="preserve"> </w:t>
      </w:r>
      <w:r w:rsidRPr="004E04CB">
        <w:rPr>
          <w:rFonts w:eastAsia="HelenPro-Regular"/>
        </w:rPr>
        <w:t>values within the range of normal individuals.</w:t>
      </w:r>
    </w:p>
    <w:p w:rsidR="00900D77" w:rsidRPr="004E04CB" w:rsidRDefault="00900D77" w:rsidP="00900D77">
      <w:pPr>
        <w:autoSpaceDE w:val="0"/>
        <w:autoSpaceDN w:val="0"/>
        <w:adjustRightInd w:val="0"/>
        <w:rPr>
          <w:rFonts w:eastAsia="HelenPro-Regular"/>
        </w:rPr>
      </w:pPr>
      <w:r w:rsidRPr="004E04CB">
        <w:rPr>
          <w:rFonts w:eastAsia="HelenPro-Regular"/>
        </w:rPr>
        <w:t>Elevations of CA 125 assay values have</w:t>
      </w:r>
      <w:r w:rsidR="004E04CB">
        <w:rPr>
          <w:rFonts w:eastAsia="HelenPro-Regular"/>
        </w:rPr>
        <w:t xml:space="preserve"> been reported in approximately </w:t>
      </w:r>
      <w:r w:rsidRPr="004E04CB">
        <w:rPr>
          <w:rFonts w:eastAsia="HelenPro-Regular"/>
        </w:rPr>
        <w:t>1-2% of healthy individuals, and in individuals with nonmalignant</w:t>
      </w:r>
      <w:r w:rsidR="004E04CB">
        <w:rPr>
          <w:rFonts w:eastAsia="HelenPro-Regular"/>
        </w:rPr>
        <w:t xml:space="preserve"> </w:t>
      </w:r>
      <w:r w:rsidRPr="004E04CB">
        <w:rPr>
          <w:rFonts w:eastAsia="HelenPro-Regular"/>
        </w:rPr>
        <w:t>conditions such as cirrhosis, hepatitis, endometriosis, first</w:t>
      </w:r>
    </w:p>
    <w:p w:rsidR="00900D77" w:rsidRPr="004E04CB" w:rsidRDefault="00900D77" w:rsidP="00900D77">
      <w:pPr>
        <w:autoSpaceDE w:val="0"/>
        <w:autoSpaceDN w:val="0"/>
        <w:adjustRightInd w:val="0"/>
        <w:rPr>
          <w:rFonts w:eastAsia="HelenPro-Regular"/>
        </w:rPr>
      </w:pPr>
      <w:r w:rsidRPr="004E04CB">
        <w:rPr>
          <w:rFonts w:eastAsia="HelenPro-Regular"/>
        </w:rPr>
        <w:t xml:space="preserve">trimester pregnancy, ovarian cysts, </w:t>
      </w:r>
      <w:r w:rsidR="004E04CB">
        <w:rPr>
          <w:rFonts w:eastAsia="HelenPro-Regular"/>
        </w:rPr>
        <w:t xml:space="preserve">and pelvic inflammatory </w:t>
      </w:r>
      <w:r w:rsidRPr="004E04CB">
        <w:rPr>
          <w:rFonts w:eastAsia="HelenPro-Regular"/>
        </w:rPr>
        <w:t>disease. Elevations of CA 125 assay values during the menstrual</w:t>
      </w:r>
      <w:r w:rsidR="004E04CB">
        <w:rPr>
          <w:rFonts w:eastAsia="HelenPro-Regular"/>
        </w:rPr>
        <w:t xml:space="preserve"> </w:t>
      </w:r>
      <w:r w:rsidRPr="004E04CB">
        <w:rPr>
          <w:rFonts w:eastAsia="HelenPro-Regular"/>
        </w:rPr>
        <w:t>cycle have also been reported. Non-ovarian malignancies in which</w:t>
      </w:r>
    </w:p>
    <w:p w:rsidR="00900D77" w:rsidRPr="007150E8" w:rsidRDefault="00900D77" w:rsidP="00900D77">
      <w:pPr>
        <w:autoSpaceDE w:val="0"/>
        <w:autoSpaceDN w:val="0"/>
        <w:adjustRightInd w:val="0"/>
        <w:rPr>
          <w:rFonts w:eastAsia="HelenPro-Regular"/>
        </w:rPr>
      </w:pPr>
      <w:r w:rsidRPr="004E04CB">
        <w:rPr>
          <w:rFonts w:eastAsia="HelenPro-Regular"/>
        </w:rPr>
        <w:t xml:space="preserve">CA 125 assay values have been reported include </w:t>
      </w:r>
      <w:proofErr w:type="spellStart"/>
      <w:r w:rsidRPr="004E04CB">
        <w:rPr>
          <w:rFonts w:eastAsia="HelenPro-Regular"/>
        </w:rPr>
        <w:t>endocervical</w:t>
      </w:r>
      <w:proofErr w:type="spellEnd"/>
      <w:r w:rsidRPr="004E04CB">
        <w:rPr>
          <w:rFonts w:eastAsia="HelenPro-Regular"/>
        </w:rPr>
        <w:t>, liver,</w:t>
      </w:r>
      <w:r w:rsidR="004E04CB">
        <w:rPr>
          <w:rFonts w:eastAsia="HelenPro-Regular"/>
        </w:rPr>
        <w:t xml:space="preserve"> </w:t>
      </w:r>
      <w:r w:rsidRPr="004E04CB">
        <w:rPr>
          <w:rFonts w:eastAsia="HelenPro-Regular"/>
        </w:rPr>
        <w:t>pancreatic, lung, colon, stomach, biliary tract, uterine,</w:t>
      </w:r>
      <w:r w:rsidR="004E04CB">
        <w:rPr>
          <w:rFonts w:eastAsia="HelenPro-Regular"/>
        </w:rPr>
        <w:t xml:space="preserve"> </w:t>
      </w:r>
      <w:r w:rsidRPr="004E04CB">
        <w:rPr>
          <w:rFonts w:eastAsia="HelenPro-Regular"/>
        </w:rPr>
        <w:t>fallopian tube, breast, and endometrial carcinomas. The CA 125</w:t>
      </w:r>
      <w:r w:rsidR="004E04CB">
        <w:rPr>
          <w:rFonts w:eastAsia="HelenPro-Regular"/>
        </w:rPr>
        <w:t xml:space="preserve"> </w:t>
      </w:r>
      <w:r w:rsidRPr="004E04CB">
        <w:rPr>
          <w:rFonts w:eastAsia="HelenPro-Regular"/>
        </w:rPr>
        <w:t>assay is not recommended as a screening procedure to detect cancer in</w:t>
      </w:r>
      <w:r w:rsidR="004E04CB">
        <w:rPr>
          <w:rFonts w:eastAsia="HelenPro-Regular"/>
        </w:rPr>
        <w:t xml:space="preserve"> </w:t>
      </w:r>
      <w:r w:rsidRPr="004E04CB">
        <w:rPr>
          <w:rFonts w:eastAsia="HelenPro-Regular"/>
        </w:rPr>
        <w:t>the general population; however, the use of CA 125 assay values as an</w:t>
      </w:r>
      <w:r w:rsidR="004E04CB">
        <w:rPr>
          <w:rFonts w:eastAsia="HelenPro-Regular"/>
        </w:rPr>
        <w:t xml:space="preserve"> </w:t>
      </w:r>
      <w:r w:rsidRPr="004E04CB">
        <w:rPr>
          <w:rFonts w:eastAsia="HelenPro-Regular"/>
        </w:rPr>
        <w:t>aid in the management of ovarian cancer patients has been reported.</w:t>
      </w:r>
    </w:p>
    <w:p w:rsidR="00DA0D83" w:rsidRDefault="00DA0D83" w:rsidP="008A7F96">
      <w:pPr>
        <w:jc w:val="both"/>
        <w:rPr>
          <w:b/>
          <w:sz w:val="28"/>
          <w:szCs w:val="28"/>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E04CB" w:rsidRDefault="008A7F96" w:rsidP="008A7F96">
      <w:pPr>
        <w:jc w:val="both"/>
      </w:pPr>
    </w:p>
    <w:p w:rsidR="00900D77" w:rsidRPr="004E04CB" w:rsidRDefault="00900D77" w:rsidP="00900D77">
      <w:pPr>
        <w:autoSpaceDE w:val="0"/>
        <w:autoSpaceDN w:val="0"/>
        <w:adjustRightInd w:val="0"/>
        <w:rPr>
          <w:rFonts w:eastAsia="HelenPro-Regular"/>
        </w:rPr>
      </w:pPr>
      <w:r w:rsidRPr="004E04CB">
        <w:rPr>
          <w:rFonts w:eastAsia="HelenPro-Regular"/>
        </w:rPr>
        <w:t>The ARCHITECT CA 125 II assay is a tw</w:t>
      </w:r>
      <w:r w:rsidR="004E04CB">
        <w:rPr>
          <w:rFonts w:eastAsia="HelenPro-Regular"/>
        </w:rPr>
        <w:t xml:space="preserve">o-step immunoassay to determine </w:t>
      </w:r>
      <w:r w:rsidRPr="004E04CB">
        <w:rPr>
          <w:rFonts w:eastAsia="HelenPro-Regular"/>
        </w:rPr>
        <w:t>the presence of OC 125 defined antigen in human serum and plasma, using</w:t>
      </w:r>
      <w:r w:rsidR="004E04CB">
        <w:rPr>
          <w:rFonts w:eastAsia="HelenPro-Regular"/>
        </w:rPr>
        <w:t xml:space="preserve"> </w:t>
      </w:r>
      <w:r w:rsidRPr="004E04CB">
        <w:rPr>
          <w:rFonts w:eastAsia="HelenPro-Regular"/>
        </w:rPr>
        <w:t xml:space="preserve">CMIA technology with flexible assay protocols, referred to as </w:t>
      </w:r>
      <w:proofErr w:type="spellStart"/>
      <w:r w:rsidRPr="004E04CB">
        <w:rPr>
          <w:rFonts w:eastAsia="HelenPro-Regular"/>
        </w:rPr>
        <w:t>Chemiflex</w:t>
      </w:r>
      <w:proofErr w:type="spellEnd"/>
      <w:r w:rsidRPr="004E04CB">
        <w:rPr>
          <w:rFonts w:eastAsia="HelenPro-Regular"/>
        </w:rPr>
        <w:t>.</w:t>
      </w:r>
    </w:p>
    <w:p w:rsidR="00900D77" w:rsidRPr="004E04CB" w:rsidRDefault="00900D77" w:rsidP="00900D77">
      <w:pPr>
        <w:autoSpaceDE w:val="0"/>
        <w:autoSpaceDN w:val="0"/>
        <w:adjustRightInd w:val="0"/>
        <w:rPr>
          <w:rFonts w:eastAsia="HelenPro-Regular"/>
        </w:rPr>
      </w:pPr>
      <w:r w:rsidRPr="004E04CB">
        <w:rPr>
          <w:rFonts w:eastAsia="HelenPro-Regular"/>
        </w:rPr>
        <w:t>In the first step, sample and OC 125 coa</w:t>
      </w:r>
      <w:r w:rsidR="004E04CB">
        <w:rPr>
          <w:rFonts w:eastAsia="HelenPro-Regular"/>
        </w:rPr>
        <w:t xml:space="preserve">ted paramagnetic </w:t>
      </w:r>
      <w:proofErr w:type="spellStart"/>
      <w:r w:rsidR="004E04CB">
        <w:rPr>
          <w:rFonts w:eastAsia="HelenPro-Regular"/>
        </w:rPr>
        <w:t>microparticles</w:t>
      </w:r>
      <w:proofErr w:type="spellEnd"/>
      <w:r w:rsidR="004E04CB">
        <w:rPr>
          <w:rFonts w:eastAsia="HelenPro-Regular"/>
        </w:rPr>
        <w:t xml:space="preserve"> </w:t>
      </w:r>
      <w:r w:rsidRPr="004E04CB">
        <w:rPr>
          <w:rFonts w:eastAsia="HelenPro-Regular"/>
        </w:rPr>
        <w:t>are combined. OC 125 defined antigen present in the sample binds to</w:t>
      </w:r>
      <w:r w:rsidR="004E04CB">
        <w:rPr>
          <w:rFonts w:eastAsia="HelenPro-Regular"/>
        </w:rPr>
        <w:t xml:space="preserve"> </w:t>
      </w:r>
      <w:r w:rsidRPr="004E04CB">
        <w:rPr>
          <w:rFonts w:eastAsia="HelenPro-Regular"/>
        </w:rPr>
        <w:t xml:space="preserve">the OC 125 coated </w:t>
      </w:r>
      <w:proofErr w:type="spellStart"/>
      <w:r w:rsidRPr="004E04CB">
        <w:rPr>
          <w:rFonts w:eastAsia="HelenPro-Regular"/>
        </w:rPr>
        <w:t>microparticles</w:t>
      </w:r>
      <w:proofErr w:type="spellEnd"/>
      <w:r w:rsidRPr="004E04CB">
        <w:rPr>
          <w:rFonts w:eastAsia="HelenPro-Regular"/>
        </w:rPr>
        <w:t xml:space="preserve">. After washing, M11 </w:t>
      </w:r>
      <w:proofErr w:type="spellStart"/>
      <w:r w:rsidRPr="004E04CB">
        <w:rPr>
          <w:rFonts w:eastAsia="HelenPro-Regular"/>
        </w:rPr>
        <w:t>acridinium</w:t>
      </w:r>
      <w:proofErr w:type="spellEnd"/>
      <w:r w:rsidRPr="004E04CB">
        <w:rPr>
          <w:rFonts w:eastAsia="HelenPro-Regular"/>
        </w:rPr>
        <w:t>-labeled</w:t>
      </w:r>
      <w:r w:rsidR="004E04CB">
        <w:rPr>
          <w:rFonts w:eastAsia="HelenPro-Regular"/>
        </w:rPr>
        <w:t xml:space="preserve"> </w:t>
      </w:r>
      <w:r w:rsidRPr="004E04CB">
        <w:rPr>
          <w:rFonts w:eastAsia="HelenPro-Regular"/>
        </w:rPr>
        <w:t>conjugate is added in the second step. Pre-Trigger and Trigger Solutions</w:t>
      </w:r>
      <w:r w:rsidR="004E04CB">
        <w:rPr>
          <w:rFonts w:eastAsia="HelenPro-Regular"/>
        </w:rPr>
        <w:t xml:space="preserve"> </w:t>
      </w:r>
      <w:r w:rsidRPr="004E04CB">
        <w:rPr>
          <w:rFonts w:eastAsia="HelenPro-Regular"/>
        </w:rPr>
        <w:t xml:space="preserve">are then added to the reaction mixture; the resulting </w:t>
      </w:r>
      <w:proofErr w:type="spellStart"/>
      <w:r w:rsidRPr="004E04CB">
        <w:rPr>
          <w:rFonts w:eastAsia="HelenPro-Regular"/>
        </w:rPr>
        <w:t>chemiluminescent</w:t>
      </w:r>
      <w:proofErr w:type="spellEnd"/>
      <w:r w:rsidR="004E04CB">
        <w:rPr>
          <w:rFonts w:eastAsia="HelenPro-Regular"/>
        </w:rPr>
        <w:t xml:space="preserve"> </w:t>
      </w:r>
      <w:r w:rsidRPr="004E04CB">
        <w:rPr>
          <w:rFonts w:eastAsia="HelenPro-Regular"/>
        </w:rPr>
        <w:t>reaction is measured as relative light units (RLUs). A direct relationship</w:t>
      </w:r>
      <w:r w:rsidR="004E04CB">
        <w:rPr>
          <w:rFonts w:eastAsia="HelenPro-Regular"/>
        </w:rPr>
        <w:t xml:space="preserve"> </w:t>
      </w:r>
      <w:r w:rsidRPr="004E04CB">
        <w:rPr>
          <w:rFonts w:eastAsia="HelenPro-Regular"/>
        </w:rPr>
        <w:t>exists between the amount of OC 125 defined antigen in the sample and</w:t>
      </w:r>
      <w:r w:rsidR="004E04CB">
        <w:rPr>
          <w:rFonts w:eastAsia="HelenPro-Regular"/>
        </w:rPr>
        <w:t xml:space="preserve"> </w:t>
      </w:r>
      <w:r w:rsidRPr="004E04CB">
        <w:rPr>
          <w:rFonts w:eastAsia="HelenPro-Regular"/>
        </w:rPr>
        <w:t xml:space="preserve">the RLUs detected by the ARCHITECT </w:t>
      </w:r>
      <w:proofErr w:type="spellStart"/>
      <w:r w:rsidRPr="004E04CB">
        <w:rPr>
          <w:rFonts w:eastAsia="HelenPro-Regular"/>
          <w:i/>
          <w:iCs/>
        </w:rPr>
        <w:t>i</w:t>
      </w:r>
      <w:proofErr w:type="spellEnd"/>
      <w:r w:rsidRPr="004E04CB">
        <w:rPr>
          <w:rFonts w:eastAsia="HelenPro-Regular"/>
          <w:i/>
          <w:iCs/>
        </w:rPr>
        <w:t xml:space="preserve">* </w:t>
      </w:r>
      <w:r w:rsidRPr="004E04CB">
        <w:rPr>
          <w:rFonts w:eastAsia="HelenPro-Regular"/>
        </w:rPr>
        <w:t>optical system.</w:t>
      </w:r>
      <w:r w:rsidR="004E04CB">
        <w:rPr>
          <w:rFonts w:eastAsia="HelenPro-Regular"/>
        </w:rPr>
        <w:t xml:space="preserve"> </w:t>
      </w:r>
      <w:r w:rsidRPr="004E04CB">
        <w:rPr>
          <w:rFonts w:eastAsia="HelenPro-Regular"/>
        </w:rPr>
        <w:t>For additional information on system and assay technology, refer to the</w:t>
      </w:r>
      <w:r w:rsidR="004E04CB">
        <w:rPr>
          <w:rFonts w:eastAsia="HelenPro-Regular"/>
        </w:rPr>
        <w:t xml:space="preserve"> </w:t>
      </w:r>
      <w:r w:rsidRPr="004E04CB">
        <w:rPr>
          <w:rFonts w:eastAsia="HelenPro-Regular"/>
        </w:rPr>
        <w:t>ARCHITECT System Operations Manual, Section 3.</w:t>
      </w:r>
    </w:p>
    <w:p w:rsidR="008A7F96" w:rsidRPr="004E04CB" w:rsidRDefault="00900D77" w:rsidP="00900D77">
      <w:pPr>
        <w:autoSpaceDE w:val="0"/>
        <w:autoSpaceDN w:val="0"/>
        <w:adjustRightInd w:val="0"/>
        <w:rPr>
          <w:rFonts w:eastAsia="HelenPro-Regular"/>
        </w:rPr>
      </w:pPr>
      <w:r w:rsidRPr="004E04CB">
        <w:rPr>
          <w:rFonts w:eastAsia="HelenPro-Regular"/>
          <w:i/>
          <w:iCs/>
        </w:rPr>
        <w:t xml:space="preserve">* </w:t>
      </w:r>
      <w:proofErr w:type="spellStart"/>
      <w:r w:rsidRPr="004E04CB">
        <w:rPr>
          <w:rFonts w:eastAsia="HelenPro-Regular"/>
          <w:i/>
          <w:iCs/>
        </w:rPr>
        <w:t>i</w:t>
      </w:r>
      <w:proofErr w:type="spellEnd"/>
      <w:r w:rsidRPr="004E04CB">
        <w:rPr>
          <w:rFonts w:eastAsia="HelenPro-Regular"/>
          <w:i/>
          <w:iCs/>
        </w:rPr>
        <w:t xml:space="preserve"> </w:t>
      </w:r>
      <w:r w:rsidRPr="004E04CB">
        <w:rPr>
          <w:rFonts w:eastAsia="HelenPro-Regular"/>
        </w:rPr>
        <w:t>= immunoassay</w:t>
      </w:r>
    </w:p>
    <w:p w:rsidR="004E0AFF" w:rsidRDefault="004E0AFF"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900D77" w:rsidRPr="004E04CB" w:rsidRDefault="00900D77" w:rsidP="00900D77">
      <w:pPr>
        <w:autoSpaceDE w:val="0"/>
        <w:autoSpaceDN w:val="0"/>
        <w:adjustRightInd w:val="0"/>
        <w:rPr>
          <w:rFonts w:eastAsia="HelenPro-Regular"/>
        </w:rPr>
      </w:pPr>
      <w:r w:rsidRPr="004E04CB">
        <w:rPr>
          <w:rFonts w:eastAsia="HelenPro-Bold"/>
          <w:b/>
          <w:bCs/>
        </w:rPr>
        <w:t xml:space="preserve">• </w:t>
      </w:r>
      <w:r w:rsidRPr="004E04CB">
        <w:rPr>
          <w:rFonts w:eastAsia="HelenPro-Regular"/>
        </w:rPr>
        <w:t>Only human serum (including serum collected in separator tubes</w:t>
      </w:r>
      <w:r w:rsidR="004E04CB">
        <w:rPr>
          <w:rFonts w:eastAsia="HelenPro-Regular"/>
        </w:rPr>
        <w:t xml:space="preserve"> </w:t>
      </w:r>
      <w:r w:rsidRPr="004E04CB">
        <w:rPr>
          <w:rFonts w:eastAsia="HelenPro-Regular"/>
        </w:rPr>
        <w:t xml:space="preserve">[SST]) or plasma (collected in </w:t>
      </w:r>
      <w:proofErr w:type="spellStart"/>
      <w:r w:rsidRPr="004E04CB">
        <w:rPr>
          <w:rFonts w:eastAsia="HelenPro-Regular"/>
        </w:rPr>
        <w:t>tripotassium</w:t>
      </w:r>
      <w:proofErr w:type="spellEnd"/>
      <w:r w:rsidRPr="004E04CB">
        <w:rPr>
          <w:rFonts w:eastAsia="HelenPro-Regular"/>
        </w:rPr>
        <w:t xml:space="preserve"> EDTA, sodium heparin,</w:t>
      </w:r>
      <w:r w:rsidR="004E04CB">
        <w:rPr>
          <w:rFonts w:eastAsia="HelenPro-Regular"/>
        </w:rPr>
        <w:t xml:space="preserve"> </w:t>
      </w:r>
      <w:r w:rsidRPr="004E04CB">
        <w:rPr>
          <w:rFonts w:eastAsia="HelenPro-Regular"/>
        </w:rPr>
        <w:t>or lithium heparin collection tubes) may be used in the ARCHITECT</w:t>
      </w:r>
      <w:r w:rsidR="004E04CB">
        <w:rPr>
          <w:rFonts w:eastAsia="HelenPro-Regular"/>
        </w:rPr>
        <w:t xml:space="preserve"> </w:t>
      </w:r>
      <w:r w:rsidRPr="004E04CB">
        <w:rPr>
          <w:rFonts w:eastAsia="HelenPro-Regular"/>
        </w:rPr>
        <w:t>CA 125 II assay. Other anticoagulants have not been validated for use</w:t>
      </w:r>
      <w:r w:rsidR="004E04CB">
        <w:rPr>
          <w:rFonts w:eastAsia="HelenPro-Regular"/>
        </w:rPr>
        <w:t xml:space="preserve"> </w:t>
      </w:r>
      <w:r w:rsidRPr="004E04CB">
        <w:rPr>
          <w:rFonts w:eastAsia="HelenPro-Regular"/>
        </w:rPr>
        <w:t>with the ARCHITECT CA 125 II assay. Follow the tube manufacturer’s</w:t>
      </w:r>
      <w:r w:rsidR="004E04CB">
        <w:rPr>
          <w:rFonts w:eastAsia="HelenPro-Regular"/>
        </w:rPr>
        <w:t xml:space="preserve"> </w:t>
      </w:r>
      <w:r w:rsidRPr="004E04CB">
        <w:rPr>
          <w:rFonts w:eastAsia="HelenPro-Regular"/>
        </w:rPr>
        <w:t>processing instructions for collection tubes.</w:t>
      </w:r>
    </w:p>
    <w:p w:rsidR="00900D77" w:rsidRPr="004E04CB" w:rsidRDefault="00900D77" w:rsidP="00900D77">
      <w:pPr>
        <w:autoSpaceDE w:val="0"/>
        <w:autoSpaceDN w:val="0"/>
        <w:adjustRightInd w:val="0"/>
        <w:rPr>
          <w:rFonts w:eastAsia="HelenPro-Regular"/>
        </w:rPr>
      </w:pPr>
      <w:r w:rsidRPr="004E04CB">
        <w:rPr>
          <w:rFonts w:eastAsia="HelenPro-Bold"/>
          <w:b/>
          <w:bCs/>
        </w:rPr>
        <w:t xml:space="preserve">• </w:t>
      </w:r>
      <w:r w:rsidRPr="004E04CB">
        <w:rPr>
          <w:rFonts w:eastAsia="HelenPro-Regular"/>
        </w:rPr>
        <w:t>When serial specimens are being evaluated, the same type of</w:t>
      </w:r>
      <w:r w:rsidR="004E04CB">
        <w:rPr>
          <w:rFonts w:eastAsia="HelenPro-Regular"/>
        </w:rPr>
        <w:t xml:space="preserve"> </w:t>
      </w:r>
      <w:r w:rsidRPr="004E04CB">
        <w:rPr>
          <w:rFonts w:eastAsia="HelenPro-Regular"/>
        </w:rPr>
        <w:t>specimen should be used throughout the study.</w:t>
      </w:r>
    </w:p>
    <w:p w:rsidR="00900D77" w:rsidRPr="004E04CB" w:rsidRDefault="00900D77" w:rsidP="00900D77">
      <w:pPr>
        <w:autoSpaceDE w:val="0"/>
        <w:autoSpaceDN w:val="0"/>
        <w:adjustRightInd w:val="0"/>
        <w:rPr>
          <w:rFonts w:eastAsia="HelenPro-Regular"/>
        </w:rPr>
      </w:pPr>
      <w:r w:rsidRPr="004E04CB">
        <w:rPr>
          <w:rFonts w:eastAsia="HelenPro-Bold"/>
          <w:b/>
          <w:bCs/>
        </w:rPr>
        <w:t xml:space="preserve">• </w:t>
      </w:r>
      <w:r w:rsidRPr="004E04CB">
        <w:rPr>
          <w:rFonts w:eastAsia="HelenPro-Regular"/>
        </w:rPr>
        <w:t xml:space="preserve">The ARCHITECT </w:t>
      </w:r>
      <w:proofErr w:type="spellStart"/>
      <w:r w:rsidRPr="004E04CB">
        <w:rPr>
          <w:rFonts w:eastAsia="HelenPro-Bold"/>
          <w:i/>
          <w:iCs/>
        </w:rPr>
        <w:t>i</w:t>
      </w:r>
      <w:proofErr w:type="spellEnd"/>
      <w:r w:rsidRPr="004E04CB">
        <w:rPr>
          <w:rFonts w:eastAsia="HelenPro-Bold"/>
          <w:i/>
          <w:iCs/>
        </w:rPr>
        <w:t xml:space="preserve"> </w:t>
      </w:r>
      <w:r w:rsidRPr="004E04CB">
        <w:rPr>
          <w:rFonts w:eastAsia="HelenPro-Regular"/>
        </w:rPr>
        <w:t>System does not provide the capability to verify</w:t>
      </w:r>
      <w:r w:rsidR="004E04CB">
        <w:rPr>
          <w:rFonts w:eastAsia="HelenPro-Regular"/>
        </w:rPr>
        <w:t xml:space="preserve"> </w:t>
      </w:r>
      <w:r w:rsidRPr="004E04CB">
        <w:rPr>
          <w:rFonts w:eastAsia="HelenPro-Regular"/>
        </w:rPr>
        <w:t>specimen type. It is the responsibility of the operator to verify that the</w:t>
      </w:r>
      <w:r w:rsidR="004E04CB">
        <w:rPr>
          <w:rFonts w:eastAsia="HelenPro-Regular"/>
        </w:rPr>
        <w:t xml:space="preserve"> </w:t>
      </w:r>
      <w:r w:rsidRPr="004E04CB">
        <w:rPr>
          <w:rFonts w:eastAsia="HelenPro-Regular"/>
        </w:rPr>
        <w:t>correct specimen type is used in the ARCHITECT CA 125 II assay.</w:t>
      </w:r>
    </w:p>
    <w:p w:rsidR="00900D77" w:rsidRPr="004E04CB" w:rsidRDefault="00900D77" w:rsidP="00900D77">
      <w:pPr>
        <w:autoSpaceDE w:val="0"/>
        <w:autoSpaceDN w:val="0"/>
        <w:adjustRightInd w:val="0"/>
        <w:rPr>
          <w:rFonts w:eastAsia="HelenPro-Regular"/>
        </w:rPr>
      </w:pPr>
      <w:r w:rsidRPr="004E04CB">
        <w:rPr>
          <w:rFonts w:eastAsia="HelenPro-Bold"/>
          <w:b/>
          <w:bCs/>
        </w:rPr>
        <w:t xml:space="preserve">• </w:t>
      </w:r>
      <w:r w:rsidRPr="004E04CB">
        <w:rPr>
          <w:rFonts w:eastAsia="HelenPro-Regular"/>
        </w:rPr>
        <w:t>Use caution when handling patient specimens to prevent cross</w:t>
      </w:r>
      <w:r w:rsidR="004E04CB">
        <w:rPr>
          <w:rFonts w:eastAsia="HelenPro-Regular"/>
        </w:rPr>
        <w:t xml:space="preserve"> </w:t>
      </w:r>
      <w:r w:rsidRPr="004E04CB">
        <w:rPr>
          <w:rFonts w:eastAsia="HelenPro-Regular"/>
        </w:rPr>
        <w:t>contamination. Use of disposable pipettes or pipette tips is</w:t>
      </w:r>
      <w:r w:rsidR="004E04CB">
        <w:rPr>
          <w:rFonts w:eastAsia="HelenPro-Regular"/>
        </w:rPr>
        <w:t xml:space="preserve"> </w:t>
      </w:r>
      <w:r w:rsidRPr="004E04CB">
        <w:rPr>
          <w:rFonts w:eastAsia="HelenPro-Regular"/>
        </w:rPr>
        <w:t>recommended.</w:t>
      </w:r>
    </w:p>
    <w:p w:rsidR="00900D77" w:rsidRPr="004E04CB" w:rsidRDefault="00900D77" w:rsidP="00900D77">
      <w:pPr>
        <w:autoSpaceDE w:val="0"/>
        <w:autoSpaceDN w:val="0"/>
        <w:adjustRightInd w:val="0"/>
        <w:rPr>
          <w:rFonts w:eastAsia="HelenPro-Regular"/>
        </w:rPr>
      </w:pPr>
      <w:r w:rsidRPr="004E04CB">
        <w:rPr>
          <w:rFonts w:eastAsia="HelenPro-Bold"/>
          <w:b/>
          <w:bCs/>
        </w:rPr>
        <w:t xml:space="preserve">• </w:t>
      </w:r>
      <w:r w:rsidRPr="004E04CB">
        <w:rPr>
          <w:rFonts w:eastAsia="HelenPro-Regular"/>
        </w:rPr>
        <w:t xml:space="preserve">Do not use grossly </w:t>
      </w:r>
      <w:proofErr w:type="spellStart"/>
      <w:r w:rsidRPr="004E04CB">
        <w:rPr>
          <w:rFonts w:eastAsia="HelenPro-Regular"/>
        </w:rPr>
        <w:t>hemolyzed</w:t>
      </w:r>
      <w:proofErr w:type="spellEnd"/>
      <w:r w:rsidRPr="004E04CB">
        <w:rPr>
          <w:rFonts w:eastAsia="HelenPro-Regular"/>
        </w:rPr>
        <w:t xml:space="preserve"> specimens.</w:t>
      </w:r>
    </w:p>
    <w:p w:rsidR="00900D77" w:rsidRPr="004E04CB" w:rsidRDefault="00900D77" w:rsidP="00900D77">
      <w:pPr>
        <w:autoSpaceDE w:val="0"/>
        <w:autoSpaceDN w:val="0"/>
        <w:adjustRightInd w:val="0"/>
        <w:rPr>
          <w:rFonts w:eastAsia="HelenPro-Regular"/>
        </w:rPr>
      </w:pPr>
      <w:r w:rsidRPr="004E04CB">
        <w:rPr>
          <w:rFonts w:eastAsia="HelenPro-Bold"/>
          <w:b/>
          <w:bCs/>
        </w:rPr>
        <w:t xml:space="preserve">• </w:t>
      </w:r>
      <w:r w:rsidRPr="004E04CB">
        <w:rPr>
          <w:rFonts w:eastAsia="HelenPro-Regular"/>
        </w:rPr>
        <w:t>Do not use heat-inactivated specimens.</w:t>
      </w:r>
    </w:p>
    <w:p w:rsidR="00900D77" w:rsidRPr="004E04CB" w:rsidRDefault="00900D77" w:rsidP="00900D77">
      <w:pPr>
        <w:autoSpaceDE w:val="0"/>
        <w:autoSpaceDN w:val="0"/>
        <w:adjustRightInd w:val="0"/>
        <w:rPr>
          <w:rFonts w:eastAsia="HelenPro-Regular"/>
        </w:rPr>
      </w:pPr>
      <w:r w:rsidRPr="004E04CB">
        <w:rPr>
          <w:rFonts w:eastAsia="HelenPro-Bold"/>
          <w:b/>
          <w:bCs/>
        </w:rPr>
        <w:t xml:space="preserve">• </w:t>
      </w:r>
      <w:r w:rsidRPr="004E04CB">
        <w:rPr>
          <w:rFonts w:eastAsia="HelenPro-Regular"/>
        </w:rPr>
        <w:t>Inspect all samples for bubbles. Remove bubbles with an applicator</w:t>
      </w:r>
      <w:r w:rsidR="004E04CB">
        <w:rPr>
          <w:rFonts w:eastAsia="HelenPro-Regular"/>
        </w:rPr>
        <w:t xml:space="preserve"> </w:t>
      </w:r>
      <w:r w:rsidRPr="004E04CB">
        <w:rPr>
          <w:rFonts w:eastAsia="HelenPro-Regular"/>
        </w:rPr>
        <w:t>stick prior to analysis. Use a new applicator stick for each sample to</w:t>
      </w:r>
      <w:r w:rsidR="004E04CB">
        <w:rPr>
          <w:rFonts w:eastAsia="HelenPro-Regular"/>
        </w:rPr>
        <w:t xml:space="preserve"> </w:t>
      </w:r>
      <w:r w:rsidRPr="004E04CB">
        <w:rPr>
          <w:rFonts w:eastAsia="HelenPro-Regular"/>
        </w:rPr>
        <w:t>prevent cross contamination.</w:t>
      </w:r>
    </w:p>
    <w:p w:rsidR="00900D77" w:rsidRPr="004E04CB" w:rsidRDefault="00900D77" w:rsidP="00900D77">
      <w:pPr>
        <w:autoSpaceDE w:val="0"/>
        <w:autoSpaceDN w:val="0"/>
        <w:adjustRightInd w:val="0"/>
        <w:rPr>
          <w:rFonts w:eastAsia="HelenPro-Regular"/>
        </w:rPr>
      </w:pPr>
      <w:r w:rsidRPr="004E04CB">
        <w:rPr>
          <w:rFonts w:eastAsia="HelenPro-Bold"/>
          <w:b/>
          <w:bCs/>
        </w:rPr>
        <w:lastRenderedPageBreak/>
        <w:t xml:space="preserve">• </w:t>
      </w:r>
      <w:r w:rsidRPr="004E04CB">
        <w:rPr>
          <w:rFonts w:eastAsia="HelenPro-Regular"/>
        </w:rPr>
        <w:t>Serum and plasma specimens should be free of fibrin, red blood cell</w:t>
      </w:r>
      <w:r w:rsidR="004E04CB">
        <w:rPr>
          <w:rFonts w:eastAsia="HelenPro-Regular"/>
        </w:rPr>
        <w:t xml:space="preserve"> </w:t>
      </w:r>
      <w:r w:rsidRPr="004E04CB">
        <w:rPr>
          <w:rFonts w:eastAsia="HelenPro-Regular"/>
        </w:rPr>
        <w:t>or other particulate matter.</w:t>
      </w:r>
    </w:p>
    <w:p w:rsidR="00900D77" w:rsidRPr="004E04CB" w:rsidRDefault="00900D77" w:rsidP="00900D77">
      <w:pPr>
        <w:autoSpaceDE w:val="0"/>
        <w:autoSpaceDN w:val="0"/>
        <w:adjustRightInd w:val="0"/>
        <w:rPr>
          <w:rFonts w:eastAsia="HelenPro-Regular"/>
        </w:rPr>
      </w:pPr>
      <w:r w:rsidRPr="004E04CB">
        <w:rPr>
          <w:rFonts w:eastAsia="HelenPro-Bold"/>
          <w:b/>
          <w:bCs/>
        </w:rPr>
        <w:t xml:space="preserve">• </w:t>
      </w:r>
      <w:r w:rsidRPr="004E04CB">
        <w:rPr>
          <w:rFonts w:eastAsia="HelenPro-Regular"/>
        </w:rPr>
        <w:t>Ensure that complete clot formation in serum specimens has taken</w:t>
      </w:r>
      <w:r w:rsidR="004E04CB">
        <w:rPr>
          <w:rFonts w:eastAsia="HelenPro-Regular"/>
        </w:rPr>
        <w:t xml:space="preserve"> </w:t>
      </w:r>
      <w:r w:rsidRPr="004E04CB">
        <w:rPr>
          <w:rFonts w:eastAsia="HelenPro-Regular"/>
        </w:rPr>
        <w:t>place prior to centrifugation. Some specimens, especially those</w:t>
      </w:r>
      <w:r w:rsidR="004E04CB">
        <w:rPr>
          <w:rFonts w:eastAsia="HelenPro-Regular"/>
        </w:rPr>
        <w:t xml:space="preserve"> </w:t>
      </w:r>
      <w:r w:rsidRPr="004E04CB">
        <w:rPr>
          <w:rFonts w:eastAsia="HelenPro-Regular"/>
        </w:rPr>
        <w:t>from patients receiving anticoagulant or thrombolytic therapy, may</w:t>
      </w:r>
      <w:r w:rsidR="004E04CB">
        <w:rPr>
          <w:rFonts w:eastAsia="HelenPro-Regular"/>
        </w:rPr>
        <w:t xml:space="preserve"> </w:t>
      </w:r>
      <w:r w:rsidRPr="004E04CB">
        <w:rPr>
          <w:rFonts w:eastAsia="HelenPro-Regular"/>
        </w:rPr>
        <w:t>exhibit increased clotting time. If the specimen is centrifuged before</w:t>
      </w:r>
      <w:r w:rsidR="004E04CB">
        <w:rPr>
          <w:rFonts w:eastAsia="HelenPro-Regular"/>
        </w:rPr>
        <w:t xml:space="preserve"> </w:t>
      </w:r>
      <w:r w:rsidRPr="004E04CB">
        <w:rPr>
          <w:rFonts w:eastAsia="HelenPro-Regular"/>
        </w:rPr>
        <w:t>a complete clot forms, the presence of fibrin may cause erroneous</w:t>
      </w:r>
      <w:r w:rsidR="004E04CB">
        <w:rPr>
          <w:rFonts w:eastAsia="HelenPro-Regular"/>
        </w:rPr>
        <w:t xml:space="preserve"> </w:t>
      </w:r>
      <w:r w:rsidRPr="004E04CB">
        <w:rPr>
          <w:rFonts w:eastAsia="HelenPro-Regular"/>
        </w:rPr>
        <w:t>results.</w:t>
      </w:r>
    </w:p>
    <w:p w:rsidR="00900D77" w:rsidRPr="004E04CB" w:rsidRDefault="00900D77" w:rsidP="00900D77">
      <w:pPr>
        <w:autoSpaceDE w:val="0"/>
        <w:autoSpaceDN w:val="0"/>
        <w:adjustRightInd w:val="0"/>
        <w:rPr>
          <w:rFonts w:eastAsia="HelenPro-Regular"/>
        </w:rPr>
      </w:pPr>
      <w:r w:rsidRPr="004E04CB">
        <w:rPr>
          <w:rFonts w:eastAsia="HelenPro-Bold"/>
          <w:b/>
          <w:bCs/>
        </w:rPr>
        <w:t xml:space="preserve">• </w:t>
      </w:r>
      <w:r w:rsidRPr="004E04CB">
        <w:rPr>
          <w:rFonts w:eastAsia="HelenPro-Regular"/>
        </w:rPr>
        <w:t>If testing will be delayed more than 24 hours, remove serum or</w:t>
      </w:r>
      <w:r w:rsidR="004E04CB">
        <w:rPr>
          <w:rFonts w:eastAsia="HelenPro-Regular"/>
        </w:rPr>
        <w:t xml:space="preserve"> </w:t>
      </w:r>
      <w:r w:rsidRPr="004E04CB">
        <w:rPr>
          <w:rFonts w:eastAsia="HelenPro-Regular"/>
        </w:rPr>
        <w:t>plasma from the clot, serum separator, or red blood cells. Specimens</w:t>
      </w:r>
      <w:r w:rsidR="004E04CB">
        <w:rPr>
          <w:rFonts w:eastAsia="HelenPro-Regular"/>
        </w:rPr>
        <w:t xml:space="preserve"> </w:t>
      </w:r>
      <w:r w:rsidRPr="004E04CB">
        <w:rPr>
          <w:rFonts w:eastAsia="HelenPro-Regular"/>
        </w:rPr>
        <w:t>may be stored for up to 7 days at 2-8°C prior to being tested. If testing</w:t>
      </w:r>
      <w:r w:rsidR="004E04CB">
        <w:rPr>
          <w:rFonts w:eastAsia="HelenPro-Regular"/>
        </w:rPr>
        <w:t xml:space="preserve"> </w:t>
      </w:r>
      <w:r w:rsidRPr="004E04CB">
        <w:rPr>
          <w:rFonts w:eastAsia="HelenPro-Regular"/>
        </w:rPr>
        <w:t>will be delayed more than 7 days, serum or plasma should be stored</w:t>
      </w:r>
      <w:r w:rsidR="004E04CB">
        <w:rPr>
          <w:rFonts w:eastAsia="HelenPro-Regular"/>
        </w:rPr>
        <w:t xml:space="preserve"> </w:t>
      </w:r>
      <w:r w:rsidRPr="004E04CB">
        <w:rPr>
          <w:rFonts w:eastAsia="HelenPro-Regular"/>
        </w:rPr>
        <w:t>frozen at -20°C or colder.</w:t>
      </w:r>
    </w:p>
    <w:p w:rsidR="00C63D9F" w:rsidRPr="004E04CB" w:rsidRDefault="00900D77" w:rsidP="004E04CB">
      <w:pPr>
        <w:autoSpaceDE w:val="0"/>
        <w:autoSpaceDN w:val="0"/>
        <w:adjustRightInd w:val="0"/>
        <w:rPr>
          <w:rFonts w:eastAsia="HelenPro-Regular"/>
        </w:rPr>
      </w:pPr>
      <w:r w:rsidRPr="004E04CB">
        <w:rPr>
          <w:rFonts w:eastAsia="HelenPro-Bold"/>
          <w:b/>
          <w:bCs/>
        </w:rPr>
        <w:t xml:space="preserve">• </w:t>
      </w:r>
      <w:r w:rsidRPr="004E04CB">
        <w:rPr>
          <w:rFonts w:eastAsia="HelenPro-Regular"/>
        </w:rPr>
        <w:t>Multiple freeze/thaw cycles of specimens should be avoided.</w:t>
      </w:r>
      <w:r w:rsidR="004E04CB">
        <w:rPr>
          <w:rFonts w:eastAsia="HelenPro-Regular"/>
        </w:rPr>
        <w:t xml:space="preserve"> </w:t>
      </w:r>
      <w:r w:rsidRPr="004E04CB">
        <w:rPr>
          <w:rFonts w:eastAsia="HelenPro-Regular"/>
        </w:rPr>
        <w:t>Specimens must be mixed THOROUGHLY after thawing, by LOW</w:t>
      </w:r>
      <w:r w:rsidR="004E04CB">
        <w:rPr>
          <w:rFonts w:eastAsia="HelenPro-Regular"/>
        </w:rPr>
        <w:t xml:space="preserve"> </w:t>
      </w:r>
      <w:r w:rsidRPr="004E04CB">
        <w:rPr>
          <w:rFonts w:eastAsia="HelenPro-Regular"/>
        </w:rPr>
        <w:t xml:space="preserve">speed </w:t>
      </w:r>
      <w:proofErr w:type="spellStart"/>
      <w:r w:rsidRPr="004E04CB">
        <w:rPr>
          <w:rFonts w:eastAsia="HelenPro-Regular"/>
        </w:rPr>
        <w:t>vortexing</w:t>
      </w:r>
      <w:proofErr w:type="spellEnd"/>
      <w:r w:rsidRPr="004E04CB">
        <w:rPr>
          <w:rFonts w:eastAsia="HelenPro-Regular"/>
        </w:rPr>
        <w:t xml:space="preserve"> or by gently inverting, and centrifuged prior to use</w:t>
      </w:r>
      <w:r w:rsidR="004E04CB">
        <w:rPr>
          <w:rFonts w:eastAsia="HelenPro-Regular"/>
        </w:rPr>
        <w:t xml:space="preserve"> </w:t>
      </w:r>
      <w:r w:rsidRPr="004E04CB">
        <w:rPr>
          <w:rFonts w:eastAsia="HelenPro-Regular"/>
        </w:rPr>
        <w:t>to remove red blood cells or particulate matter to ensure consistency</w:t>
      </w:r>
      <w:r w:rsidR="004E04CB">
        <w:rPr>
          <w:rFonts w:eastAsia="HelenPro-Regular"/>
        </w:rPr>
        <w:t xml:space="preserve"> </w:t>
      </w:r>
      <w:r w:rsidRPr="004E04CB">
        <w:rPr>
          <w:rFonts w:eastAsia="HelenPro-Regular"/>
        </w:rPr>
        <w:t>in the results. Sample from the middle of the tube to avoid any</w:t>
      </w:r>
      <w:r w:rsidR="004E04CB">
        <w:rPr>
          <w:rFonts w:eastAsia="HelenPro-Regular"/>
        </w:rPr>
        <w:t xml:space="preserve"> </w:t>
      </w:r>
      <w:r w:rsidRPr="004E04CB">
        <w:rPr>
          <w:rFonts w:eastAsia="HelenPro-Regular"/>
        </w:rPr>
        <w:t>particulate on the top or bottom of the sample.</w:t>
      </w:r>
    </w:p>
    <w:p w:rsidR="00900D77" w:rsidRPr="004E04CB" w:rsidRDefault="00900D77" w:rsidP="00900D77">
      <w:pPr>
        <w:autoSpaceDE w:val="0"/>
        <w:autoSpaceDN w:val="0"/>
        <w:adjustRightInd w:val="0"/>
        <w:rPr>
          <w:rFonts w:eastAsia="HelenPro-Regular"/>
        </w:rPr>
      </w:pPr>
      <w:r w:rsidRPr="004E04CB">
        <w:rPr>
          <w:rFonts w:eastAsia="HelenPro-Bold"/>
          <w:b/>
          <w:bCs/>
        </w:rPr>
        <w:t xml:space="preserve">• </w:t>
      </w:r>
      <w:r w:rsidRPr="004E04CB">
        <w:rPr>
          <w:rFonts w:eastAsia="HelenPro-Regular"/>
        </w:rPr>
        <w:t>Performance has not been established using body fluids other than</w:t>
      </w:r>
      <w:r w:rsidR="004E04CB">
        <w:rPr>
          <w:rFonts w:eastAsia="HelenPro-Regular"/>
        </w:rPr>
        <w:t xml:space="preserve"> </w:t>
      </w:r>
      <w:r w:rsidRPr="004E04CB">
        <w:rPr>
          <w:rFonts w:eastAsia="HelenPro-Regular"/>
        </w:rPr>
        <w:t>human serum and plasma.</w:t>
      </w:r>
    </w:p>
    <w:p w:rsidR="00900D77" w:rsidRPr="004E04CB" w:rsidRDefault="00900D77" w:rsidP="004E04CB">
      <w:pPr>
        <w:autoSpaceDE w:val="0"/>
        <w:autoSpaceDN w:val="0"/>
        <w:adjustRightInd w:val="0"/>
        <w:rPr>
          <w:rFonts w:eastAsia="HelenPro-Regular"/>
        </w:rPr>
      </w:pPr>
      <w:r w:rsidRPr="004E04CB">
        <w:rPr>
          <w:rFonts w:eastAsia="HelenPro-Bold"/>
          <w:b/>
          <w:bCs/>
        </w:rPr>
        <w:t xml:space="preserve">• </w:t>
      </w:r>
      <w:r w:rsidRPr="004E04CB">
        <w:rPr>
          <w:rFonts w:eastAsia="HelenPro-Regular"/>
        </w:rPr>
        <w:t>Specimens with obvious microbial contamination should not</w:t>
      </w:r>
      <w:r w:rsidR="004E04CB">
        <w:rPr>
          <w:rFonts w:eastAsia="HelenPro-Regular"/>
        </w:rPr>
        <w:t xml:space="preserve"> </w:t>
      </w:r>
      <w:r w:rsidRPr="004E04CB">
        <w:rPr>
          <w:rFonts w:eastAsia="HelenPro-Regular"/>
        </w:rPr>
        <w:t>be used.</w:t>
      </w:r>
    </w:p>
    <w:p w:rsidR="00B24260" w:rsidRDefault="00B24260" w:rsidP="00B24260">
      <w:pPr>
        <w:autoSpaceDE w:val="0"/>
        <w:autoSpaceDN w:val="0"/>
        <w:adjustRightInd w:val="0"/>
        <w:rPr>
          <w:rFonts w:eastAsia="HelenPro-Regular"/>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F7103F" w:rsidRPr="004E04CB" w:rsidRDefault="00F7103F" w:rsidP="00973EAF">
      <w:pPr>
        <w:ind w:firstLine="720"/>
      </w:pPr>
      <w:r w:rsidRPr="00173EA4">
        <w:rPr>
          <w:rFonts w:eastAsia="HelenPro-Regular"/>
        </w:rPr>
        <w:t xml:space="preserve"> </w:t>
      </w:r>
      <w:r w:rsidR="00900D77" w:rsidRPr="004E04CB">
        <w:rPr>
          <w:rFonts w:eastAsia="HelenPro-Regular"/>
        </w:rPr>
        <w:t>2K45 ARCHITECT CA 125 II Reagent Kit</w:t>
      </w:r>
    </w:p>
    <w:p w:rsidR="00A062F7" w:rsidRDefault="00A062F7"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r w:rsidR="0038205F">
        <w:rPr>
          <w:rFonts w:eastAsia="HelenPro-Regular"/>
        </w:rPr>
        <w:t xml:space="preserve"> with </w:t>
      </w:r>
      <w:r w:rsidR="0038205F" w:rsidRPr="0038205F">
        <w:rPr>
          <w:rFonts w:eastAsia="HelenPro-Regular"/>
          <w:i/>
        </w:rPr>
        <w:t>STAT</w:t>
      </w:r>
      <w:r w:rsidR="0038205F">
        <w:rPr>
          <w:rFonts w:eastAsia="HelenPro-Regular"/>
        </w:rPr>
        <w:t xml:space="preserve"> Protocol</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1053EF" w:rsidRPr="004E04CB">
        <w:rPr>
          <w:rFonts w:eastAsia="HelenPro-Regular"/>
        </w:rPr>
        <w:t xml:space="preserve">CA 125 II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900D77" w:rsidRPr="004E04CB" w:rsidRDefault="00520089" w:rsidP="00900D77">
      <w:pPr>
        <w:autoSpaceDE w:val="0"/>
        <w:autoSpaceDN w:val="0"/>
        <w:adjustRightInd w:val="0"/>
        <w:rPr>
          <w:rFonts w:eastAsia="HelenPro-Regular"/>
        </w:rPr>
      </w:pPr>
      <w:r w:rsidRPr="004E04CB">
        <w:rPr>
          <w:rFonts w:eastAsia="HelenPro-Bold"/>
          <w:b/>
          <w:bCs/>
        </w:rPr>
        <w:t>•</w:t>
      </w:r>
      <w:r w:rsidRPr="004E04CB">
        <w:rPr>
          <w:rFonts w:eastAsia="HelenPro-Regular"/>
        </w:rPr>
        <w:t xml:space="preserve"> </w:t>
      </w:r>
      <w:r w:rsidR="00900D77" w:rsidRPr="004E04CB">
        <w:rPr>
          <w:rFonts w:eastAsia="HelenPro-Regular"/>
        </w:rPr>
        <w:t>2K45-01 ARCHITECT CA 125 II Calibrators</w:t>
      </w:r>
    </w:p>
    <w:p w:rsidR="00900D77" w:rsidRPr="004E04CB" w:rsidRDefault="00900D77" w:rsidP="00900D77">
      <w:pPr>
        <w:autoSpaceDE w:val="0"/>
        <w:autoSpaceDN w:val="0"/>
        <w:adjustRightInd w:val="0"/>
        <w:rPr>
          <w:rFonts w:eastAsia="HelenPro-Regular"/>
        </w:rPr>
      </w:pPr>
      <w:r w:rsidRPr="004E04CB">
        <w:rPr>
          <w:rFonts w:eastAsia="HelenPro-Bold"/>
          <w:b/>
          <w:bCs/>
        </w:rPr>
        <w:t xml:space="preserve">• </w:t>
      </w:r>
      <w:r w:rsidRPr="004E04CB">
        <w:rPr>
          <w:rFonts w:eastAsia="HelenPro-Regular"/>
        </w:rPr>
        <w:t>2K45-10 ARCHITECT CA 125 II Controls</w:t>
      </w:r>
    </w:p>
    <w:p w:rsidR="004E04CB" w:rsidRPr="004E04CB" w:rsidRDefault="00900D77" w:rsidP="00900D77">
      <w:pPr>
        <w:autoSpaceDE w:val="0"/>
        <w:autoSpaceDN w:val="0"/>
        <w:adjustRightInd w:val="0"/>
        <w:rPr>
          <w:rFonts w:eastAsia="HelenPro-Regular"/>
        </w:rPr>
      </w:pPr>
      <w:r w:rsidRPr="004E04CB">
        <w:rPr>
          <w:rFonts w:eastAsia="HelenPro-Bold"/>
          <w:b/>
          <w:bCs/>
        </w:rPr>
        <w:t xml:space="preserve">• </w:t>
      </w:r>
      <w:r w:rsidRPr="004E04CB">
        <w:rPr>
          <w:rFonts w:eastAsia="HelenPro-Regular"/>
        </w:rPr>
        <w:t xml:space="preserve">7D82-50 ARCHITECT </w:t>
      </w:r>
      <w:r w:rsidR="004E04CB" w:rsidRPr="004E04CB">
        <w:rPr>
          <w:rFonts w:eastAsia="HelenPro-Regular"/>
          <w:i/>
          <w:iCs/>
        </w:rPr>
        <w:t>I</w:t>
      </w:r>
      <w:r w:rsidR="004E04CB" w:rsidRPr="004E04CB">
        <w:rPr>
          <w:rFonts w:eastAsia="HelenPro-Bold"/>
          <w:b/>
          <w:bCs/>
        </w:rPr>
        <w:t xml:space="preserve"> </w:t>
      </w:r>
      <w:r w:rsidR="004E04CB" w:rsidRPr="004E04CB">
        <w:rPr>
          <w:rFonts w:eastAsia="HelenPro-Bold"/>
          <w:bCs/>
        </w:rPr>
        <w:t>Multi-assay diluent</w:t>
      </w:r>
    </w:p>
    <w:p w:rsidR="008036AC" w:rsidRPr="00B54C79" w:rsidRDefault="00B54C79" w:rsidP="00900D77">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C32412" w:rsidRDefault="00C32412" w:rsidP="00507B0C">
      <w:pPr>
        <w:rPr>
          <w:b/>
          <w:sz w:val="28"/>
          <w:szCs w:val="28"/>
        </w:rPr>
      </w:pPr>
    </w:p>
    <w:p w:rsidR="00507B0C" w:rsidRPr="004A03BD" w:rsidRDefault="007150E8" w:rsidP="00507B0C">
      <w:pPr>
        <w:rPr>
          <w:b/>
          <w:sz w:val="28"/>
          <w:szCs w:val="28"/>
        </w:rPr>
      </w:pPr>
      <w:r>
        <w:rPr>
          <w:b/>
          <w:sz w:val="28"/>
          <w:szCs w:val="28"/>
        </w:rPr>
        <w:t>R</w:t>
      </w:r>
      <w:r w:rsidR="00507B0C" w:rsidRPr="004A03BD">
        <w:rPr>
          <w:b/>
          <w:sz w:val="28"/>
          <w:szCs w:val="28"/>
        </w:rPr>
        <w:t xml:space="preserve">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lastRenderedPageBreak/>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B54C79" w:rsidRDefault="004E04CB" w:rsidP="0038442D">
      <w:pPr>
        <w:autoSpaceDE w:val="0"/>
        <w:autoSpaceDN w:val="0"/>
        <w:adjustRightInd w:val="0"/>
        <w:rPr>
          <w:rFonts w:eastAsia="HelenPro-Bold"/>
          <w:b/>
          <w:bCs/>
        </w:rPr>
      </w:pPr>
      <w:r>
        <w:rPr>
          <w:noProof/>
        </w:rPr>
        <w:drawing>
          <wp:inline distT="0" distB="0" distL="0" distR="0" wp14:anchorId="4F3EC9C3" wp14:editId="4062102E">
            <wp:extent cx="3971925" cy="24003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71925" cy="2400300"/>
                    </a:xfrm>
                    <a:prstGeom prst="rect">
                      <a:avLst/>
                    </a:prstGeom>
                  </pic:spPr>
                </pic:pic>
              </a:graphicData>
            </a:graphic>
          </wp:inline>
        </w:drawing>
      </w:r>
    </w:p>
    <w:p w:rsidR="00520089" w:rsidRDefault="00520089"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 xml:space="preserve">Before loading the ARCHITECT </w:t>
      </w:r>
      <w:r w:rsidR="00520089">
        <w:rPr>
          <w:rFonts w:eastAsia="HelenPro-Regular"/>
        </w:rPr>
        <w:t>r</w:t>
      </w:r>
      <w:r w:rsidRPr="00B54C79">
        <w:rPr>
          <w:rFonts w:eastAsia="HelenPro-Regular"/>
        </w:rPr>
        <w:t xml:space="preserve">eagent </w:t>
      </w:r>
      <w:r w:rsidR="00520089">
        <w:rPr>
          <w:rFonts w:eastAsia="HelenPro-Regular"/>
        </w:rPr>
        <w:t>k</w:t>
      </w:r>
      <w:r w:rsidRPr="00B54C79">
        <w:rPr>
          <w:rFonts w:eastAsia="HelenPro-Regular"/>
        </w:rPr>
        <w:t xml:space="preserve">it on the system for the first time, the </w:t>
      </w:r>
      <w:proofErr w:type="spellStart"/>
      <w:r w:rsidRPr="00B54C79">
        <w:rPr>
          <w:rFonts w:eastAsia="HelenPro-Regular"/>
        </w:rPr>
        <w:t>microparticle</w:t>
      </w:r>
      <w:proofErr w:type="spellEnd"/>
      <w:r w:rsidRPr="00B54C79">
        <w:rPr>
          <w:rFonts w:eastAsia="HelenPro-Regular"/>
        </w:rPr>
        <w:t xml:space="preserve"> bottle requires mixing to </w:t>
      </w:r>
      <w:proofErr w:type="spellStart"/>
      <w:r w:rsidRPr="00B54C79">
        <w:rPr>
          <w:rFonts w:eastAsia="HelenPro-Regular"/>
        </w:rPr>
        <w:t>resuspend</w:t>
      </w:r>
      <w:proofErr w:type="spellEnd"/>
      <w:r w:rsidRPr="00B54C79">
        <w:rPr>
          <w:rFonts w:eastAsia="HelenPro-Regular"/>
        </w:rPr>
        <w:t xml:space="preserve"> </w:t>
      </w:r>
      <w:proofErr w:type="spellStart"/>
      <w:r w:rsidRPr="00B54C79">
        <w:rPr>
          <w:rFonts w:eastAsia="HelenPro-Regular"/>
        </w:rPr>
        <w:t>microparticles</w:t>
      </w:r>
      <w:proofErr w:type="spellEnd"/>
      <w:r w:rsidRPr="00B54C79">
        <w:rPr>
          <w:rFonts w:eastAsia="HelenPro-Regular"/>
        </w:rPr>
        <w:t xml:space="preserve"> that may have settled during shipment. For </w:t>
      </w:r>
      <w:proofErr w:type="spellStart"/>
      <w:r w:rsidRPr="00B54C79">
        <w:rPr>
          <w:rFonts w:eastAsia="HelenPro-Regular"/>
        </w:rPr>
        <w:t>microparticle</w:t>
      </w:r>
      <w:proofErr w:type="spellEnd"/>
      <w:r w:rsidRPr="00B54C79">
        <w:rPr>
          <w:rFonts w:eastAsia="HelenPro-Regular"/>
        </w:rPr>
        <w:t xml:space="preserve"> mixing instructions, refer to the </w:t>
      </w:r>
      <w:r w:rsidRPr="00B54C79">
        <w:rPr>
          <w:rFonts w:eastAsia="HelenPro-Bold"/>
          <w:b/>
          <w:bCs/>
        </w:rPr>
        <w:t>PROCEDURE, Assay Procedure</w:t>
      </w:r>
      <w:r w:rsidRPr="00B54C79">
        <w:rPr>
          <w:rFonts w:eastAsia="HelenPro-Regular"/>
        </w:rPr>
        <w:t xml:space="preserve"> section of the package insert.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B54C79"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The ARCHITECT </w:t>
      </w:r>
      <w:r w:rsidR="004E04CB">
        <w:rPr>
          <w:rFonts w:eastAsia="HelenPro-Regular"/>
        </w:rPr>
        <w:t>CA 125</w:t>
      </w:r>
      <w:r w:rsidRPr="00B54C79">
        <w:rPr>
          <w:rFonts w:eastAsia="HelenPro-Regular"/>
        </w:rPr>
        <w:t xml:space="preserve"> Reagent Kit must be stored at 2-8°C in an upright position and may be used immediately after removal from 2-8°C storage.</w:t>
      </w:r>
    </w:p>
    <w:p w:rsidR="00B54C79"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When stored and handled as directed, the reagents are stable until the expiration date.</w:t>
      </w:r>
    </w:p>
    <w:p w:rsidR="00B54C79"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lastRenderedPageBreak/>
        <w:t xml:space="preserve">The ARCHITECT </w:t>
      </w:r>
      <w:r w:rsidR="004E04CB">
        <w:rPr>
          <w:rFonts w:eastAsia="HelenPro-Regular"/>
        </w:rPr>
        <w:t>CA 125</w:t>
      </w:r>
      <w:r w:rsidR="004E04CB" w:rsidRPr="00B54C79">
        <w:rPr>
          <w:rFonts w:eastAsia="HelenPro-Regular"/>
        </w:rPr>
        <w:t xml:space="preserve"> </w:t>
      </w:r>
      <w:r w:rsidRPr="00B54C79">
        <w:rPr>
          <w:rFonts w:eastAsia="HelenPro-Regular"/>
        </w:rPr>
        <w:t xml:space="preserve">Reagent Kit may be stored on board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 for a maximum of 30 days. After 30 days, the reagent kit must be discarded. For information on tracking onboard time, refer to the ARCHITECT System Operations Manual, Section 5.</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r w:rsidRPr="00B54C79">
        <w:rPr>
          <w:rFonts w:eastAsia="HelenPro-Bold"/>
          <w:b/>
          <w:bCs/>
        </w:rPr>
        <w:t xml:space="preserve">If the </w:t>
      </w:r>
      <w:proofErr w:type="spellStart"/>
      <w:r w:rsidRPr="00B54C79">
        <w:rPr>
          <w:rFonts w:eastAsia="HelenPro-Bold"/>
          <w:b/>
          <w:bCs/>
        </w:rPr>
        <w:t>microparticle</w:t>
      </w:r>
      <w:proofErr w:type="spellEnd"/>
      <w:r w:rsidRPr="00B54C79">
        <w:rPr>
          <w:rFonts w:eastAsia="HelenPro-Bold"/>
          <w:b/>
          <w:bCs/>
        </w:rPr>
        <w:t xml:space="preserv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CA11D0" w:rsidRPr="00B54C79" w:rsidRDefault="00A7716D" w:rsidP="00B36577">
      <w:pPr>
        <w:spacing w:after="72"/>
      </w:pPr>
      <w:r>
        <w:rPr>
          <w:rStyle w:val="BodyBold"/>
          <w:rFonts w:ascii="Times New Roman" w:hAnsi="Times New Roman"/>
          <w:sz w:val="24"/>
          <w:szCs w:val="24"/>
        </w:rPr>
        <w:t>R</w:t>
      </w:r>
      <w:r w:rsidR="00B54C79">
        <w:rPr>
          <w:rStyle w:val="BodyBold"/>
          <w:rFonts w:ascii="Times New Roman" w:hAnsi="Times New Roman"/>
          <w:sz w:val="24"/>
          <w:szCs w:val="24"/>
        </w:rPr>
        <w:t>eagents</w:t>
      </w:r>
    </w:p>
    <w:p w:rsidR="009F648F" w:rsidRDefault="004E04CB" w:rsidP="009F648F">
      <w:pPr>
        <w:pStyle w:val="txt"/>
        <w:ind w:left="0"/>
        <w:rPr>
          <w:sz w:val="24"/>
          <w:szCs w:val="24"/>
        </w:rPr>
      </w:pPr>
      <w:r>
        <w:rPr>
          <w:noProof/>
        </w:rPr>
        <w:drawing>
          <wp:inline distT="0" distB="0" distL="0" distR="0" wp14:anchorId="5BBFC42B" wp14:editId="2A844124">
            <wp:extent cx="4029075" cy="2162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29075" cy="2162175"/>
                    </a:xfrm>
                    <a:prstGeom prst="rect">
                      <a:avLst/>
                    </a:prstGeom>
                  </pic:spPr>
                </pic:pic>
              </a:graphicData>
            </a:graphic>
          </wp:inline>
        </w:drawing>
      </w:r>
    </w:p>
    <w:p w:rsidR="004E04CB" w:rsidRDefault="004E04CB" w:rsidP="009F648F">
      <w:pPr>
        <w:pStyle w:val="txt"/>
        <w:ind w:left="0"/>
        <w:rPr>
          <w:sz w:val="24"/>
          <w:szCs w:val="24"/>
        </w:rPr>
      </w:pPr>
      <w:r>
        <w:rPr>
          <w:noProof/>
        </w:rPr>
        <w:drawing>
          <wp:inline distT="0" distB="0" distL="0" distR="0" wp14:anchorId="63F5DBE8" wp14:editId="6A0243E5">
            <wp:extent cx="3981450" cy="819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81450" cy="819150"/>
                    </a:xfrm>
                    <a:prstGeom prst="rect">
                      <a:avLst/>
                    </a:prstGeom>
                  </pic:spPr>
                </pic:pic>
              </a:graphicData>
            </a:graphic>
          </wp:inline>
        </w:drawing>
      </w:r>
    </w:p>
    <w:p w:rsidR="00B54C79" w:rsidRPr="009F648F" w:rsidRDefault="00B54C79" w:rsidP="009F648F">
      <w:pPr>
        <w:pStyle w:val="txt"/>
        <w:ind w:left="0"/>
        <w:rPr>
          <w:sz w:val="24"/>
          <w:szCs w:val="24"/>
        </w:rPr>
      </w:pPr>
      <w:r>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81500" cy="1590675"/>
                    </a:xfrm>
                    <a:prstGeom prst="rect">
                      <a:avLst/>
                    </a:prstGeom>
                  </pic:spPr>
                </pic:pic>
              </a:graphicData>
            </a:graphic>
          </wp:inline>
        </w:drawing>
      </w:r>
    </w:p>
    <w:p w:rsidR="00C3571A" w:rsidRPr="00C3571A" w:rsidRDefault="00B36577" w:rsidP="00C3571A">
      <w:pPr>
        <w:autoSpaceDE w:val="0"/>
        <w:autoSpaceDN w:val="0"/>
        <w:adjustRightInd w:val="0"/>
        <w:rPr>
          <w:rFonts w:eastAsia="HelenPro-Regular"/>
        </w:rPr>
      </w:pPr>
      <w:r w:rsidRPr="00100BF8">
        <w:rPr>
          <w:b/>
        </w:rPr>
        <w:t>Calibrator:</w:t>
      </w:r>
      <w:r w:rsidRPr="00100BF8">
        <w:t xml:space="preserve">  </w:t>
      </w:r>
      <w:r w:rsidR="004E04CB" w:rsidRPr="004E04CB">
        <w:rPr>
          <w:rFonts w:eastAsia="HelenPro-Regular"/>
        </w:rPr>
        <w:t>2K45-01 ARCHITECT CA 125 II Calibrators</w:t>
      </w:r>
    </w:p>
    <w:p w:rsidR="00507B0C" w:rsidRPr="00973EAF" w:rsidRDefault="00507B0C" w:rsidP="00507B0C">
      <w:pPr>
        <w:spacing w:after="43"/>
        <w:rPr>
          <w:i/>
          <w:color w:val="FF0000"/>
          <w:szCs w:val="15"/>
        </w:rPr>
      </w:pPr>
    </w:p>
    <w:p w:rsidR="00973EAF" w:rsidRPr="00973EAF" w:rsidRDefault="00B36577" w:rsidP="00973EAF">
      <w:pPr>
        <w:spacing w:after="43"/>
        <w:rPr>
          <w:i/>
          <w:color w:val="FF0000"/>
          <w:szCs w:val="15"/>
        </w:rPr>
      </w:pPr>
      <w:r w:rsidRPr="007E4CE6">
        <w:rPr>
          <w:b/>
          <w:szCs w:val="14"/>
        </w:rPr>
        <w:t>Quality Control:</w:t>
      </w:r>
      <w:r w:rsidR="00CA11D0" w:rsidRPr="007E4CE6">
        <w:rPr>
          <w:szCs w:val="14"/>
        </w:rPr>
        <w:t xml:space="preserve">  </w:t>
      </w:r>
      <w:r w:rsidR="004E04CB" w:rsidRPr="004E04CB">
        <w:rPr>
          <w:rFonts w:eastAsia="HelenPro-Regular"/>
        </w:rPr>
        <w:t>2K45-</w:t>
      </w:r>
      <w:r w:rsidR="004E04CB">
        <w:rPr>
          <w:rFonts w:eastAsia="HelenPro-Regular"/>
        </w:rPr>
        <w:t>10</w:t>
      </w:r>
      <w:r w:rsidR="004E04CB" w:rsidRPr="004E04CB">
        <w:rPr>
          <w:rFonts w:eastAsia="HelenPro-Regular"/>
        </w:rPr>
        <w:t xml:space="preserve"> ARCHITECT CA 125 II </w:t>
      </w:r>
      <w:r w:rsidR="004E04CB">
        <w:rPr>
          <w:rFonts w:eastAsia="HelenPro-Regular"/>
        </w:rPr>
        <w:t>Controls</w:t>
      </w:r>
      <w:r w:rsidR="004E04CB" w:rsidRPr="00B54C79">
        <w:rPr>
          <w:rFonts w:eastAsia="HelenPro-Regular"/>
        </w:rPr>
        <w:t xml:space="preserve"> </w:t>
      </w:r>
      <w:r w:rsidR="00B54C79" w:rsidRPr="00B54C79">
        <w:rPr>
          <w:rFonts w:eastAsia="HelenPro-Regular"/>
        </w:rPr>
        <w:t>or other control material</w:t>
      </w:r>
    </w:p>
    <w:p w:rsidR="0025031C" w:rsidRPr="00162EEA" w:rsidRDefault="0025031C" w:rsidP="0025031C">
      <w:pPr>
        <w:ind w:left="1440"/>
      </w:pPr>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Pr="00973EAF" w:rsidRDefault="005E3AB5" w:rsidP="00656BB9">
      <w:pPr>
        <w:spacing w:after="43"/>
        <w:ind w:firstLine="720"/>
        <w:rPr>
          <w:i/>
          <w:color w:val="FF0000"/>
          <w:szCs w:val="15"/>
        </w:rPr>
      </w:pPr>
      <w:r w:rsidRPr="007E4CE6">
        <w:rPr>
          <w:b/>
        </w:rPr>
        <w:t>Calibrator Required:</w:t>
      </w:r>
      <w:r w:rsidRPr="007E4CE6">
        <w:t xml:space="preserve">  </w:t>
      </w:r>
      <w:r w:rsidR="004E04CB" w:rsidRPr="004E04CB">
        <w:rPr>
          <w:rFonts w:eastAsia="HelenPro-Regular"/>
        </w:rPr>
        <w:t>2K45-01 ARCHITECT CA 125 II Calibrators</w:t>
      </w:r>
    </w:p>
    <w:p w:rsidR="00714F24" w:rsidRDefault="00714F24" w:rsidP="0025031C">
      <w:pPr>
        <w:spacing w:after="43"/>
        <w:ind w:firstLine="720"/>
        <w:rPr>
          <w:color w:val="000000"/>
          <w:szCs w:val="14"/>
        </w:rPr>
      </w:pPr>
    </w:p>
    <w:p w:rsidR="0025031C" w:rsidRPr="0025031C" w:rsidRDefault="0025031C" w:rsidP="004F5F8A">
      <w:pPr>
        <w:ind w:firstLine="720"/>
        <w:rPr>
          <w:b/>
        </w:rPr>
      </w:pPr>
      <w:r w:rsidRPr="0025031C">
        <w:rPr>
          <w:b/>
        </w:rPr>
        <w:t>Reagents:</w:t>
      </w:r>
    </w:p>
    <w:p w:rsidR="00971014" w:rsidRPr="00971014" w:rsidRDefault="00971014" w:rsidP="00971014">
      <w:pPr>
        <w:autoSpaceDE w:val="0"/>
        <w:autoSpaceDN w:val="0"/>
        <w:adjustRightInd w:val="0"/>
        <w:ind w:left="720"/>
        <w:rPr>
          <w:rFonts w:eastAsia="HelenPro-Regular"/>
        </w:rPr>
      </w:pPr>
      <w:r w:rsidRPr="00971014">
        <w:rPr>
          <w:rFonts w:eastAsia="HelenPro-Regular"/>
        </w:rPr>
        <w:t>6 Bottles (4 mL each) of ARCHITECT CA 125 II Calibrators. Calibrator A</w:t>
      </w:r>
      <w:r>
        <w:rPr>
          <w:rFonts w:eastAsia="HelenPro-Regular"/>
        </w:rPr>
        <w:t xml:space="preserve"> </w:t>
      </w:r>
      <w:r w:rsidRPr="00971014">
        <w:rPr>
          <w:rFonts w:eastAsia="HelenPro-Regular"/>
        </w:rPr>
        <w:t>contains TRIS buffer with protein (bovine) stabilizers. Calibrators</w:t>
      </w:r>
      <w:r>
        <w:rPr>
          <w:rFonts w:eastAsia="HelenPro-Regular"/>
        </w:rPr>
        <w:t xml:space="preserve"> </w:t>
      </w:r>
      <w:r w:rsidRPr="00971014">
        <w:rPr>
          <w:rFonts w:eastAsia="HelenPro-Regular"/>
        </w:rPr>
        <w:t>B-F contain OC125 defined antigen (human) prepared in</w:t>
      </w:r>
    </w:p>
    <w:p w:rsidR="0049724B" w:rsidRPr="00971014" w:rsidRDefault="00971014" w:rsidP="00971014">
      <w:pPr>
        <w:autoSpaceDE w:val="0"/>
        <w:autoSpaceDN w:val="0"/>
        <w:adjustRightInd w:val="0"/>
        <w:ind w:left="720"/>
        <w:rPr>
          <w:rFonts w:eastAsia="HelenPro-Regular"/>
        </w:rPr>
      </w:pPr>
      <w:r w:rsidRPr="00971014">
        <w:rPr>
          <w:rFonts w:eastAsia="HelenPro-Regular"/>
        </w:rPr>
        <w:t>TRIS buffer with protein (bovine) stabilize</w:t>
      </w:r>
      <w:r>
        <w:rPr>
          <w:rFonts w:eastAsia="HelenPro-Regular"/>
        </w:rPr>
        <w:t xml:space="preserve">rs. Preservatives: Sodium </w:t>
      </w:r>
      <w:proofErr w:type="spellStart"/>
      <w:r>
        <w:rPr>
          <w:rFonts w:eastAsia="HelenPro-Regular"/>
        </w:rPr>
        <w:t>Azide</w:t>
      </w:r>
      <w:proofErr w:type="spellEnd"/>
      <w:r>
        <w:rPr>
          <w:rFonts w:eastAsia="HelenPro-Regular"/>
        </w:rPr>
        <w:t xml:space="preserve"> </w:t>
      </w:r>
      <w:r w:rsidRPr="00971014">
        <w:rPr>
          <w:rFonts w:eastAsia="HelenPro-Regular"/>
        </w:rPr>
        <w:t xml:space="preserve">and </w:t>
      </w:r>
      <w:proofErr w:type="spellStart"/>
      <w:r w:rsidRPr="00971014">
        <w:rPr>
          <w:rFonts w:eastAsia="HelenPro-Regular"/>
        </w:rPr>
        <w:t>ProClin</w:t>
      </w:r>
      <w:proofErr w:type="spellEnd"/>
      <w:r w:rsidRPr="00971014">
        <w:rPr>
          <w:rFonts w:eastAsia="HelenPro-Regular"/>
        </w:rPr>
        <w:t xml:space="preserve"> 300.</w:t>
      </w:r>
    </w:p>
    <w:p w:rsidR="00971014" w:rsidRDefault="00971014" w:rsidP="00F3700B">
      <w:pPr>
        <w:ind w:left="720"/>
        <w:rPr>
          <w:b/>
        </w:rPr>
      </w:pPr>
    </w:p>
    <w:p w:rsidR="00971014" w:rsidRDefault="00971014" w:rsidP="00F3700B">
      <w:pPr>
        <w:ind w:left="720"/>
        <w:rPr>
          <w:b/>
        </w:rPr>
      </w:pPr>
    </w:p>
    <w:p w:rsidR="00971014" w:rsidRDefault="00971014" w:rsidP="00F3700B">
      <w:pPr>
        <w:ind w:left="720"/>
        <w:rPr>
          <w:b/>
        </w:rPr>
      </w:pPr>
    </w:p>
    <w:p w:rsidR="00F3700B" w:rsidRPr="00971014" w:rsidRDefault="0037463A" w:rsidP="00F3700B">
      <w:pPr>
        <w:ind w:left="720"/>
      </w:pPr>
      <w:r w:rsidRPr="00971014">
        <w:rPr>
          <w:b/>
        </w:rPr>
        <w:t xml:space="preserve">Calibrator Preparation: </w:t>
      </w:r>
    </w:p>
    <w:p w:rsidR="00971014" w:rsidRPr="00971014" w:rsidRDefault="00971014" w:rsidP="00971014">
      <w:pPr>
        <w:autoSpaceDE w:val="0"/>
        <w:autoSpaceDN w:val="0"/>
        <w:adjustRightInd w:val="0"/>
        <w:ind w:left="720"/>
        <w:rPr>
          <w:rFonts w:eastAsia="HelenPro-Regular"/>
        </w:rPr>
      </w:pPr>
      <w:r w:rsidRPr="00971014">
        <w:rPr>
          <w:rFonts w:eastAsia="HelenPro-Bold"/>
          <w:b/>
          <w:bCs/>
        </w:rPr>
        <w:t xml:space="preserve">• </w:t>
      </w:r>
      <w:r w:rsidRPr="00971014">
        <w:rPr>
          <w:rFonts w:eastAsia="HelenPro-Regular"/>
        </w:rPr>
        <w:t>ARCHITECT CA 125 II Calibrators may be used immedia</w:t>
      </w:r>
      <w:r>
        <w:rPr>
          <w:rFonts w:eastAsia="HelenPro-Regular"/>
        </w:rPr>
        <w:t xml:space="preserve">tely after removal </w:t>
      </w:r>
      <w:r w:rsidRPr="00971014">
        <w:rPr>
          <w:rFonts w:eastAsia="HelenPro-Regular"/>
        </w:rPr>
        <w:t>from 2-8°C storage. Prior to use, mix by gentle inversion (5-10 times).</w:t>
      </w:r>
    </w:p>
    <w:p w:rsidR="00DA0D83" w:rsidRPr="00971014" w:rsidRDefault="00971014" w:rsidP="00971014">
      <w:pPr>
        <w:autoSpaceDE w:val="0"/>
        <w:autoSpaceDN w:val="0"/>
        <w:adjustRightInd w:val="0"/>
        <w:ind w:left="720"/>
        <w:rPr>
          <w:rFonts w:eastAsia="HelenPro-Regular"/>
        </w:rPr>
      </w:pPr>
      <w:r w:rsidRPr="00971014">
        <w:rPr>
          <w:rFonts w:eastAsia="HelenPro-Bold"/>
          <w:b/>
          <w:bCs/>
        </w:rPr>
        <w:t xml:space="preserve">• </w:t>
      </w:r>
      <w:r w:rsidRPr="00971014">
        <w:rPr>
          <w:rFonts w:eastAsia="HelenPro-Regular"/>
        </w:rPr>
        <w:t>After each use, tightly close the caps and return the calibrators to</w:t>
      </w:r>
      <w:r>
        <w:rPr>
          <w:rFonts w:eastAsia="HelenPro-Regular"/>
        </w:rPr>
        <w:t xml:space="preserve"> </w:t>
      </w:r>
      <w:r w:rsidRPr="00971014">
        <w:rPr>
          <w:rFonts w:eastAsia="HelenPro-Regular"/>
        </w:rPr>
        <w:t>2-8°C storage</w:t>
      </w:r>
    </w:p>
    <w:p w:rsidR="0049724B" w:rsidRDefault="0049724B" w:rsidP="00AD402C">
      <w:pPr>
        <w:ind w:firstLine="720"/>
        <w:rPr>
          <w:b/>
        </w:rPr>
      </w:pPr>
    </w:p>
    <w:p w:rsidR="004F5F8A" w:rsidRPr="0049724B" w:rsidRDefault="0025031C" w:rsidP="00AD402C">
      <w:pPr>
        <w:ind w:firstLine="720"/>
        <w:rPr>
          <w:b/>
        </w:rPr>
      </w:pPr>
      <w:r w:rsidRPr="0049724B">
        <w:rPr>
          <w:b/>
        </w:rPr>
        <w:t>Calibration Procedure:</w:t>
      </w:r>
      <w:r w:rsidR="0006502B" w:rsidRPr="0049724B">
        <w:rPr>
          <w:b/>
        </w:rPr>
        <w:t xml:space="preserve"> </w:t>
      </w:r>
    </w:p>
    <w:p w:rsidR="004E04CB" w:rsidRPr="00971014" w:rsidRDefault="004E04CB" w:rsidP="00971014">
      <w:pPr>
        <w:autoSpaceDE w:val="0"/>
        <w:autoSpaceDN w:val="0"/>
        <w:adjustRightInd w:val="0"/>
        <w:ind w:left="720"/>
        <w:rPr>
          <w:rFonts w:eastAsia="HelenPro-Regular"/>
        </w:rPr>
      </w:pPr>
      <w:r w:rsidRPr="00971014">
        <w:rPr>
          <w:rFonts w:eastAsia="HelenPro-Regular"/>
        </w:rPr>
        <w:t>To perform an ARCHITECT CA 125 II calibration, test calibrators A, B,</w:t>
      </w:r>
      <w:r w:rsidR="00971014">
        <w:rPr>
          <w:rFonts w:eastAsia="HelenPro-Regular"/>
        </w:rPr>
        <w:t xml:space="preserve"> </w:t>
      </w:r>
      <w:r w:rsidRPr="00971014">
        <w:rPr>
          <w:rFonts w:eastAsia="HelenPro-Regular"/>
        </w:rPr>
        <w:t>C, D, E and F in duplicate. A single sample of all levels of CA 125 II</w:t>
      </w:r>
      <w:r w:rsidR="00971014">
        <w:rPr>
          <w:rFonts w:eastAsia="HelenPro-Regular"/>
        </w:rPr>
        <w:t xml:space="preserve"> </w:t>
      </w:r>
      <w:r w:rsidRPr="00971014">
        <w:rPr>
          <w:rFonts w:eastAsia="HelenPro-Regular"/>
        </w:rPr>
        <w:t>controls must be tested to evaluate the assay calibration. Ensure that</w:t>
      </w:r>
      <w:r w:rsidR="00971014">
        <w:rPr>
          <w:rFonts w:eastAsia="HelenPro-Regular"/>
        </w:rPr>
        <w:t xml:space="preserve"> </w:t>
      </w:r>
      <w:r w:rsidRPr="00971014">
        <w:rPr>
          <w:rFonts w:eastAsia="HelenPro-Regular"/>
        </w:rPr>
        <w:t>assay control values are within the concentration ranges specified</w:t>
      </w:r>
      <w:r w:rsidR="00971014">
        <w:rPr>
          <w:rFonts w:eastAsia="HelenPro-Regular"/>
        </w:rPr>
        <w:t xml:space="preserve"> </w:t>
      </w:r>
      <w:r w:rsidRPr="00971014">
        <w:rPr>
          <w:rFonts w:eastAsia="HelenPro-Regular"/>
        </w:rPr>
        <w:t>in the control package insert. Calibrators should be priority loaded.</w:t>
      </w:r>
    </w:p>
    <w:p w:rsidR="004E04CB" w:rsidRDefault="004E04CB" w:rsidP="00971014">
      <w:pPr>
        <w:ind w:left="1440"/>
        <w:rPr>
          <w:b/>
          <w:bCs/>
        </w:rPr>
      </w:pPr>
      <w:r w:rsidRPr="00971014">
        <w:rPr>
          <w:rFonts w:eastAsia="HelenPro-Bold"/>
          <w:b/>
          <w:bCs/>
        </w:rPr>
        <w:t xml:space="preserve">• </w:t>
      </w:r>
      <w:r w:rsidRPr="00971014">
        <w:rPr>
          <w:rFonts w:eastAsia="HelenPro-Regular"/>
        </w:rPr>
        <w:t>Calibrator Range: 0 - 1000 U/</w:t>
      </w:r>
      <w:proofErr w:type="spellStart"/>
      <w:r w:rsidRPr="00971014">
        <w:rPr>
          <w:rFonts w:eastAsia="HelenPro-Regular"/>
        </w:rPr>
        <w:t>mL.</w:t>
      </w:r>
      <w:proofErr w:type="spellEnd"/>
    </w:p>
    <w:p w:rsidR="004E04CB" w:rsidRDefault="004E04CB"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7150E8" w:rsidRDefault="007150E8" w:rsidP="0025031C">
      <w:pPr>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w:t>
      </w:r>
      <w:r w:rsidR="0049724B">
        <w:rPr>
          <w:rFonts w:eastAsia="HelenPro-Regular"/>
        </w:rPr>
        <w:t xml:space="preserve">all </w:t>
      </w:r>
      <w:r w:rsidRPr="006A13AB">
        <w:rPr>
          <w:rFonts w:eastAsia="HelenPro-Regular"/>
        </w:rPr>
        <w:t>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lastRenderedPageBreak/>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4E04CB">
        <w:rPr>
          <w:rFonts w:eastAsia="HelenPro-Regular"/>
        </w:rPr>
        <w:t>CA 125</w:t>
      </w:r>
      <w:r w:rsidRPr="003356DF">
        <w:rPr>
          <w:rFonts w:eastAsia="HelenPro-Regular"/>
        </w:rPr>
        <w:t xml:space="preserve"> assay is designed for use on the ARCHITECT </w:t>
      </w:r>
      <w:proofErr w:type="spellStart"/>
      <w:r w:rsidRPr="003356DF">
        <w:rPr>
          <w:rFonts w:eastAsia="HelenPro-Bold"/>
          <w:i/>
          <w:iCs/>
        </w:rPr>
        <w:t>i</w:t>
      </w:r>
      <w:proofErr w:type="spellEnd"/>
      <w:r w:rsidRPr="003356DF">
        <w:rPr>
          <w:rFonts w:eastAsia="HelenPro-Bold"/>
          <w:i/>
          <w:iCs/>
        </w:rPr>
        <w:t xml:space="preserve"> </w:t>
      </w:r>
      <w:r w:rsidRPr="003356DF">
        <w:rPr>
          <w:rFonts w:eastAsia="HelenPro-Regular"/>
        </w:rPr>
        <w:t>System.</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4E04CB">
        <w:rPr>
          <w:rFonts w:eastAsia="HelenPro-Regular"/>
        </w:rPr>
        <w:t>CA 125</w:t>
      </w:r>
      <w:r w:rsidRPr="003356DF">
        <w:rPr>
          <w:rFonts w:eastAsia="HelenPro-Regular"/>
        </w:rPr>
        <w:t xml:space="preserve"> assay file must be installed on the ARCHITECT </w:t>
      </w:r>
      <w:proofErr w:type="spellStart"/>
      <w:r w:rsidRPr="003356DF">
        <w:rPr>
          <w:rFonts w:eastAsia="HelenPro-Bold"/>
          <w:i/>
          <w:iCs/>
        </w:rPr>
        <w:t>i</w:t>
      </w:r>
      <w:proofErr w:type="spellEnd"/>
      <w:r w:rsidRPr="003356DF">
        <w:rPr>
          <w:rFonts w:eastAsia="HelenPro-Bold"/>
          <w:i/>
          <w:iCs/>
        </w:rPr>
        <w:t xml:space="preserve"> </w:t>
      </w:r>
      <w:r w:rsidRPr="003356DF">
        <w:rPr>
          <w:rFonts w:eastAsia="HelenPro-Regular"/>
        </w:rPr>
        <w:t xml:space="preserve">System </w:t>
      </w:r>
      <w:r w:rsidR="00C7332C">
        <w:rPr>
          <w:rFonts w:eastAsia="HelenPro-Regular"/>
        </w:rPr>
        <w:t xml:space="preserve">with </w:t>
      </w:r>
      <w:r w:rsidR="00C7332C" w:rsidRPr="00C7332C">
        <w:rPr>
          <w:rFonts w:eastAsia="HelenPro-Regular"/>
          <w:i/>
        </w:rPr>
        <w:t>STAT</w:t>
      </w:r>
      <w:r w:rsidR="00C7332C">
        <w:rPr>
          <w:rFonts w:eastAsia="HelenPro-Regular"/>
        </w:rPr>
        <w:t xml:space="preserve"> capabilities </w:t>
      </w:r>
      <w:r w:rsidRPr="003356DF">
        <w:rPr>
          <w:rFonts w:eastAsia="HelenPro-Regular"/>
        </w:rPr>
        <w:t>before performing the assay.</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260434" w:rsidRDefault="00260434" w:rsidP="00F66836">
      <w:pPr>
        <w:rPr>
          <w:b/>
          <w:sz w:val="28"/>
          <w:szCs w:val="28"/>
        </w:rPr>
      </w:pPr>
    </w:p>
    <w:p w:rsidR="00260434" w:rsidRDefault="00260434"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A363FC" w:rsidRDefault="00A554D4" w:rsidP="002C7FD5">
      <w:pPr>
        <w:rPr>
          <w:b/>
          <w:bCs/>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 xml:space="preserve">ARCHITECT System </w:t>
      </w:r>
    </w:p>
    <w:p w:rsidR="00A363FC" w:rsidRDefault="00A363FC" w:rsidP="002C7FD5">
      <w:pPr>
        <w:rPr>
          <w:b/>
          <w:bCs/>
        </w:rPr>
      </w:pPr>
    </w:p>
    <w:p w:rsidR="00B36577" w:rsidRDefault="00A554D4" w:rsidP="002C7FD5">
      <w:pPr>
        <w:rPr>
          <w:rFonts w:eastAsia="HelenPro-Regular"/>
        </w:rPr>
      </w:pPr>
      <w:r w:rsidRPr="00A554D4">
        <w:rPr>
          <w:b/>
          <w:bCs/>
        </w:rPr>
        <w:t>Operations Manual</w:t>
      </w:r>
      <w:r w:rsidRPr="00A554D4">
        <w:rPr>
          <w:rFonts w:eastAsia="HelenPro-Regular"/>
        </w:rPr>
        <w:t>.</w:t>
      </w:r>
    </w:p>
    <w:p w:rsidR="00173EA4" w:rsidRDefault="004E04CB" w:rsidP="002C7FD5">
      <w:pPr>
        <w:rPr>
          <w:b/>
        </w:rPr>
      </w:pPr>
      <w:r>
        <w:rPr>
          <w:noProof/>
        </w:rPr>
        <w:drawing>
          <wp:inline distT="0" distB="0" distL="0" distR="0" wp14:anchorId="1F1E3FA3" wp14:editId="423E4597">
            <wp:extent cx="4229100" cy="2181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29100" cy="2181225"/>
                    </a:xfrm>
                    <a:prstGeom prst="rect">
                      <a:avLst/>
                    </a:prstGeom>
                  </pic:spPr>
                </pic:pic>
              </a:graphicData>
            </a:graphic>
          </wp:inline>
        </w:drawing>
      </w:r>
    </w:p>
    <w:p w:rsidR="003356DF" w:rsidRDefault="003356DF" w:rsidP="002C7FD5">
      <w:pPr>
        <w:rPr>
          <w:b/>
        </w:rPr>
      </w:pPr>
      <w:r>
        <w:rPr>
          <w:noProof/>
        </w:rPr>
        <w:lastRenderedPageBreak/>
        <w:drawing>
          <wp:inline distT="0" distB="0" distL="0" distR="0" wp14:anchorId="235BE292" wp14:editId="50D1C22D">
            <wp:extent cx="4257675" cy="2000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57675" cy="2000250"/>
                    </a:xfrm>
                    <a:prstGeom prst="rect">
                      <a:avLst/>
                    </a:prstGeom>
                  </pic:spPr>
                </pic:pic>
              </a:graphicData>
            </a:graphic>
          </wp:inline>
        </w:drawing>
      </w:r>
    </w:p>
    <w:p w:rsidR="003356DF" w:rsidRDefault="003356DF" w:rsidP="002C7FD5">
      <w:pPr>
        <w:rPr>
          <w:b/>
        </w:rPr>
      </w:pPr>
    </w:p>
    <w:p w:rsidR="005B1BF7" w:rsidRDefault="004E04CB" w:rsidP="002C7FD5">
      <w:pPr>
        <w:rPr>
          <w:b/>
        </w:rPr>
      </w:pPr>
      <w:r>
        <w:rPr>
          <w:noProof/>
        </w:rPr>
        <w:drawing>
          <wp:inline distT="0" distB="0" distL="0" distR="0" wp14:anchorId="30CEAE0C" wp14:editId="55491366">
            <wp:extent cx="4305300" cy="15906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05300" cy="1590675"/>
                    </a:xfrm>
                    <a:prstGeom prst="rect">
                      <a:avLst/>
                    </a:prstGeom>
                  </pic:spPr>
                </pic:pic>
              </a:graphicData>
            </a:graphic>
          </wp:inline>
        </w:drawing>
      </w:r>
    </w:p>
    <w:p w:rsidR="00971014" w:rsidRDefault="00971014" w:rsidP="002C7FD5">
      <w:pPr>
        <w:rPr>
          <w:b/>
        </w:rPr>
      </w:pPr>
      <w:r>
        <w:rPr>
          <w:noProof/>
        </w:rPr>
        <w:drawing>
          <wp:inline distT="0" distB="0" distL="0" distR="0" wp14:anchorId="140366F7" wp14:editId="32FEF4A1">
            <wp:extent cx="4210050" cy="9810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10050" cy="981075"/>
                    </a:xfrm>
                    <a:prstGeom prst="rect">
                      <a:avLst/>
                    </a:prstGeom>
                  </pic:spPr>
                </pic:pic>
              </a:graphicData>
            </a:graphic>
          </wp:inline>
        </w:drawing>
      </w:r>
    </w:p>
    <w:p w:rsidR="005B1BF7" w:rsidRDefault="005B1BF7" w:rsidP="002C7FD5">
      <w:pPr>
        <w:rPr>
          <w:b/>
        </w:rPr>
      </w:pPr>
      <w:r>
        <w:rPr>
          <w:noProof/>
        </w:rPr>
        <w:drawing>
          <wp:inline distT="0" distB="0" distL="0" distR="0" wp14:anchorId="23670DB3" wp14:editId="6E995337">
            <wp:extent cx="4253024" cy="701749"/>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b="57612"/>
                    <a:stretch/>
                  </pic:blipFill>
                  <pic:spPr bwMode="auto">
                    <a:xfrm>
                      <a:off x="0" y="0"/>
                      <a:ext cx="4257675" cy="702516"/>
                    </a:xfrm>
                    <a:prstGeom prst="rect">
                      <a:avLst/>
                    </a:prstGeom>
                    <a:ln>
                      <a:noFill/>
                    </a:ln>
                    <a:extLst>
                      <a:ext uri="{53640926-AAD7-44D8-BBD7-CCE9431645EC}">
                        <a14:shadowObscured xmlns:a14="http://schemas.microsoft.com/office/drawing/2010/main"/>
                      </a:ext>
                    </a:extLst>
                  </pic:spPr>
                </pic:pic>
              </a:graphicData>
            </a:graphic>
          </wp:inline>
        </w:drawing>
      </w:r>
    </w:p>
    <w:p w:rsidR="00F92520" w:rsidRDefault="00971014" w:rsidP="00971014">
      <w:pPr>
        <w:rPr>
          <w:rFonts w:eastAsia="HelenPro-Regular"/>
        </w:rPr>
      </w:pPr>
      <w:r>
        <w:rPr>
          <w:noProof/>
        </w:rPr>
        <w:lastRenderedPageBreak/>
        <w:drawing>
          <wp:inline distT="0" distB="0" distL="0" distR="0" wp14:anchorId="6B03340E" wp14:editId="74F0FC03">
            <wp:extent cx="4210050" cy="3657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10050" cy="3657600"/>
                    </a:xfrm>
                    <a:prstGeom prst="rect">
                      <a:avLst/>
                    </a:prstGeom>
                  </pic:spPr>
                </pic:pic>
              </a:graphicData>
            </a:graphic>
          </wp:inline>
        </w:drawing>
      </w: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3700B" w:rsidRPr="00A7716D" w:rsidRDefault="003C58E4" w:rsidP="0049724B">
      <w:pPr>
        <w:autoSpaceDE w:val="0"/>
        <w:autoSpaceDN w:val="0"/>
        <w:adjustRightInd w:val="0"/>
        <w:rPr>
          <w:rFonts w:eastAsia="HelenPro-Regular"/>
        </w:rPr>
      </w:pPr>
      <w:r w:rsidRPr="00A7716D">
        <w:rPr>
          <w:rFonts w:eastAsia="HelenPro-Regular"/>
        </w:rPr>
        <w:t xml:space="preserve">The default result unit for the ARCHITECT </w:t>
      </w:r>
      <w:proofErr w:type="spellStart"/>
      <w:r w:rsidR="00971014">
        <w:rPr>
          <w:rFonts w:eastAsia="HelenPro-Regular"/>
        </w:rPr>
        <w:t>Ca</w:t>
      </w:r>
      <w:proofErr w:type="spellEnd"/>
      <w:r w:rsidR="00971014">
        <w:rPr>
          <w:rFonts w:eastAsia="HelenPro-Regular"/>
        </w:rPr>
        <w:t xml:space="preserve"> 125</w:t>
      </w:r>
      <w:r w:rsidRPr="00A7716D">
        <w:rPr>
          <w:rFonts w:eastAsia="HelenPro-Regular"/>
        </w:rPr>
        <w:t xml:space="preserve"> assay is </w:t>
      </w:r>
      <w:r w:rsidR="00971014">
        <w:rPr>
          <w:rFonts w:eastAsia="HelenPro-Regular"/>
        </w:rPr>
        <w:t>U</w:t>
      </w:r>
      <w:r w:rsidRPr="00A7716D">
        <w:rPr>
          <w:rFonts w:eastAsia="HelenPro-Regular"/>
        </w:rPr>
        <w:t>/</w:t>
      </w:r>
      <w:proofErr w:type="spellStart"/>
      <w:r w:rsidRPr="00A7716D">
        <w:rPr>
          <w:rFonts w:eastAsia="HelenPro-Regular"/>
        </w:rPr>
        <w:t>mL</w:t>
      </w:r>
      <w:r w:rsidR="0049724B" w:rsidRPr="00A7716D">
        <w:rPr>
          <w:rFonts w:eastAsia="HelenPro-Regular"/>
        </w:rPr>
        <w:t>.</w:t>
      </w:r>
      <w:proofErr w:type="spellEnd"/>
      <w:r w:rsidR="00C7332C" w:rsidRPr="00A7716D">
        <w:rPr>
          <w:rFonts w:eastAsia="HelenPro-Regular"/>
        </w:rPr>
        <w:t xml:space="preserve">  </w:t>
      </w:r>
    </w:p>
    <w:p w:rsidR="002648A6" w:rsidRDefault="002648A6" w:rsidP="00C3571A">
      <w:pPr>
        <w:autoSpaceDE w:val="0"/>
        <w:autoSpaceDN w:val="0"/>
        <w:adjustRightInd w:val="0"/>
        <w:rPr>
          <w:rFonts w:eastAsia="HelenPro-Regular"/>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Pr="00C3571A"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D64E39" w:rsidRDefault="00D64E39" w:rsidP="00AB793D">
      <w:pPr>
        <w:rPr>
          <w:rFonts w:ascii="Arial" w:hAnsi="Arial" w:cs="Arial"/>
          <w:b/>
          <w:bCs/>
        </w:rPr>
      </w:pPr>
    </w:p>
    <w:p w:rsidR="00912FE4" w:rsidRPr="00A363FC" w:rsidRDefault="00912FE4" w:rsidP="00AB793D">
      <w:pPr>
        <w:rPr>
          <w:b/>
          <w:bCs/>
          <w:sz w:val="28"/>
          <w:szCs w:val="28"/>
        </w:rPr>
      </w:pPr>
      <w:r w:rsidRPr="00A363FC">
        <w:rPr>
          <w:b/>
          <w:bCs/>
          <w:sz w:val="28"/>
          <w:szCs w:val="28"/>
        </w:rPr>
        <w:t>Specific Performance Characteristics</w:t>
      </w:r>
      <w:r w:rsidR="00D60AFA" w:rsidRPr="00A363FC">
        <w:rPr>
          <w:b/>
          <w:bCs/>
          <w:sz w:val="28"/>
          <w:szCs w:val="28"/>
        </w:rPr>
        <w:t xml:space="preserve"> </w:t>
      </w:r>
    </w:p>
    <w:p w:rsidR="00CE2DC7" w:rsidRPr="00A363FC" w:rsidRDefault="002648A6" w:rsidP="00AB793D">
      <w:pPr>
        <w:rPr>
          <w:b/>
          <w:bCs/>
        </w:rPr>
      </w:pPr>
      <w:r w:rsidRPr="00A363FC">
        <w:rPr>
          <w:b/>
          <w:bCs/>
        </w:rPr>
        <w:t>Expected Values</w:t>
      </w:r>
      <w:r w:rsidR="00D60AFA" w:rsidRPr="00A363FC">
        <w:rPr>
          <w:b/>
          <w:bCs/>
        </w:rPr>
        <w:t xml:space="preserve"> </w:t>
      </w:r>
    </w:p>
    <w:p w:rsidR="0055619E" w:rsidRPr="00A363FC" w:rsidRDefault="006D40ED" w:rsidP="006D40ED">
      <w:pPr>
        <w:autoSpaceDE w:val="0"/>
        <w:autoSpaceDN w:val="0"/>
        <w:adjustRightInd w:val="0"/>
        <w:rPr>
          <w:rFonts w:eastAsia="HelenPro-Regular"/>
        </w:rPr>
      </w:pPr>
      <w:r w:rsidRPr="00A363FC">
        <w:rPr>
          <w:rFonts w:eastAsia="HelenPro-Regular"/>
        </w:rPr>
        <w:t>It is recommended that each laboratory determine its own reference range based upon its particular locale and population characteristics.</w:t>
      </w:r>
    </w:p>
    <w:p w:rsidR="00317056" w:rsidRPr="00A363FC" w:rsidRDefault="00317056" w:rsidP="00AB793D">
      <w:pPr>
        <w:rPr>
          <w:b/>
          <w:bCs/>
        </w:rPr>
      </w:pPr>
    </w:p>
    <w:p w:rsidR="0055619E" w:rsidRPr="00A363FC" w:rsidRDefault="00A363FC" w:rsidP="00AB793D">
      <w:pPr>
        <w:rPr>
          <w:bCs/>
        </w:rPr>
      </w:pPr>
      <w:r w:rsidRPr="00A363FC">
        <w:rPr>
          <w:b/>
          <w:bCs/>
        </w:rPr>
        <w:t xml:space="preserve">Serum/Plasma: </w:t>
      </w:r>
      <w:r>
        <w:rPr>
          <w:bCs/>
          <w:u w:val="single"/>
        </w:rPr>
        <w:t>&lt;</w:t>
      </w:r>
      <w:r>
        <w:rPr>
          <w:bCs/>
        </w:rPr>
        <w:t xml:space="preserve"> 35 IU/mL</w:t>
      </w:r>
    </w:p>
    <w:p w:rsidR="00D64E39" w:rsidRPr="00A363FC" w:rsidRDefault="00D64E39" w:rsidP="00AB793D">
      <w:pPr>
        <w:rPr>
          <w:bCs/>
        </w:rPr>
      </w:pPr>
    </w:p>
    <w:p w:rsidR="00B63E8F" w:rsidRPr="00A363FC" w:rsidRDefault="00B63E8F" w:rsidP="00623EFB">
      <w:pPr>
        <w:ind w:right="720"/>
        <w:jc w:val="both"/>
        <w:rPr>
          <w:b/>
        </w:rPr>
      </w:pPr>
      <w:r w:rsidRPr="00A363FC">
        <w:rPr>
          <w:b/>
        </w:rPr>
        <w:t>Critical Values</w:t>
      </w:r>
      <w:r w:rsidR="00A363FC">
        <w:rPr>
          <w:b/>
        </w:rPr>
        <w:t>: N/A</w:t>
      </w:r>
    </w:p>
    <w:p w:rsidR="0038442D" w:rsidRPr="00A363FC" w:rsidRDefault="0038442D" w:rsidP="00AB793D">
      <w:pPr>
        <w:rPr>
          <w:b/>
          <w:sz w:val="28"/>
          <w:szCs w:val="28"/>
        </w:rPr>
      </w:pPr>
    </w:p>
    <w:p w:rsidR="00D5211B" w:rsidRPr="00A363FC" w:rsidRDefault="005E3D52" w:rsidP="00AB793D">
      <w:pPr>
        <w:rPr>
          <w:i/>
          <w:color w:val="FF0000"/>
          <w:sz w:val="28"/>
          <w:szCs w:val="28"/>
        </w:rPr>
      </w:pPr>
      <w:r w:rsidRPr="00A363FC">
        <w:rPr>
          <w:b/>
          <w:sz w:val="28"/>
          <w:szCs w:val="28"/>
        </w:rPr>
        <w:t>Performance Characteristics</w:t>
      </w:r>
      <w:r w:rsidR="00973EAF" w:rsidRPr="00A363FC">
        <w:rPr>
          <w:b/>
          <w:sz w:val="28"/>
          <w:szCs w:val="28"/>
        </w:rPr>
        <w:t xml:space="preserve"> </w:t>
      </w:r>
    </w:p>
    <w:p w:rsidR="00B45FE2" w:rsidRPr="00A363FC" w:rsidRDefault="00B45FE2" w:rsidP="00B45FE2">
      <w:pPr>
        <w:autoSpaceDE w:val="0"/>
        <w:autoSpaceDN w:val="0"/>
        <w:adjustRightInd w:val="0"/>
        <w:rPr>
          <w:rFonts w:eastAsia="HelenPro-Bold"/>
          <w:b/>
          <w:bCs/>
        </w:rPr>
      </w:pPr>
    </w:p>
    <w:p w:rsidR="00C7332C" w:rsidRDefault="00C7332C" w:rsidP="002648A6">
      <w:pPr>
        <w:autoSpaceDE w:val="0"/>
        <w:autoSpaceDN w:val="0"/>
        <w:adjustRightInd w:val="0"/>
        <w:rPr>
          <w:rFonts w:eastAsia="HelenPro-Regular"/>
          <w:b/>
        </w:rPr>
      </w:pPr>
      <w:r>
        <w:rPr>
          <w:rFonts w:eastAsia="HelenPro-Regular"/>
          <w:b/>
        </w:rPr>
        <w:t>Reportable Range:</w:t>
      </w:r>
    </w:p>
    <w:p w:rsidR="00C7332C" w:rsidRPr="00971014" w:rsidRDefault="004E04CB" w:rsidP="004E04CB">
      <w:pPr>
        <w:autoSpaceDE w:val="0"/>
        <w:autoSpaceDN w:val="0"/>
        <w:adjustRightInd w:val="0"/>
        <w:rPr>
          <w:rFonts w:eastAsia="HelenPro-Regular"/>
        </w:rPr>
      </w:pPr>
      <w:r w:rsidRPr="00971014">
        <w:rPr>
          <w:rFonts w:eastAsia="HelenPro-Regular"/>
        </w:rPr>
        <w:t>The measurement range for the ARCHITECT CA 125 II assay is</w:t>
      </w:r>
      <w:r w:rsidR="00971014">
        <w:rPr>
          <w:rFonts w:eastAsia="HelenPro-Regular"/>
        </w:rPr>
        <w:t xml:space="preserve"> </w:t>
      </w:r>
      <w:r w:rsidRPr="00971014">
        <w:rPr>
          <w:rFonts w:eastAsia="HelenPro-Regular"/>
        </w:rPr>
        <w:t>1.0 U/mL to 1000 U/</w:t>
      </w:r>
      <w:proofErr w:type="spellStart"/>
      <w:r w:rsidRPr="00971014">
        <w:rPr>
          <w:rFonts w:eastAsia="HelenPro-Regular"/>
        </w:rPr>
        <w:t>mL.</w:t>
      </w:r>
      <w:proofErr w:type="spellEnd"/>
    </w:p>
    <w:p w:rsidR="00C7332C" w:rsidRPr="00A7716D" w:rsidRDefault="00C7332C" w:rsidP="002648A6">
      <w:pPr>
        <w:autoSpaceDE w:val="0"/>
        <w:autoSpaceDN w:val="0"/>
        <w:adjustRightInd w:val="0"/>
        <w:rPr>
          <w:rFonts w:eastAsia="HelenPro-Regular"/>
          <w:b/>
        </w:rPr>
      </w:pPr>
    </w:p>
    <w:p w:rsidR="00C7332C" w:rsidRPr="00A7716D" w:rsidRDefault="00C7332C" w:rsidP="00C7332C">
      <w:pPr>
        <w:autoSpaceDE w:val="0"/>
        <w:autoSpaceDN w:val="0"/>
        <w:adjustRightInd w:val="0"/>
        <w:rPr>
          <w:rFonts w:eastAsia="HelenPro-Bold"/>
          <w:b/>
          <w:bCs/>
        </w:rPr>
      </w:pPr>
      <w:r w:rsidRPr="00A7716D">
        <w:rPr>
          <w:rFonts w:eastAsia="HelenPro-Bold"/>
          <w:b/>
          <w:bCs/>
        </w:rPr>
        <w:t>Analytical Sensitivity</w:t>
      </w:r>
    </w:p>
    <w:p w:rsidR="00317056" w:rsidRPr="00971014" w:rsidRDefault="00971014" w:rsidP="00C7332C">
      <w:pPr>
        <w:autoSpaceDE w:val="0"/>
        <w:autoSpaceDN w:val="0"/>
        <w:adjustRightInd w:val="0"/>
        <w:rPr>
          <w:rFonts w:eastAsia="HelenPro-Regular"/>
        </w:rPr>
      </w:pPr>
      <w:r w:rsidRPr="00971014">
        <w:rPr>
          <w:rFonts w:eastAsia="HelenPro-Regular"/>
        </w:rPr>
        <w:t>The sensitivity of the ARCHITECT CA 125 II assay is ≤ 1.0 U/</w:t>
      </w:r>
      <w:proofErr w:type="spellStart"/>
      <w:r w:rsidRPr="00971014">
        <w:rPr>
          <w:rFonts w:eastAsia="HelenPro-Regular"/>
        </w:rPr>
        <w:t>mL</w:t>
      </w:r>
      <w:r w:rsidR="00C7332C" w:rsidRPr="00971014">
        <w:rPr>
          <w:rFonts w:eastAsia="HelenPro-Regular"/>
        </w:rPr>
        <w:t>.</w:t>
      </w:r>
      <w:proofErr w:type="spellEnd"/>
    </w:p>
    <w:p w:rsidR="00D70A7B" w:rsidRPr="00A7716D" w:rsidRDefault="00D70A7B" w:rsidP="002C2F49">
      <w:pPr>
        <w:rPr>
          <w:rFonts w:eastAsia="HelenPro-Bold"/>
          <w:b/>
          <w:bCs/>
        </w:rPr>
      </w:pPr>
    </w:p>
    <w:p w:rsidR="00912FE4" w:rsidRPr="00A7716D" w:rsidRDefault="00912FE4" w:rsidP="002C2F49">
      <w:pPr>
        <w:rPr>
          <w:rFonts w:eastAsia="HelenPro-Bold"/>
          <w:b/>
          <w:bCs/>
        </w:rPr>
      </w:pPr>
      <w:r w:rsidRPr="00A7716D">
        <w:rPr>
          <w:rFonts w:eastAsia="HelenPro-Bold"/>
          <w:b/>
          <w:bCs/>
        </w:rPr>
        <w:lastRenderedPageBreak/>
        <w:t>Dilution:</w:t>
      </w:r>
      <w:r w:rsidR="00973EAF" w:rsidRPr="00A7716D">
        <w:rPr>
          <w:rFonts w:eastAsia="HelenPro-Bold"/>
          <w:b/>
          <w:bCs/>
        </w:rPr>
        <w:t xml:space="preserve"> </w:t>
      </w:r>
    </w:p>
    <w:p w:rsidR="00971014" w:rsidRPr="00971014" w:rsidRDefault="00971014" w:rsidP="00971014">
      <w:pPr>
        <w:autoSpaceDE w:val="0"/>
        <w:autoSpaceDN w:val="0"/>
        <w:adjustRightInd w:val="0"/>
        <w:rPr>
          <w:rFonts w:eastAsia="HelenPro-Regular"/>
        </w:rPr>
      </w:pPr>
      <w:r w:rsidRPr="00971014">
        <w:rPr>
          <w:rFonts w:eastAsia="HelenPro-Bold"/>
          <w:b/>
          <w:bCs/>
        </w:rPr>
        <w:t xml:space="preserve">• </w:t>
      </w:r>
      <w:r w:rsidRPr="00971014">
        <w:rPr>
          <w:rFonts w:eastAsia="HelenPro-Regular"/>
        </w:rPr>
        <w:t>Specimens with a CA 125 II assay value exceeding 1000 U/mL are</w:t>
      </w:r>
      <w:r>
        <w:rPr>
          <w:rFonts w:eastAsia="HelenPro-Regular"/>
        </w:rPr>
        <w:t xml:space="preserve"> </w:t>
      </w:r>
      <w:r w:rsidRPr="00971014">
        <w:rPr>
          <w:rFonts w:eastAsia="HelenPro-Regular"/>
        </w:rPr>
        <w:t>flagged with the code “ &gt;1000.0” and may be diluted using either the</w:t>
      </w:r>
      <w:r>
        <w:rPr>
          <w:rFonts w:eastAsia="HelenPro-Regular"/>
        </w:rPr>
        <w:t xml:space="preserve"> </w:t>
      </w:r>
      <w:r w:rsidRPr="00971014">
        <w:rPr>
          <w:rFonts w:eastAsia="HelenPro-Regular"/>
        </w:rPr>
        <w:t>Automated Dilution Protocol or the Manual Dilution Procedure.</w:t>
      </w:r>
    </w:p>
    <w:p w:rsidR="00971014" w:rsidRPr="00971014" w:rsidRDefault="00971014" w:rsidP="00971014">
      <w:pPr>
        <w:autoSpaceDE w:val="0"/>
        <w:autoSpaceDN w:val="0"/>
        <w:adjustRightInd w:val="0"/>
        <w:rPr>
          <w:rFonts w:eastAsia="HelenPro-Regular"/>
        </w:rPr>
      </w:pPr>
      <w:r w:rsidRPr="00971014">
        <w:rPr>
          <w:rFonts w:eastAsia="HelenPro-Bold"/>
          <w:b/>
          <w:bCs/>
        </w:rPr>
        <w:t xml:space="preserve">• </w:t>
      </w:r>
      <w:r w:rsidRPr="00971014">
        <w:rPr>
          <w:rFonts w:eastAsia="HelenPro-Regular"/>
        </w:rPr>
        <w:t>If using the Automated Dilution Protocol, the system performs a</w:t>
      </w:r>
      <w:r>
        <w:rPr>
          <w:rFonts w:eastAsia="HelenPro-Regular"/>
        </w:rPr>
        <w:t xml:space="preserve"> </w:t>
      </w:r>
      <w:r w:rsidRPr="00971014">
        <w:rPr>
          <w:rFonts w:eastAsia="HelenPro-Regular"/>
        </w:rPr>
        <w:t>1:10 dilution of the specimen and automatically calculates the</w:t>
      </w:r>
      <w:r>
        <w:rPr>
          <w:rFonts w:eastAsia="HelenPro-Regular"/>
        </w:rPr>
        <w:t xml:space="preserve"> </w:t>
      </w:r>
      <w:r w:rsidRPr="00971014">
        <w:rPr>
          <w:rFonts w:eastAsia="HelenPro-Regular"/>
        </w:rPr>
        <w:t>concentration of the sample before dilution and reports the result.</w:t>
      </w:r>
    </w:p>
    <w:p w:rsidR="00971014" w:rsidRPr="00971014" w:rsidRDefault="00971014" w:rsidP="00971014">
      <w:pPr>
        <w:autoSpaceDE w:val="0"/>
        <w:autoSpaceDN w:val="0"/>
        <w:adjustRightInd w:val="0"/>
        <w:rPr>
          <w:rFonts w:eastAsia="HelenPro-Regular"/>
        </w:rPr>
      </w:pPr>
      <w:r w:rsidRPr="00971014">
        <w:rPr>
          <w:rFonts w:eastAsia="HelenPro-Bold"/>
          <w:b/>
          <w:bCs/>
        </w:rPr>
        <w:t xml:space="preserve">• </w:t>
      </w:r>
      <w:r w:rsidRPr="00971014">
        <w:rPr>
          <w:rFonts w:eastAsia="HelenPro-Regular"/>
        </w:rPr>
        <w:t>Manual dilutions should be performed as follows:</w:t>
      </w:r>
    </w:p>
    <w:p w:rsidR="00971014" w:rsidRPr="00971014" w:rsidRDefault="00971014" w:rsidP="00971014">
      <w:pPr>
        <w:autoSpaceDE w:val="0"/>
        <w:autoSpaceDN w:val="0"/>
        <w:adjustRightInd w:val="0"/>
        <w:rPr>
          <w:rFonts w:eastAsia="HelenPro-Regular"/>
        </w:rPr>
      </w:pPr>
      <w:r w:rsidRPr="00971014">
        <w:rPr>
          <w:rFonts w:eastAsia="HelenPro-Bold"/>
          <w:b/>
          <w:bCs/>
        </w:rPr>
        <w:t xml:space="preserve">• </w:t>
      </w:r>
      <w:r w:rsidRPr="00971014">
        <w:rPr>
          <w:rFonts w:eastAsia="HelenPro-Regular"/>
        </w:rPr>
        <w:t>The suggested dilution for the ARCHITECT CA 125 II assay is</w:t>
      </w:r>
      <w:r>
        <w:rPr>
          <w:rFonts w:eastAsia="HelenPro-Regular"/>
        </w:rPr>
        <w:t xml:space="preserve"> </w:t>
      </w:r>
      <w:r w:rsidRPr="00971014">
        <w:rPr>
          <w:rFonts w:eastAsia="HelenPro-Regular"/>
        </w:rPr>
        <w:t>1:10. An additional 1:10 dilution may be made if needed.</w:t>
      </w:r>
    </w:p>
    <w:p w:rsidR="00971014" w:rsidRPr="00971014" w:rsidRDefault="00971014" w:rsidP="00971014">
      <w:pPr>
        <w:autoSpaceDE w:val="0"/>
        <w:autoSpaceDN w:val="0"/>
        <w:adjustRightInd w:val="0"/>
        <w:rPr>
          <w:rFonts w:eastAsia="HelenPro-Regular"/>
        </w:rPr>
      </w:pPr>
      <w:r w:rsidRPr="00971014">
        <w:rPr>
          <w:rFonts w:eastAsia="HelenPro-Bold"/>
          <w:b/>
          <w:bCs/>
        </w:rPr>
        <w:t xml:space="preserve">• </w:t>
      </w:r>
      <w:r w:rsidRPr="00971014">
        <w:rPr>
          <w:rFonts w:eastAsia="HelenPro-Regular"/>
        </w:rPr>
        <w:t xml:space="preserve">For a 1:10 dilution, add 50 </w:t>
      </w:r>
      <w:proofErr w:type="spellStart"/>
      <w:r w:rsidRPr="00971014">
        <w:rPr>
          <w:rFonts w:eastAsia="HelenPro-Regular"/>
        </w:rPr>
        <w:t>μL</w:t>
      </w:r>
      <w:proofErr w:type="spellEnd"/>
      <w:r w:rsidRPr="00971014">
        <w:rPr>
          <w:rFonts w:eastAsia="HelenPro-Regular"/>
        </w:rPr>
        <w:t xml:space="preserve"> of the patient specimen to 450 </w:t>
      </w:r>
      <w:proofErr w:type="spellStart"/>
      <w:r w:rsidRPr="00971014">
        <w:rPr>
          <w:rFonts w:eastAsia="HelenPro-Regular"/>
        </w:rPr>
        <w:t>μL</w:t>
      </w:r>
      <w:proofErr w:type="spellEnd"/>
      <w:r>
        <w:rPr>
          <w:rFonts w:eastAsia="HelenPro-Regular"/>
        </w:rPr>
        <w:t xml:space="preserve"> </w:t>
      </w:r>
      <w:r w:rsidRPr="00971014">
        <w:rPr>
          <w:rFonts w:eastAsia="HelenPro-Regular"/>
        </w:rPr>
        <w:t xml:space="preserve">of ARCHITECT </w:t>
      </w:r>
      <w:proofErr w:type="spellStart"/>
      <w:r w:rsidRPr="00971014">
        <w:rPr>
          <w:rFonts w:eastAsia="HelenPro-Bold"/>
          <w:i/>
          <w:iCs/>
        </w:rPr>
        <w:t>i</w:t>
      </w:r>
      <w:proofErr w:type="spellEnd"/>
      <w:r w:rsidRPr="00971014">
        <w:rPr>
          <w:rFonts w:eastAsia="HelenPro-Bold"/>
          <w:i/>
          <w:iCs/>
        </w:rPr>
        <w:t xml:space="preserve"> </w:t>
      </w:r>
      <w:r w:rsidRPr="00971014">
        <w:rPr>
          <w:rFonts w:eastAsia="HelenPro-Regular"/>
        </w:rPr>
        <w:t>Multi-Assay Manual Diluent (7D82-50).</w:t>
      </w:r>
    </w:p>
    <w:p w:rsidR="00971014" w:rsidRPr="00971014" w:rsidRDefault="00971014" w:rsidP="00971014">
      <w:pPr>
        <w:autoSpaceDE w:val="0"/>
        <w:autoSpaceDN w:val="0"/>
        <w:adjustRightInd w:val="0"/>
        <w:rPr>
          <w:rFonts w:eastAsia="HelenPro-Regular"/>
        </w:rPr>
      </w:pPr>
      <w:r w:rsidRPr="00971014">
        <w:rPr>
          <w:rFonts w:eastAsia="HelenPro-Bold"/>
          <w:b/>
          <w:bCs/>
        </w:rPr>
        <w:t xml:space="preserve">• </w:t>
      </w:r>
      <w:r w:rsidRPr="00971014">
        <w:rPr>
          <w:rFonts w:eastAsia="HelenPro-Regular"/>
        </w:rPr>
        <w:t>The operator must enter the dilution factor in the Patient or</w:t>
      </w:r>
      <w:r>
        <w:rPr>
          <w:rFonts w:eastAsia="HelenPro-Regular"/>
        </w:rPr>
        <w:t xml:space="preserve"> </w:t>
      </w:r>
      <w:r w:rsidRPr="00971014">
        <w:rPr>
          <w:rFonts w:eastAsia="HelenPro-Regular"/>
        </w:rPr>
        <w:t>Control order screen. All assays selected for that order will be</w:t>
      </w:r>
      <w:r>
        <w:rPr>
          <w:rFonts w:eastAsia="HelenPro-Regular"/>
        </w:rPr>
        <w:t xml:space="preserve"> </w:t>
      </w:r>
      <w:r w:rsidRPr="00971014">
        <w:rPr>
          <w:rFonts w:eastAsia="HelenPro-Regular"/>
        </w:rPr>
        <w:t>diluted. The system will use this dilution factor to automatically</w:t>
      </w:r>
      <w:r>
        <w:rPr>
          <w:rFonts w:eastAsia="HelenPro-Regular"/>
        </w:rPr>
        <w:t xml:space="preserve"> </w:t>
      </w:r>
      <w:r w:rsidRPr="00971014">
        <w:rPr>
          <w:rFonts w:eastAsia="HelenPro-Regular"/>
        </w:rPr>
        <w:t>calculate the concentration of the sample before dilution and</w:t>
      </w:r>
      <w:r>
        <w:rPr>
          <w:rFonts w:eastAsia="HelenPro-Regular"/>
        </w:rPr>
        <w:t xml:space="preserve"> </w:t>
      </w:r>
      <w:r w:rsidRPr="00971014">
        <w:rPr>
          <w:rFonts w:eastAsia="HelenPro-Regular"/>
        </w:rPr>
        <w:t>report the result. The dilution should be performed so that the</w:t>
      </w:r>
      <w:r>
        <w:rPr>
          <w:rFonts w:eastAsia="HelenPro-Regular"/>
        </w:rPr>
        <w:t xml:space="preserve"> </w:t>
      </w:r>
      <w:r w:rsidRPr="00971014">
        <w:rPr>
          <w:rFonts w:eastAsia="HelenPro-Regular"/>
        </w:rPr>
        <w:t>diluted result reads greater than 20 U/</w:t>
      </w:r>
      <w:proofErr w:type="spellStart"/>
      <w:r w:rsidRPr="00971014">
        <w:rPr>
          <w:rFonts w:eastAsia="HelenPro-Regular"/>
        </w:rPr>
        <w:t>mL.</w:t>
      </w:r>
      <w:proofErr w:type="spellEnd"/>
    </w:p>
    <w:p w:rsidR="00A7716D" w:rsidRPr="00A7716D" w:rsidRDefault="00971014" w:rsidP="00971014">
      <w:pPr>
        <w:autoSpaceDE w:val="0"/>
        <w:autoSpaceDN w:val="0"/>
        <w:adjustRightInd w:val="0"/>
        <w:rPr>
          <w:rFonts w:eastAsia="HelenPro-Regular"/>
        </w:rPr>
      </w:pPr>
      <w:r w:rsidRPr="00971014">
        <w:rPr>
          <w:rFonts w:eastAsia="HelenPro-Bold"/>
          <w:b/>
          <w:bCs/>
        </w:rPr>
        <w:t xml:space="preserve">• </w:t>
      </w:r>
      <w:r w:rsidRPr="00971014">
        <w:rPr>
          <w:rFonts w:eastAsia="HelenPro-Regular"/>
        </w:rPr>
        <w:t>For detailed information on ordering dilutions, refer to the ARCHITECT</w:t>
      </w:r>
      <w:r>
        <w:rPr>
          <w:rFonts w:eastAsia="HelenPro-Regular"/>
        </w:rPr>
        <w:t xml:space="preserve"> </w:t>
      </w:r>
      <w:r w:rsidRPr="00971014">
        <w:rPr>
          <w:rFonts w:eastAsia="HelenPro-Regular"/>
        </w:rPr>
        <w:t>System Operations Manual, Section 5.</w:t>
      </w:r>
    </w:p>
    <w:p w:rsidR="00DA0D83" w:rsidRPr="00A7716D" w:rsidRDefault="00DA0D83" w:rsidP="00F95946">
      <w:pPr>
        <w:rPr>
          <w:b/>
          <w:color w:val="000000"/>
        </w:rPr>
      </w:pPr>
    </w:p>
    <w:p w:rsidR="00912FE4" w:rsidRPr="00A7716D" w:rsidRDefault="00912FE4" w:rsidP="00F95946">
      <w:pPr>
        <w:rPr>
          <w:rFonts w:eastAsia="HelenPro-Regular"/>
        </w:rPr>
      </w:pPr>
      <w:r w:rsidRPr="00A7716D">
        <w:rPr>
          <w:b/>
          <w:color w:val="000000"/>
        </w:rPr>
        <w:t>Precision:</w:t>
      </w:r>
      <w:r w:rsidR="0038442D" w:rsidRPr="00A7716D">
        <w:rPr>
          <w:b/>
          <w:color w:val="000000"/>
        </w:rPr>
        <w:t xml:space="preserve"> </w:t>
      </w:r>
    </w:p>
    <w:p w:rsidR="00C7332C" w:rsidRPr="00971014" w:rsidRDefault="00971014" w:rsidP="00C7332C">
      <w:pPr>
        <w:autoSpaceDE w:val="0"/>
        <w:autoSpaceDN w:val="0"/>
        <w:adjustRightInd w:val="0"/>
        <w:rPr>
          <w:noProof/>
        </w:rPr>
      </w:pPr>
      <w:r w:rsidRPr="00971014">
        <w:rPr>
          <w:rFonts w:eastAsia="HelenPro-Regular"/>
        </w:rPr>
        <w:t>The ARCHITECT CA 125 II assay precision is ≤ 10% total CV.</w:t>
      </w:r>
      <w:r w:rsidRPr="00971014">
        <w:rPr>
          <w:noProof/>
        </w:rPr>
        <w:t xml:space="preserve"> </w:t>
      </w:r>
    </w:p>
    <w:p w:rsidR="00971014" w:rsidRPr="00A7716D" w:rsidRDefault="00971014" w:rsidP="00C7332C">
      <w:pPr>
        <w:autoSpaceDE w:val="0"/>
        <w:autoSpaceDN w:val="0"/>
        <w:adjustRightInd w:val="0"/>
        <w:rPr>
          <w:rFonts w:eastAsia="HelenPro-Regular"/>
        </w:rPr>
      </w:pPr>
      <w:r>
        <w:rPr>
          <w:noProof/>
        </w:rPr>
        <w:drawing>
          <wp:inline distT="0" distB="0" distL="0" distR="0" wp14:anchorId="7B883930" wp14:editId="057AD982">
            <wp:extent cx="4152900" cy="15906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152900" cy="1590675"/>
                    </a:xfrm>
                    <a:prstGeom prst="rect">
                      <a:avLst/>
                    </a:prstGeom>
                  </pic:spPr>
                </pic:pic>
              </a:graphicData>
            </a:graphic>
          </wp:inline>
        </w:drawing>
      </w:r>
    </w:p>
    <w:p w:rsidR="00C53E37" w:rsidRPr="00A7716D" w:rsidRDefault="00C53E37" w:rsidP="00C53E37">
      <w:pPr>
        <w:pStyle w:val="Heading4"/>
        <w:rPr>
          <w:sz w:val="24"/>
          <w:szCs w:val="24"/>
        </w:rPr>
      </w:pPr>
      <w:r w:rsidRPr="00A7716D">
        <w:rPr>
          <w:sz w:val="24"/>
          <w:szCs w:val="24"/>
        </w:rPr>
        <w:t>Limitations of Procedure</w:t>
      </w:r>
      <w:r w:rsidR="00973EAF" w:rsidRPr="00A7716D">
        <w:rPr>
          <w:sz w:val="24"/>
          <w:szCs w:val="24"/>
        </w:rPr>
        <w:t xml:space="preserve"> </w:t>
      </w:r>
    </w:p>
    <w:p w:rsidR="00C7332C" w:rsidRPr="00971014" w:rsidRDefault="00971014" w:rsidP="00971014">
      <w:pPr>
        <w:autoSpaceDE w:val="0"/>
        <w:autoSpaceDN w:val="0"/>
        <w:adjustRightInd w:val="0"/>
        <w:rPr>
          <w:rFonts w:eastAsia="HelenPro-Regular"/>
        </w:rPr>
      </w:pPr>
      <w:r w:rsidRPr="00971014">
        <w:rPr>
          <w:rFonts w:eastAsia="HelenPro-Bold"/>
          <w:b/>
          <w:bCs/>
        </w:rPr>
        <w:t xml:space="preserve">• </w:t>
      </w:r>
      <w:r w:rsidRPr="00971014">
        <w:rPr>
          <w:rFonts w:eastAsia="HelenPro-Regular"/>
        </w:rPr>
        <w:t>Patients with confirmed ovarian carcinoma may have pretreatment CA</w:t>
      </w:r>
      <w:r>
        <w:rPr>
          <w:rFonts w:eastAsia="HelenPro-Regular"/>
        </w:rPr>
        <w:t xml:space="preserve"> </w:t>
      </w:r>
      <w:r w:rsidRPr="00971014">
        <w:rPr>
          <w:rFonts w:eastAsia="HelenPro-Regular"/>
        </w:rPr>
        <w:t>125 assay values in the same range as healthy individuals. Elevations</w:t>
      </w:r>
      <w:r>
        <w:rPr>
          <w:rFonts w:eastAsia="HelenPro-Regular"/>
        </w:rPr>
        <w:t xml:space="preserve"> </w:t>
      </w:r>
      <w:r w:rsidRPr="00971014">
        <w:rPr>
          <w:rFonts w:eastAsia="HelenPro-Regular"/>
        </w:rPr>
        <w:t>in circulating OC 125 defined antigen may be observed in patients</w:t>
      </w:r>
      <w:r>
        <w:rPr>
          <w:rFonts w:eastAsia="HelenPro-Regular"/>
        </w:rPr>
        <w:t xml:space="preserve"> </w:t>
      </w:r>
      <w:r w:rsidRPr="00971014">
        <w:rPr>
          <w:rFonts w:eastAsia="HelenPro-Regular"/>
        </w:rPr>
        <w:t>with nonmalignant disease. For these reasons, a CA 125 assay value,</w:t>
      </w:r>
      <w:r>
        <w:rPr>
          <w:rFonts w:eastAsia="HelenPro-Regular"/>
        </w:rPr>
        <w:t xml:space="preserve"> </w:t>
      </w:r>
      <w:r w:rsidRPr="00971014">
        <w:rPr>
          <w:rFonts w:eastAsia="HelenPro-Regular"/>
        </w:rPr>
        <w:t>regardless of level, should not be interpreted as absolute evidence</w:t>
      </w:r>
      <w:r>
        <w:rPr>
          <w:rFonts w:eastAsia="HelenPro-Regular"/>
        </w:rPr>
        <w:t xml:space="preserve"> </w:t>
      </w:r>
      <w:r w:rsidRPr="00971014">
        <w:rPr>
          <w:rFonts w:eastAsia="HelenPro-Regular"/>
        </w:rPr>
        <w:t>for the presence or absence of malignant disease. The CA 125 assay</w:t>
      </w:r>
      <w:r>
        <w:rPr>
          <w:rFonts w:eastAsia="HelenPro-Regular"/>
        </w:rPr>
        <w:t xml:space="preserve"> </w:t>
      </w:r>
      <w:r w:rsidRPr="00971014">
        <w:rPr>
          <w:rFonts w:eastAsia="HelenPro-Regular"/>
        </w:rPr>
        <w:t>value should be used in conjunction with information available from</w:t>
      </w:r>
      <w:r>
        <w:rPr>
          <w:rFonts w:eastAsia="HelenPro-Regular"/>
        </w:rPr>
        <w:t xml:space="preserve"> </w:t>
      </w:r>
      <w:r w:rsidRPr="00971014">
        <w:rPr>
          <w:rFonts w:eastAsia="HelenPro-Regular"/>
        </w:rPr>
        <w:t xml:space="preserve">clinical evaluation and other diagnostic procedures. </w:t>
      </w:r>
      <w:r w:rsidRPr="00971014">
        <w:rPr>
          <w:rFonts w:eastAsia="HelenPro-Bold"/>
          <w:b/>
          <w:bCs/>
        </w:rPr>
        <w:t>The ARCHITECT</w:t>
      </w:r>
      <w:r>
        <w:rPr>
          <w:rFonts w:eastAsia="HelenPro-Regular"/>
        </w:rPr>
        <w:t xml:space="preserve"> </w:t>
      </w:r>
      <w:r w:rsidRPr="00971014">
        <w:rPr>
          <w:rFonts w:eastAsia="HelenPro-Bold"/>
          <w:b/>
          <w:bCs/>
        </w:rPr>
        <w:t>CA 125 II assay should not be used as a cancer screening test.</w:t>
      </w:r>
      <w:r w:rsidR="00C7332C" w:rsidRPr="00971014">
        <w:rPr>
          <w:rFonts w:eastAsia="HelenPro-Regular"/>
        </w:rPr>
        <w:t xml:space="preserve"> </w:t>
      </w:r>
    </w:p>
    <w:p w:rsidR="005B1BF7" w:rsidRPr="00A7716D" w:rsidRDefault="00A7716D" w:rsidP="00C7332C">
      <w:pPr>
        <w:autoSpaceDE w:val="0"/>
        <w:autoSpaceDN w:val="0"/>
        <w:adjustRightInd w:val="0"/>
        <w:rPr>
          <w:rFonts w:eastAsia="HelenPro-Regular"/>
        </w:rPr>
      </w:pPr>
      <w:r w:rsidRPr="00A7716D">
        <w:rPr>
          <w:rFonts w:eastAsia="HelenPro-Bold"/>
          <w:b/>
          <w:bCs/>
        </w:rPr>
        <w:t xml:space="preserve">• </w:t>
      </w:r>
      <w:proofErr w:type="spellStart"/>
      <w:r w:rsidR="005B1BF7" w:rsidRPr="00A7716D">
        <w:rPr>
          <w:rFonts w:eastAsia="HelenPro-Regular"/>
        </w:rPr>
        <w:t>Heterophilic</w:t>
      </w:r>
      <w:proofErr w:type="spellEnd"/>
      <w:r w:rsidR="005B1BF7" w:rsidRPr="00A7716D">
        <w:rPr>
          <w:rFonts w:eastAsia="HelenPro-Regular"/>
        </w:rPr>
        <w:t xml:space="preserve"> antibodies in human serum can react with reagent </w:t>
      </w:r>
      <w:proofErr w:type="spellStart"/>
      <w:r w:rsidR="005B1BF7" w:rsidRPr="00A7716D">
        <w:rPr>
          <w:rFonts w:eastAsia="HelenPro-Regular"/>
        </w:rPr>
        <w:t>immunoglobulins</w:t>
      </w:r>
      <w:proofErr w:type="spellEnd"/>
      <w:r w:rsidR="005B1BF7" w:rsidRPr="00A7716D">
        <w:rPr>
          <w:rFonts w:eastAsia="HelenPro-Regular"/>
        </w:rPr>
        <w:t xml:space="preserve">, interfering with </w:t>
      </w:r>
      <w:r w:rsidR="005B1BF7" w:rsidRPr="00A7716D">
        <w:rPr>
          <w:rFonts w:eastAsia="HelenPro-Bold"/>
          <w:i/>
          <w:iCs/>
        </w:rPr>
        <w:t xml:space="preserve">in vitro </w:t>
      </w:r>
      <w:r w:rsidR="005B1BF7" w:rsidRPr="00A7716D">
        <w:rPr>
          <w:rFonts w:eastAsia="HelenPro-Regular"/>
        </w:rPr>
        <w:t>immunoassays. Patients routinely exposed to animals or to animal serum products can be prone to this interference and anomalous results may be observed. Additional information may be required for diagnosis.</w:t>
      </w:r>
    </w:p>
    <w:p w:rsidR="00C7332C" w:rsidRPr="00A7716D" w:rsidRDefault="00C7332C" w:rsidP="00C7332C">
      <w:pPr>
        <w:autoSpaceDE w:val="0"/>
        <w:autoSpaceDN w:val="0"/>
        <w:adjustRightInd w:val="0"/>
        <w:rPr>
          <w:rFonts w:eastAsia="HelenPro-Regular"/>
        </w:rPr>
      </w:pPr>
      <w:r w:rsidRPr="00A7716D">
        <w:rPr>
          <w:rFonts w:eastAsia="HelenPro-Bold"/>
          <w:b/>
          <w:bCs/>
        </w:rPr>
        <w:t xml:space="preserve">• </w:t>
      </w:r>
      <w:r w:rsidRPr="00A7716D">
        <w:rPr>
          <w:rFonts w:eastAsia="HelenPro-Regular"/>
        </w:rPr>
        <w:t>Specimens from patients who have received preparations</w:t>
      </w:r>
      <w:r w:rsidR="00A7716D">
        <w:rPr>
          <w:rFonts w:eastAsia="HelenPro-Regular"/>
        </w:rPr>
        <w:t xml:space="preserve"> of mouse </w:t>
      </w:r>
      <w:r w:rsidRPr="00A7716D">
        <w:rPr>
          <w:rFonts w:eastAsia="HelenPro-Regular"/>
        </w:rPr>
        <w:t>monoclonal antibodies for diagnosis or therapy may contain human</w:t>
      </w:r>
      <w:r w:rsidR="00A7716D">
        <w:rPr>
          <w:rFonts w:eastAsia="HelenPro-Regular"/>
        </w:rPr>
        <w:t xml:space="preserve"> </w:t>
      </w:r>
      <w:r w:rsidRPr="00A7716D">
        <w:rPr>
          <w:rFonts w:eastAsia="HelenPro-Regular"/>
        </w:rPr>
        <w:t>anti-mouse antibodies (HAMA). Such specimens may show either</w:t>
      </w:r>
      <w:r w:rsidR="00A7716D">
        <w:rPr>
          <w:rFonts w:eastAsia="HelenPro-Regular"/>
        </w:rPr>
        <w:t xml:space="preserve"> </w:t>
      </w:r>
      <w:r w:rsidRPr="00A7716D">
        <w:rPr>
          <w:rFonts w:eastAsia="HelenPro-Regular"/>
        </w:rPr>
        <w:t>falsely elevated or depressed values when tested with assay kits which</w:t>
      </w:r>
      <w:r w:rsidR="00A7716D">
        <w:rPr>
          <w:rFonts w:eastAsia="HelenPro-Regular"/>
        </w:rPr>
        <w:t xml:space="preserve"> </w:t>
      </w:r>
      <w:r w:rsidRPr="00A7716D">
        <w:rPr>
          <w:rFonts w:eastAsia="HelenPro-Regular"/>
        </w:rPr>
        <w:t xml:space="preserve">employ mouse monoclonal </w:t>
      </w:r>
      <w:r w:rsidRPr="00A7716D">
        <w:rPr>
          <w:rFonts w:eastAsia="HelenPro-Regular"/>
        </w:rPr>
        <w:lastRenderedPageBreak/>
        <w:t>antibodies. ARCHITECT BNP reagents</w:t>
      </w:r>
      <w:r w:rsidR="00A7716D">
        <w:rPr>
          <w:rFonts w:eastAsia="HelenPro-Regular"/>
        </w:rPr>
        <w:t xml:space="preserve"> </w:t>
      </w:r>
      <w:r w:rsidRPr="00A7716D">
        <w:rPr>
          <w:rFonts w:eastAsia="HelenPro-Regular"/>
        </w:rPr>
        <w:t>contain a component that reduces the effect of HAMA reactive</w:t>
      </w:r>
      <w:r w:rsidR="00A7716D">
        <w:rPr>
          <w:rFonts w:eastAsia="HelenPro-Regular"/>
        </w:rPr>
        <w:t xml:space="preserve"> </w:t>
      </w:r>
      <w:r w:rsidRPr="00A7716D">
        <w:rPr>
          <w:rFonts w:eastAsia="HelenPro-Regular"/>
        </w:rPr>
        <w:t>specimens. Additional clinical or diagnosis information may be required</w:t>
      </w:r>
      <w:r w:rsidR="00A7716D">
        <w:rPr>
          <w:rFonts w:eastAsia="HelenPro-Regular"/>
        </w:rPr>
        <w:t xml:space="preserve"> </w:t>
      </w:r>
      <w:r w:rsidRPr="00A7716D">
        <w:rPr>
          <w:rFonts w:eastAsia="HelenPro-Regular"/>
        </w:rPr>
        <w:t>to determine patient status.</w:t>
      </w:r>
    </w:p>
    <w:p w:rsidR="00C7332C" w:rsidRPr="00A7716D" w:rsidRDefault="00C7332C" w:rsidP="00F95946">
      <w:pPr>
        <w:autoSpaceDE w:val="0"/>
        <w:autoSpaceDN w:val="0"/>
        <w:adjustRightInd w:val="0"/>
        <w:rPr>
          <w:rFonts w:eastAsia="HelenPro-Bold"/>
          <w:b/>
          <w:bCs/>
        </w:rPr>
      </w:pPr>
    </w:p>
    <w:p w:rsidR="0049724B" w:rsidRDefault="0049724B" w:rsidP="0049724B">
      <w:pPr>
        <w:autoSpaceDE w:val="0"/>
        <w:autoSpaceDN w:val="0"/>
        <w:adjustRightInd w:val="0"/>
        <w:rPr>
          <w:rFonts w:eastAsia="HelenPro-Bold"/>
          <w:b/>
          <w:bCs/>
        </w:rPr>
      </w:pPr>
    </w:p>
    <w:p w:rsidR="0049724B" w:rsidRPr="0049724B" w:rsidRDefault="00C7332C" w:rsidP="0049724B">
      <w:pPr>
        <w:autoSpaceDE w:val="0"/>
        <w:autoSpaceDN w:val="0"/>
        <w:adjustRightInd w:val="0"/>
        <w:rPr>
          <w:rFonts w:eastAsia="HelenPro-Bold"/>
          <w:b/>
          <w:bCs/>
        </w:rPr>
      </w:pPr>
      <w:r>
        <w:rPr>
          <w:rFonts w:eastAsia="HelenPro-Bold"/>
          <w:b/>
          <w:bCs/>
        </w:rPr>
        <w:t xml:space="preserve">Analytical </w:t>
      </w:r>
      <w:r w:rsidR="0049724B" w:rsidRPr="0049724B">
        <w:rPr>
          <w:rFonts w:eastAsia="HelenPro-Bold"/>
          <w:b/>
          <w:bCs/>
        </w:rPr>
        <w:t>Specificity</w:t>
      </w:r>
    </w:p>
    <w:p w:rsidR="00971014" w:rsidRPr="00971014" w:rsidRDefault="00971014" w:rsidP="00971014">
      <w:pPr>
        <w:autoSpaceDE w:val="0"/>
        <w:autoSpaceDN w:val="0"/>
        <w:adjustRightInd w:val="0"/>
        <w:rPr>
          <w:rFonts w:eastAsia="HelenPro-Regular"/>
        </w:rPr>
      </w:pPr>
      <w:r w:rsidRPr="00971014">
        <w:rPr>
          <w:rFonts w:eastAsia="HelenPro-Regular"/>
        </w:rPr>
        <w:t>The ARCHITECT CA 125 II mean assay specificity is ≤</w:t>
      </w:r>
      <w:r>
        <w:rPr>
          <w:rFonts w:eastAsia="HelenPro-Regular"/>
        </w:rPr>
        <w:t xml:space="preserve"> 12%. Recovery </w:t>
      </w:r>
      <w:r w:rsidRPr="00971014">
        <w:rPr>
          <w:rFonts w:eastAsia="HelenPro-Regular"/>
        </w:rPr>
        <w:t>studies were performed to compare sera containing the following</w:t>
      </w:r>
      <w:r>
        <w:rPr>
          <w:rFonts w:eastAsia="HelenPro-Regular"/>
        </w:rPr>
        <w:t xml:space="preserve"> </w:t>
      </w:r>
      <w:r w:rsidRPr="00971014">
        <w:rPr>
          <w:rFonts w:eastAsia="HelenPro-Regular"/>
        </w:rPr>
        <w:t>compounds at the indicated concentrations with control sera.*</w:t>
      </w:r>
    </w:p>
    <w:p w:rsidR="00971014" w:rsidRPr="00971014" w:rsidRDefault="00971014" w:rsidP="00971014">
      <w:pPr>
        <w:autoSpaceDE w:val="0"/>
        <w:autoSpaceDN w:val="0"/>
        <w:adjustRightInd w:val="0"/>
        <w:rPr>
          <w:rFonts w:eastAsia="HelenPro-Regular"/>
        </w:rPr>
      </w:pPr>
      <w:r w:rsidRPr="00971014">
        <w:rPr>
          <w:rFonts w:eastAsia="HelenPro-Regular"/>
        </w:rPr>
        <w:t>INTERFERING SUBSTANCE</w:t>
      </w:r>
    </w:p>
    <w:p w:rsidR="00971014" w:rsidRPr="00971014" w:rsidRDefault="00971014" w:rsidP="00971014">
      <w:pPr>
        <w:autoSpaceDE w:val="0"/>
        <w:autoSpaceDN w:val="0"/>
        <w:adjustRightInd w:val="0"/>
        <w:rPr>
          <w:rFonts w:eastAsia="HelenPro-Regular"/>
        </w:rPr>
      </w:pPr>
      <w:r w:rsidRPr="00971014">
        <w:rPr>
          <w:rFonts w:eastAsia="HelenPro-Regular"/>
          <w:u w:val="single"/>
        </w:rPr>
        <w:t>Test Compound</w:t>
      </w:r>
      <w:r w:rsidRPr="00971014">
        <w:rPr>
          <w:rFonts w:eastAsia="HelenPro-Regular"/>
        </w:rPr>
        <w:t xml:space="preserve"> </w:t>
      </w:r>
      <w:r>
        <w:rPr>
          <w:rFonts w:eastAsia="HelenPro-Regular"/>
        </w:rPr>
        <w:tab/>
      </w:r>
      <w:r>
        <w:rPr>
          <w:rFonts w:eastAsia="HelenPro-Regular"/>
        </w:rPr>
        <w:tab/>
      </w:r>
      <w:r>
        <w:rPr>
          <w:rFonts w:eastAsia="HelenPro-Regular"/>
        </w:rPr>
        <w:tab/>
      </w:r>
      <w:r>
        <w:rPr>
          <w:rFonts w:eastAsia="HelenPro-Regular"/>
        </w:rPr>
        <w:tab/>
      </w:r>
      <w:r w:rsidRPr="00971014">
        <w:rPr>
          <w:rFonts w:eastAsia="HelenPro-Regular"/>
          <w:u w:val="single"/>
        </w:rPr>
        <w:t>Test Concentration</w:t>
      </w:r>
    </w:p>
    <w:p w:rsidR="00971014" w:rsidRPr="00971014" w:rsidRDefault="00971014" w:rsidP="00971014">
      <w:pPr>
        <w:autoSpaceDE w:val="0"/>
        <w:autoSpaceDN w:val="0"/>
        <w:adjustRightInd w:val="0"/>
        <w:rPr>
          <w:rFonts w:eastAsia="HelenPro-Regular"/>
        </w:rPr>
      </w:pPr>
      <w:r w:rsidRPr="00971014">
        <w:rPr>
          <w:rFonts w:eastAsia="HelenPro-Regular"/>
        </w:rPr>
        <w:t xml:space="preserve">Bilirubin </w:t>
      </w:r>
      <w:r>
        <w:rPr>
          <w:rFonts w:eastAsia="HelenPro-Regular"/>
        </w:rPr>
        <w:tab/>
      </w:r>
      <w:r>
        <w:rPr>
          <w:rFonts w:eastAsia="HelenPro-Regular"/>
        </w:rPr>
        <w:tab/>
      </w:r>
      <w:r>
        <w:rPr>
          <w:rFonts w:eastAsia="HelenPro-Regular"/>
        </w:rPr>
        <w:tab/>
      </w:r>
      <w:r>
        <w:rPr>
          <w:rFonts w:eastAsia="HelenPro-Regular"/>
        </w:rPr>
        <w:tab/>
      </w:r>
      <w:r>
        <w:rPr>
          <w:rFonts w:eastAsia="HelenPro-Regular"/>
        </w:rPr>
        <w:tab/>
      </w:r>
      <w:r w:rsidRPr="00971014">
        <w:rPr>
          <w:rFonts w:eastAsia="HelenPro-Regular"/>
        </w:rPr>
        <w:t>20 mg/</w:t>
      </w:r>
      <w:proofErr w:type="spellStart"/>
      <w:r w:rsidRPr="00971014">
        <w:rPr>
          <w:rFonts w:eastAsia="HelenPro-Regular"/>
        </w:rPr>
        <w:t>dL</w:t>
      </w:r>
      <w:proofErr w:type="spellEnd"/>
    </w:p>
    <w:p w:rsidR="00971014" w:rsidRPr="00971014" w:rsidRDefault="00971014" w:rsidP="00971014">
      <w:pPr>
        <w:autoSpaceDE w:val="0"/>
        <w:autoSpaceDN w:val="0"/>
        <w:adjustRightInd w:val="0"/>
        <w:rPr>
          <w:rFonts w:eastAsia="HelenPro-Regular"/>
        </w:rPr>
      </w:pPr>
      <w:r w:rsidRPr="00971014">
        <w:rPr>
          <w:rFonts w:eastAsia="HelenPro-Regular"/>
        </w:rPr>
        <w:t xml:space="preserve">Hemoglobin </w:t>
      </w:r>
      <w:r>
        <w:rPr>
          <w:rFonts w:eastAsia="HelenPro-Regular"/>
        </w:rPr>
        <w:tab/>
      </w:r>
      <w:r>
        <w:rPr>
          <w:rFonts w:eastAsia="HelenPro-Regular"/>
        </w:rPr>
        <w:tab/>
      </w:r>
      <w:r>
        <w:rPr>
          <w:rFonts w:eastAsia="HelenPro-Regular"/>
        </w:rPr>
        <w:tab/>
      </w:r>
      <w:r>
        <w:rPr>
          <w:rFonts w:eastAsia="HelenPro-Regular"/>
        </w:rPr>
        <w:tab/>
      </w:r>
      <w:r>
        <w:rPr>
          <w:rFonts w:eastAsia="HelenPro-Regular"/>
        </w:rPr>
        <w:tab/>
      </w:r>
      <w:r w:rsidRPr="00971014">
        <w:rPr>
          <w:rFonts w:eastAsia="HelenPro-Regular"/>
        </w:rPr>
        <w:t>500 mg/</w:t>
      </w:r>
      <w:proofErr w:type="spellStart"/>
      <w:r w:rsidRPr="00971014">
        <w:rPr>
          <w:rFonts w:eastAsia="HelenPro-Regular"/>
        </w:rPr>
        <w:t>dL</w:t>
      </w:r>
      <w:proofErr w:type="spellEnd"/>
    </w:p>
    <w:p w:rsidR="00971014" w:rsidRPr="00971014" w:rsidRDefault="00971014" w:rsidP="00971014">
      <w:pPr>
        <w:autoSpaceDE w:val="0"/>
        <w:autoSpaceDN w:val="0"/>
        <w:adjustRightInd w:val="0"/>
        <w:rPr>
          <w:rFonts w:eastAsia="HelenPro-Regular"/>
        </w:rPr>
      </w:pPr>
      <w:r w:rsidRPr="00971014">
        <w:rPr>
          <w:rFonts w:eastAsia="HelenPro-Regular"/>
        </w:rPr>
        <w:t xml:space="preserve">Total Protein </w:t>
      </w:r>
      <w:r>
        <w:rPr>
          <w:rFonts w:eastAsia="HelenPro-Regular"/>
        </w:rPr>
        <w:tab/>
      </w:r>
      <w:r>
        <w:rPr>
          <w:rFonts w:eastAsia="HelenPro-Regular"/>
        </w:rPr>
        <w:tab/>
      </w:r>
      <w:r>
        <w:rPr>
          <w:rFonts w:eastAsia="HelenPro-Regular"/>
        </w:rPr>
        <w:tab/>
      </w:r>
      <w:r>
        <w:rPr>
          <w:rFonts w:eastAsia="HelenPro-Regular"/>
        </w:rPr>
        <w:tab/>
      </w:r>
      <w:r>
        <w:rPr>
          <w:rFonts w:eastAsia="HelenPro-Regular"/>
        </w:rPr>
        <w:tab/>
      </w:r>
      <w:r w:rsidRPr="00971014">
        <w:rPr>
          <w:rFonts w:eastAsia="HelenPro-Regular"/>
        </w:rPr>
        <w:t>12 g/</w:t>
      </w:r>
      <w:proofErr w:type="spellStart"/>
      <w:r w:rsidRPr="00971014">
        <w:rPr>
          <w:rFonts w:eastAsia="HelenPro-Regular"/>
        </w:rPr>
        <w:t>dL</w:t>
      </w:r>
      <w:proofErr w:type="spellEnd"/>
    </w:p>
    <w:p w:rsidR="005E48EE" w:rsidRPr="00971014" w:rsidRDefault="00971014" w:rsidP="00971014">
      <w:pPr>
        <w:autoSpaceDE w:val="0"/>
        <w:autoSpaceDN w:val="0"/>
        <w:adjustRightInd w:val="0"/>
        <w:rPr>
          <w:rFonts w:eastAsia="HelenPro-Regular"/>
        </w:rPr>
      </w:pPr>
      <w:r w:rsidRPr="00971014">
        <w:rPr>
          <w:rFonts w:eastAsia="HelenPro-Regular"/>
        </w:rPr>
        <w:t xml:space="preserve">Triglycerides </w:t>
      </w:r>
      <w:r>
        <w:rPr>
          <w:rFonts w:eastAsia="HelenPro-Regular"/>
        </w:rPr>
        <w:tab/>
      </w:r>
      <w:r>
        <w:rPr>
          <w:rFonts w:eastAsia="HelenPro-Regular"/>
        </w:rPr>
        <w:tab/>
      </w:r>
      <w:r>
        <w:rPr>
          <w:rFonts w:eastAsia="HelenPro-Regular"/>
        </w:rPr>
        <w:tab/>
      </w:r>
      <w:r>
        <w:rPr>
          <w:rFonts w:eastAsia="HelenPro-Regular"/>
        </w:rPr>
        <w:tab/>
      </w:r>
      <w:r>
        <w:rPr>
          <w:rFonts w:eastAsia="HelenPro-Regular"/>
        </w:rPr>
        <w:tab/>
      </w:r>
      <w:r w:rsidRPr="00971014">
        <w:rPr>
          <w:rFonts w:eastAsia="HelenPro-Regular"/>
        </w:rPr>
        <w:t>3 g/</w:t>
      </w:r>
      <w:proofErr w:type="spellStart"/>
      <w:r w:rsidRPr="00971014">
        <w:rPr>
          <w:rFonts w:eastAsia="HelenPro-Regular"/>
        </w:rPr>
        <w:t>dL</w:t>
      </w:r>
      <w:proofErr w:type="spellEnd"/>
    </w:p>
    <w:p w:rsidR="003356DF" w:rsidRDefault="003356DF" w:rsidP="003356DF">
      <w:pPr>
        <w:jc w:val="both"/>
        <w:rPr>
          <w:b/>
        </w:rPr>
      </w:pPr>
    </w:p>
    <w:p w:rsidR="005B1BF7" w:rsidRDefault="00971014" w:rsidP="00D16B69">
      <w:pPr>
        <w:jc w:val="both"/>
        <w:rPr>
          <w:b/>
        </w:rPr>
      </w:pPr>
      <w:r>
        <w:rPr>
          <w:noProof/>
        </w:rPr>
        <w:drawing>
          <wp:inline distT="0" distB="0" distL="0" distR="0" wp14:anchorId="0BECFABF" wp14:editId="7377BE86">
            <wp:extent cx="3476625" cy="23717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76625" cy="2371725"/>
                    </a:xfrm>
                    <a:prstGeom prst="rect">
                      <a:avLst/>
                    </a:prstGeom>
                  </pic:spPr>
                </pic:pic>
              </a:graphicData>
            </a:graphic>
          </wp:inline>
        </w:drawing>
      </w:r>
    </w:p>
    <w:p w:rsidR="00971014" w:rsidRPr="00971014" w:rsidRDefault="00971014" w:rsidP="00D16B69">
      <w:pPr>
        <w:jc w:val="both"/>
        <w:rPr>
          <w:b/>
        </w:rPr>
      </w:pPr>
      <w:r w:rsidRPr="00971014">
        <w:rPr>
          <w:rFonts w:eastAsia="HelenPro-Regular"/>
        </w:rPr>
        <w:t>POTENTIALLY INTERFERING CLINICAL CONDITIONS</w:t>
      </w:r>
    </w:p>
    <w:p w:rsidR="00971014" w:rsidRDefault="00971014" w:rsidP="00D16B69">
      <w:pPr>
        <w:jc w:val="both"/>
        <w:rPr>
          <w:b/>
        </w:rPr>
      </w:pPr>
      <w:r>
        <w:rPr>
          <w:noProof/>
        </w:rPr>
        <w:drawing>
          <wp:inline distT="0" distB="0" distL="0" distR="0" wp14:anchorId="5F4B0884" wp14:editId="7F9161D3">
            <wp:extent cx="4191000" cy="6762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191000" cy="676275"/>
                    </a:xfrm>
                    <a:prstGeom prst="rect">
                      <a:avLst/>
                    </a:prstGeom>
                  </pic:spPr>
                </pic:pic>
              </a:graphicData>
            </a:graphic>
          </wp:inline>
        </w:drawing>
      </w:r>
    </w:p>
    <w:p w:rsidR="005B1BF7" w:rsidRDefault="005B1BF7" w:rsidP="00D16B69">
      <w:pPr>
        <w:jc w:val="both"/>
        <w:rPr>
          <w:b/>
        </w:rPr>
      </w:pPr>
    </w:p>
    <w:p w:rsidR="00D16B69" w:rsidRPr="00A363FC" w:rsidRDefault="00D16B69" w:rsidP="00D16B69">
      <w:pPr>
        <w:jc w:val="both"/>
        <w:rPr>
          <w:b/>
        </w:rPr>
      </w:pPr>
      <w:r w:rsidRPr="00A363FC">
        <w:rPr>
          <w:b/>
        </w:rPr>
        <w:t>References:</w:t>
      </w:r>
      <w:r w:rsidR="00973EAF" w:rsidRPr="00A363FC">
        <w:rPr>
          <w:b/>
        </w:rPr>
        <w:t xml:space="preserve"> </w:t>
      </w:r>
    </w:p>
    <w:p w:rsidR="000A13F2" w:rsidRPr="00A363FC" w:rsidRDefault="000A13F2" w:rsidP="00030CDD">
      <w:pPr>
        <w:pStyle w:val="ListParagraph"/>
        <w:numPr>
          <w:ilvl w:val="0"/>
          <w:numId w:val="4"/>
        </w:numPr>
        <w:rPr>
          <w:sz w:val="22"/>
          <w:szCs w:val="22"/>
        </w:rPr>
      </w:pPr>
      <w:r w:rsidRPr="00A363FC">
        <w:rPr>
          <w:sz w:val="22"/>
          <w:szCs w:val="22"/>
        </w:rPr>
        <w:t xml:space="preserve">ABBOTT ARCHITECT </w:t>
      </w:r>
      <w:r w:rsidR="00900D77" w:rsidRPr="00A363FC">
        <w:rPr>
          <w:sz w:val="22"/>
          <w:szCs w:val="22"/>
        </w:rPr>
        <w:t>CA 125</w:t>
      </w:r>
      <w:r w:rsidRPr="00A363FC">
        <w:rPr>
          <w:sz w:val="22"/>
          <w:szCs w:val="22"/>
        </w:rPr>
        <w:t xml:space="preserve"> package insert</w:t>
      </w:r>
    </w:p>
    <w:p w:rsidR="000A13F2" w:rsidRPr="00A363FC" w:rsidRDefault="000A13F2" w:rsidP="000A13F2">
      <w:pPr>
        <w:pStyle w:val="ListParagraph"/>
        <w:rPr>
          <w:sz w:val="22"/>
          <w:szCs w:val="22"/>
        </w:rPr>
      </w:pPr>
      <w:r w:rsidRPr="00A363FC">
        <w:rPr>
          <w:sz w:val="22"/>
          <w:szCs w:val="22"/>
        </w:rPr>
        <w:t>Abbott Laboratories</w:t>
      </w:r>
    </w:p>
    <w:p w:rsidR="000A13F2" w:rsidRPr="00A363FC" w:rsidRDefault="000A13F2" w:rsidP="000A13F2">
      <w:pPr>
        <w:pStyle w:val="ListParagraph"/>
        <w:rPr>
          <w:sz w:val="22"/>
          <w:szCs w:val="22"/>
        </w:rPr>
      </w:pPr>
      <w:r w:rsidRPr="00A363FC">
        <w:rPr>
          <w:sz w:val="22"/>
          <w:szCs w:val="22"/>
        </w:rPr>
        <w:t>Diagnostics Division</w:t>
      </w:r>
    </w:p>
    <w:p w:rsidR="000A13F2" w:rsidRPr="00A363FC" w:rsidRDefault="000A13F2" w:rsidP="000A13F2">
      <w:pPr>
        <w:pStyle w:val="ListParagraph"/>
        <w:rPr>
          <w:sz w:val="22"/>
          <w:szCs w:val="22"/>
        </w:rPr>
      </w:pPr>
      <w:r w:rsidRPr="00A363FC">
        <w:rPr>
          <w:sz w:val="22"/>
          <w:szCs w:val="22"/>
        </w:rPr>
        <w:t>Abbott Park, IL  60064</w:t>
      </w:r>
    </w:p>
    <w:p w:rsidR="00425BA0" w:rsidRPr="00A363FC" w:rsidRDefault="00900D77" w:rsidP="00425BA0">
      <w:pPr>
        <w:pStyle w:val="ListParagraph"/>
        <w:rPr>
          <w:rFonts w:eastAsia="HelenPro-Bold"/>
          <w:b/>
          <w:bCs/>
          <w:sz w:val="20"/>
          <w:szCs w:val="20"/>
        </w:rPr>
      </w:pPr>
      <w:r w:rsidRPr="00A363FC">
        <w:rPr>
          <w:bCs/>
          <w:sz w:val="22"/>
          <w:szCs w:val="22"/>
        </w:rPr>
        <w:t>Nov</w:t>
      </w:r>
      <w:r w:rsidR="0074336C" w:rsidRPr="00A363FC">
        <w:rPr>
          <w:bCs/>
          <w:sz w:val="22"/>
          <w:szCs w:val="22"/>
        </w:rPr>
        <w:t xml:space="preserve"> 201</w:t>
      </w:r>
      <w:r w:rsidR="003C58E4" w:rsidRPr="00A363FC">
        <w:rPr>
          <w:bCs/>
          <w:sz w:val="22"/>
          <w:szCs w:val="22"/>
        </w:rPr>
        <w:t>2</w:t>
      </w:r>
      <w:r w:rsidR="000A13F2" w:rsidRPr="00A363FC">
        <w:rPr>
          <w:bCs/>
          <w:sz w:val="22"/>
          <w:szCs w:val="22"/>
        </w:rPr>
        <w:t xml:space="preserve"> </w:t>
      </w:r>
      <w:r w:rsidRPr="00A363FC">
        <w:rPr>
          <w:rFonts w:eastAsia="HelenPro-Bold"/>
          <w:bCs/>
        </w:rPr>
        <w:t>602-030 6</w:t>
      </w:r>
      <w:r w:rsidR="003C58E4" w:rsidRPr="00A363FC">
        <w:rPr>
          <w:rFonts w:eastAsia="HelenPro-Bold"/>
          <w:bCs/>
        </w:rPr>
        <w:t>/12</w:t>
      </w:r>
    </w:p>
    <w:p w:rsidR="000A13F2" w:rsidRPr="00A363FC" w:rsidRDefault="000A13F2" w:rsidP="00425BA0">
      <w:pPr>
        <w:pStyle w:val="ListParagraph"/>
        <w:numPr>
          <w:ilvl w:val="0"/>
          <w:numId w:val="4"/>
        </w:numPr>
        <w:rPr>
          <w:rFonts w:eastAsia="HelenPro-Bold"/>
          <w:b/>
          <w:bCs/>
          <w:sz w:val="20"/>
          <w:szCs w:val="20"/>
        </w:rPr>
      </w:pPr>
      <w:r w:rsidRPr="00A363FC">
        <w:rPr>
          <w:sz w:val="22"/>
          <w:szCs w:val="22"/>
        </w:rPr>
        <w:t xml:space="preserve">ABBOTT ARCHITECT </w:t>
      </w:r>
      <w:r w:rsidR="00900D77" w:rsidRPr="00A363FC">
        <w:rPr>
          <w:sz w:val="22"/>
          <w:szCs w:val="22"/>
        </w:rPr>
        <w:t xml:space="preserve">CA 125 </w:t>
      </w:r>
      <w:r w:rsidRPr="00A363FC">
        <w:rPr>
          <w:sz w:val="22"/>
          <w:szCs w:val="22"/>
        </w:rPr>
        <w:t>Calibrator package insert</w:t>
      </w:r>
    </w:p>
    <w:p w:rsidR="000A13F2" w:rsidRPr="00A363FC" w:rsidRDefault="000A13F2" w:rsidP="000A13F2">
      <w:pPr>
        <w:pStyle w:val="ListParagraph"/>
        <w:rPr>
          <w:sz w:val="22"/>
          <w:szCs w:val="22"/>
        </w:rPr>
      </w:pPr>
      <w:r w:rsidRPr="00A363FC">
        <w:rPr>
          <w:sz w:val="22"/>
          <w:szCs w:val="22"/>
        </w:rPr>
        <w:t>Abbott Laboratories</w:t>
      </w:r>
    </w:p>
    <w:p w:rsidR="000A13F2" w:rsidRPr="00A363FC" w:rsidRDefault="000A13F2" w:rsidP="000A13F2">
      <w:pPr>
        <w:pStyle w:val="ListParagraph"/>
        <w:rPr>
          <w:sz w:val="22"/>
          <w:szCs w:val="22"/>
        </w:rPr>
      </w:pPr>
      <w:r w:rsidRPr="00A363FC">
        <w:rPr>
          <w:sz w:val="22"/>
          <w:szCs w:val="22"/>
        </w:rPr>
        <w:t>Diagnostics Division</w:t>
      </w:r>
    </w:p>
    <w:p w:rsidR="000A13F2" w:rsidRPr="00A363FC" w:rsidRDefault="000A13F2" w:rsidP="000A13F2">
      <w:pPr>
        <w:pStyle w:val="ListParagraph"/>
        <w:rPr>
          <w:sz w:val="22"/>
          <w:szCs w:val="22"/>
        </w:rPr>
      </w:pPr>
      <w:r w:rsidRPr="00A363FC">
        <w:rPr>
          <w:sz w:val="22"/>
          <w:szCs w:val="22"/>
        </w:rPr>
        <w:t>Abbott Park, IL  60064</w:t>
      </w:r>
    </w:p>
    <w:p w:rsidR="00881923" w:rsidRPr="00A363FC" w:rsidRDefault="000A13F2" w:rsidP="00030CDD">
      <w:pPr>
        <w:pStyle w:val="ListParagraph"/>
        <w:numPr>
          <w:ilvl w:val="0"/>
          <w:numId w:val="4"/>
        </w:numPr>
        <w:spacing w:after="72"/>
        <w:jc w:val="both"/>
      </w:pPr>
      <w:r w:rsidRPr="00A363FC">
        <w:t>Abbott ARCHITECT</w:t>
      </w:r>
      <w:r w:rsidR="00D16B69" w:rsidRPr="00A363FC">
        <w:rPr>
          <w:lang w:val="ru-RU"/>
        </w:rPr>
        <w:t xml:space="preserve"> Operator’s Guide</w:t>
      </w:r>
    </w:p>
    <w:p w:rsidR="00A363FC" w:rsidRDefault="00A363FC" w:rsidP="00246FA8">
      <w:pPr>
        <w:rPr>
          <w:b/>
        </w:rPr>
      </w:pPr>
    </w:p>
    <w:p w:rsidR="00881923" w:rsidRPr="00157696" w:rsidRDefault="00A363FC" w:rsidP="00246FA8">
      <w:pPr>
        <w:rPr>
          <w:i/>
          <w:sz w:val="20"/>
          <w:szCs w:val="20"/>
        </w:rPr>
      </w:pPr>
      <w:bookmarkStart w:id="0" w:name="_GoBack"/>
      <w:bookmarkEnd w:id="0"/>
      <w:r>
        <w:rPr>
          <w:b/>
        </w:rPr>
        <w:lastRenderedPageBreak/>
        <w:t>Re</w:t>
      </w:r>
      <w:r w:rsidR="0009322F">
        <w:rPr>
          <w:b/>
        </w:rPr>
        <w:t xml:space="preserve">lated Documents: </w:t>
      </w:r>
    </w:p>
    <w:p w:rsidR="00157696" w:rsidRPr="00BC1EC4" w:rsidRDefault="00157696" w:rsidP="00246FA8">
      <w:pPr>
        <w:rPr>
          <w:i/>
          <w:color w:val="FF0000"/>
        </w:rPr>
      </w:pPr>
      <w:r>
        <w:rPr>
          <w:b/>
        </w:rPr>
        <w:t>Attachments:</w:t>
      </w:r>
      <w:r w:rsidR="00973EAF">
        <w:rPr>
          <w:b/>
        </w:rPr>
        <w:t xml:space="preserve"> </w:t>
      </w:r>
    </w:p>
    <w:p w:rsidR="00D16B69" w:rsidRDefault="00D16B69" w:rsidP="00951C8E">
      <w:pPr>
        <w:spacing w:after="72"/>
        <w:jc w:val="both"/>
      </w:pPr>
    </w:p>
    <w:sectPr w:rsidR="00D16B69" w:rsidSect="00507B0C">
      <w:headerReference w:type="even" r:id="rId23"/>
      <w:headerReference w:type="default" r:id="rId24"/>
      <w:footerReference w:type="even" r:id="rId25"/>
      <w:footerReference w:type="default" r:id="rId26"/>
      <w:headerReference w:type="first" r:id="rId27"/>
      <w:footerReference w:type="firs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549" w:rsidRDefault="000D1549">
      <w:r>
        <w:separator/>
      </w:r>
    </w:p>
  </w:endnote>
  <w:endnote w:type="continuationSeparator" w:id="0">
    <w:p w:rsidR="000D1549" w:rsidRDefault="000D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2D" w:rsidRDefault="00BF6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A363FC">
      <w:rPr>
        <w:noProof/>
        <w:sz w:val="20"/>
        <w:szCs w:val="20"/>
      </w:rPr>
      <w:t>10</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A363FC">
      <w:rPr>
        <w:noProof/>
        <w:sz w:val="20"/>
        <w:szCs w:val="20"/>
      </w:rPr>
      <w:t>12</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2D" w:rsidRDefault="00BF6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549" w:rsidRDefault="000D1549">
      <w:r>
        <w:separator/>
      </w:r>
    </w:p>
  </w:footnote>
  <w:footnote w:type="continuationSeparator" w:id="0">
    <w:p w:rsidR="000D1549" w:rsidRDefault="000D1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2D" w:rsidRDefault="00BF63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BF632D">
      <w:rPr>
        <w:b/>
        <w:sz w:val="20"/>
        <w:szCs w:val="20"/>
      </w:rPr>
      <w:t xml:space="preserve"> 4840-CH-</w:t>
    </w:r>
    <w:r w:rsidR="00F32171">
      <w:rPr>
        <w:b/>
        <w:sz w:val="20"/>
        <w:szCs w:val="20"/>
      </w:rPr>
      <w:t>181</w:t>
    </w:r>
  </w:p>
  <w:p w:rsidR="00B54C79" w:rsidRDefault="00B54C79" w:rsidP="00100BF8">
    <w:pPr>
      <w:jc w:val="right"/>
      <w:rPr>
        <w:sz w:val="20"/>
        <w:szCs w:val="20"/>
      </w:rPr>
    </w:pPr>
    <w:r>
      <w:rPr>
        <w:sz w:val="20"/>
        <w:szCs w:val="20"/>
      </w:rPr>
      <w:t xml:space="preserve">ARCHITECT </w:t>
    </w:r>
    <w:r w:rsidR="00A30D01">
      <w:rPr>
        <w:sz w:val="20"/>
        <w:szCs w:val="20"/>
      </w:rPr>
      <w:t>CA-125</w:t>
    </w:r>
  </w:p>
  <w:p w:rsidR="00B54C79" w:rsidRPr="00BA0054" w:rsidRDefault="00B54C79" w:rsidP="00100BF8">
    <w:pPr>
      <w:jc w:val="right"/>
      <w:rPr>
        <w:sz w:val="20"/>
        <w:szCs w:val="20"/>
      </w:rPr>
    </w:pPr>
    <w:r>
      <w:rPr>
        <w:sz w:val="20"/>
        <w:szCs w:val="20"/>
      </w:rPr>
      <w:t>Revised 5/</w:t>
    </w:r>
    <w:r w:rsidR="00886363">
      <w:rPr>
        <w:sz w:val="20"/>
        <w:szCs w:val="20"/>
      </w:rPr>
      <w:t>28</w:t>
    </w:r>
    <w:r>
      <w:rPr>
        <w:sz w:val="20"/>
        <w:szCs w:val="20"/>
      </w:rPr>
      <w:t>/16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2D" w:rsidRDefault="00BF63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97B8D"/>
    <w:multiLevelType w:val="hybridMultilevel"/>
    <w:tmpl w:val="092E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8B6567"/>
    <w:multiLevelType w:val="hybridMultilevel"/>
    <w:tmpl w:val="E0BE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nsid w:val="6F4D28C7"/>
    <w:multiLevelType w:val="hybridMultilevel"/>
    <w:tmpl w:val="10F8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3"/>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0"/>
  </w:num>
  <w:num w:numId="9">
    <w:abstractNumId w:val="17"/>
  </w:num>
  <w:num w:numId="10">
    <w:abstractNumId w:val="13"/>
  </w:num>
  <w:num w:numId="11">
    <w:abstractNumId w:val="16"/>
  </w:num>
  <w:num w:numId="12">
    <w:abstractNumId w:val="1"/>
  </w:num>
  <w:num w:numId="13">
    <w:abstractNumId w:val="7"/>
  </w:num>
  <w:num w:numId="14">
    <w:abstractNumId w:val="11"/>
  </w:num>
  <w:num w:numId="15">
    <w:abstractNumId w:val="24"/>
  </w:num>
  <w:num w:numId="16">
    <w:abstractNumId w:val="14"/>
  </w:num>
  <w:num w:numId="17">
    <w:abstractNumId w:val="3"/>
  </w:num>
  <w:num w:numId="18">
    <w:abstractNumId w:val="18"/>
  </w:num>
  <w:num w:numId="19">
    <w:abstractNumId w:val="5"/>
  </w:num>
  <w:num w:numId="20">
    <w:abstractNumId w:val="8"/>
  </w:num>
  <w:num w:numId="21">
    <w:abstractNumId w:val="4"/>
  </w:num>
  <w:num w:numId="22">
    <w:abstractNumId w:val="15"/>
  </w:num>
  <w:num w:numId="23">
    <w:abstractNumId w:val="2"/>
  </w:num>
  <w:num w:numId="24">
    <w:abstractNumId w:val="19"/>
  </w:num>
  <w:num w:numId="25">
    <w:abstractNumId w:val="22"/>
  </w:num>
  <w:num w:numId="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023C0"/>
    <w:rsid w:val="00014AAD"/>
    <w:rsid w:val="000165C6"/>
    <w:rsid w:val="00020469"/>
    <w:rsid w:val="000232F2"/>
    <w:rsid w:val="000276BD"/>
    <w:rsid w:val="000304D2"/>
    <w:rsid w:val="00030B7A"/>
    <w:rsid w:val="00030CDD"/>
    <w:rsid w:val="00032E92"/>
    <w:rsid w:val="00043105"/>
    <w:rsid w:val="000454FD"/>
    <w:rsid w:val="0006011A"/>
    <w:rsid w:val="000602A5"/>
    <w:rsid w:val="00062EAC"/>
    <w:rsid w:val="0006502B"/>
    <w:rsid w:val="000735AF"/>
    <w:rsid w:val="000743B7"/>
    <w:rsid w:val="00081C7F"/>
    <w:rsid w:val="00082648"/>
    <w:rsid w:val="00085F48"/>
    <w:rsid w:val="0009322F"/>
    <w:rsid w:val="000A090B"/>
    <w:rsid w:val="000A13F2"/>
    <w:rsid w:val="000A341D"/>
    <w:rsid w:val="000A7D58"/>
    <w:rsid w:val="000B4575"/>
    <w:rsid w:val="000C1FD8"/>
    <w:rsid w:val="000D1549"/>
    <w:rsid w:val="000D4A90"/>
    <w:rsid w:val="000E3328"/>
    <w:rsid w:val="000F49B2"/>
    <w:rsid w:val="00100BF8"/>
    <w:rsid w:val="0010358F"/>
    <w:rsid w:val="001053EF"/>
    <w:rsid w:val="00107444"/>
    <w:rsid w:val="00132081"/>
    <w:rsid w:val="00133F38"/>
    <w:rsid w:val="0014554C"/>
    <w:rsid w:val="00155687"/>
    <w:rsid w:val="00157696"/>
    <w:rsid w:val="0016247C"/>
    <w:rsid w:val="00167572"/>
    <w:rsid w:val="00172CF7"/>
    <w:rsid w:val="00173EA4"/>
    <w:rsid w:val="001756AB"/>
    <w:rsid w:val="0019760C"/>
    <w:rsid w:val="001A639E"/>
    <w:rsid w:val="001B29A7"/>
    <w:rsid w:val="001B4267"/>
    <w:rsid w:val="001C48DA"/>
    <w:rsid w:val="001D3841"/>
    <w:rsid w:val="001D6AE0"/>
    <w:rsid w:val="001E079E"/>
    <w:rsid w:val="001F32A9"/>
    <w:rsid w:val="001F6B7B"/>
    <w:rsid w:val="00211DD8"/>
    <w:rsid w:val="00246FA8"/>
    <w:rsid w:val="0025031C"/>
    <w:rsid w:val="00253C1F"/>
    <w:rsid w:val="00255C54"/>
    <w:rsid w:val="00260434"/>
    <w:rsid w:val="002648A6"/>
    <w:rsid w:val="002649AA"/>
    <w:rsid w:val="002746A8"/>
    <w:rsid w:val="00294A08"/>
    <w:rsid w:val="002B0D2A"/>
    <w:rsid w:val="002B1993"/>
    <w:rsid w:val="002C0E55"/>
    <w:rsid w:val="002C2F49"/>
    <w:rsid w:val="002C7FD5"/>
    <w:rsid w:val="002D18CA"/>
    <w:rsid w:val="002D2075"/>
    <w:rsid w:val="002D370D"/>
    <w:rsid w:val="002D38DF"/>
    <w:rsid w:val="002D70E2"/>
    <w:rsid w:val="002E679B"/>
    <w:rsid w:val="002F52E0"/>
    <w:rsid w:val="003056A7"/>
    <w:rsid w:val="00317056"/>
    <w:rsid w:val="003356DF"/>
    <w:rsid w:val="00347BEC"/>
    <w:rsid w:val="00353FD5"/>
    <w:rsid w:val="0037463A"/>
    <w:rsid w:val="0038205F"/>
    <w:rsid w:val="0038442D"/>
    <w:rsid w:val="00386807"/>
    <w:rsid w:val="00396C4A"/>
    <w:rsid w:val="003B2E62"/>
    <w:rsid w:val="003B40E1"/>
    <w:rsid w:val="003C2522"/>
    <w:rsid w:val="003C58E4"/>
    <w:rsid w:val="003C596F"/>
    <w:rsid w:val="003D10DE"/>
    <w:rsid w:val="003D38B7"/>
    <w:rsid w:val="003D447C"/>
    <w:rsid w:val="003D708C"/>
    <w:rsid w:val="003E46C0"/>
    <w:rsid w:val="003E62E7"/>
    <w:rsid w:val="00400A1A"/>
    <w:rsid w:val="00400CBA"/>
    <w:rsid w:val="00405EC8"/>
    <w:rsid w:val="00410514"/>
    <w:rsid w:val="00413FEE"/>
    <w:rsid w:val="00425BA0"/>
    <w:rsid w:val="00427542"/>
    <w:rsid w:val="00436811"/>
    <w:rsid w:val="0044058F"/>
    <w:rsid w:val="00443DB3"/>
    <w:rsid w:val="00452D5E"/>
    <w:rsid w:val="0045570E"/>
    <w:rsid w:val="00456575"/>
    <w:rsid w:val="00460600"/>
    <w:rsid w:val="00461686"/>
    <w:rsid w:val="0046271A"/>
    <w:rsid w:val="004708FA"/>
    <w:rsid w:val="0047686C"/>
    <w:rsid w:val="004773D3"/>
    <w:rsid w:val="00493DD1"/>
    <w:rsid w:val="00496605"/>
    <w:rsid w:val="0049724B"/>
    <w:rsid w:val="004A03BD"/>
    <w:rsid w:val="004A2AA3"/>
    <w:rsid w:val="004C05F8"/>
    <w:rsid w:val="004C104D"/>
    <w:rsid w:val="004C2C23"/>
    <w:rsid w:val="004C37CB"/>
    <w:rsid w:val="004C73AF"/>
    <w:rsid w:val="004E04CB"/>
    <w:rsid w:val="004E0AFF"/>
    <w:rsid w:val="004F5F8A"/>
    <w:rsid w:val="00507B0C"/>
    <w:rsid w:val="00520089"/>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292"/>
    <w:rsid w:val="005E3AB5"/>
    <w:rsid w:val="005E3D52"/>
    <w:rsid w:val="005E48EE"/>
    <w:rsid w:val="005F3E81"/>
    <w:rsid w:val="00607638"/>
    <w:rsid w:val="00610572"/>
    <w:rsid w:val="006107A2"/>
    <w:rsid w:val="0061553C"/>
    <w:rsid w:val="00621ABB"/>
    <w:rsid w:val="00623EFB"/>
    <w:rsid w:val="0063150E"/>
    <w:rsid w:val="00644800"/>
    <w:rsid w:val="006559EB"/>
    <w:rsid w:val="00656BB9"/>
    <w:rsid w:val="00674186"/>
    <w:rsid w:val="00682038"/>
    <w:rsid w:val="00687C2F"/>
    <w:rsid w:val="006A15AE"/>
    <w:rsid w:val="006A5AAE"/>
    <w:rsid w:val="006B0A70"/>
    <w:rsid w:val="006B3C65"/>
    <w:rsid w:val="006B4204"/>
    <w:rsid w:val="006D28ED"/>
    <w:rsid w:val="006D40ED"/>
    <w:rsid w:val="006E5155"/>
    <w:rsid w:val="006F7F4F"/>
    <w:rsid w:val="00714B7D"/>
    <w:rsid w:val="00714F24"/>
    <w:rsid w:val="007150E8"/>
    <w:rsid w:val="00715D55"/>
    <w:rsid w:val="00742830"/>
    <w:rsid w:val="0074336C"/>
    <w:rsid w:val="007703C0"/>
    <w:rsid w:val="007840DD"/>
    <w:rsid w:val="007B09E3"/>
    <w:rsid w:val="007B0CCE"/>
    <w:rsid w:val="007B247B"/>
    <w:rsid w:val="007E4CE6"/>
    <w:rsid w:val="007E6C3C"/>
    <w:rsid w:val="0080146D"/>
    <w:rsid w:val="008036AC"/>
    <w:rsid w:val="00804822"/>
    <w:rsid w:val="00812CCF"/>
    <w:rsid w:val="00816ACE"/>
    <w:rsid w:val="00830E61"/>
    <w:rsid w:val="00833E15"/>
    <w:rsid w:val="00841397"/>
    <w:rsid w:val="00846F9F"/>
    <w:rsid w:val="00847607"/>
    <w:rsid w:val="00861504"/>
    <w:rsid w:val="00863AA4"/>
    <w:rsid w:val="00864220"/>
    <w:rsid w:val="00880FDF"/>
    <w:rsid w:val="0088112F"/>
    <w:rsid w:val="00881923"/>
    <w:rsid w:val="0088257A"/>
    <w:rsid w:val="00883611"/>
    <w:rsid w:val="00886363"/>
    <w:rsid w:val="00887139"/>
    <w:rsid w:val="00893E5B"/>
    <w:rsid w:val="008A1AF7"/>
    <w:rsid w:val="008A1CED"/>
    <w:rsid w:val="008A7551"/>
    <w:rsid w:val="008A7F96"/>
    <w:rsid w:val="008B590F"/>
    <w:rsid w:val="008C0AEF"/>
    <w:rsid w:val="008D06FF"/>
    <w:rsid w:val="008D30BD"/>
    <w:rsid w:val="008D4DF4"/>
    <w:rsid w:val="008E00E3"/>
    <w:rsid w:val="008F7947"/>
    <w:rsid w:val="008F794A"/>
    <w:rsid w:val="00900D77"/>
    <w:rsid w:val="0091292B"/>
    <w:rsid w:val="00912BAD"/>
    <w:rsid w:val="00912FE4"/>
    <w:rsid w:val="0092389D"/>
    <w:rsid w:val="00924B1D"/>
    <w:rsid w:val="00926441"/>
    <w:rsid w:val="00926E1B"/>
    <w:rsid w:val="009318E8"/>
    <w:rsid w:val="009467CE"/>
    <w:rsid w:val="00951C8E"/>
    <w:rsid w:val="00952933"/>
    <w:rsid w:val="009539A1"/>
    <w:rsid w:val="00953BF2"/>
    <w:rsid w:val="00964971"/>
    <w:rsid w:val="00971014"/>
    <w:rsid w:val="00973EAF"/>
    <w:rsid w:val="00980C01"/>
    <w:rsid w:val="009841EC"/>
    <w:rsid w:val="009A4991"/>
    <w:rsid w:val="009B4C90"/>
    <w:rsid w:val="009D1D61"/>
    <w:rsid w:val="009D498B"/>
    <w:rsid w:val="009E0FF1"/>
    <w:rsid w:val="009E49EB"/>
    <w:rsid w:val="009F0CBD"/>
    <w:rsid w:val="009F648F"/>
    <w:rsid w:val="00A015C6"/>
    <w:rsid w:val="00A016EE"/>
    <w:rsid w:val="00A062F7"/>
    <w:rsid w:val="00A06412"/>
    <w:rsid w:val="00A06F60"/>
    <w:rsid w:val="00A1152E"/>
    <w:rsid w:val="00A1486D"/>
    <w:rsid w:val="00A15B97"/>
    <w:rsid w:val="00A226F3"/>
    <w:rsid w:val="00A241F8"/>
    <w:rsid w:val="00A30D01"/>
    <w:rsid w:val="00A320E4"/>
    <w:rsid w:val="00A35DB6"/>
    <w:rsid w:val="00A363FC"/>
    <w:rsid w:val="00A408AE"/>
    <w:rsid w:val="00A5042D"/>
    <w:rsid w:val="00A541AC"/>
    <w:rsid w:val="00A554D4"/>
    <w:rsid w:val="00A67673"/>
    <w:rsid w:val="00A71728"/>
    <w:rsid w:val="00A71D1D"/>
    <w:rsid w:val="00A72EC0"/>
    <w:rsid w:val="00A7716D"/>
    <w:rsid w:val="00A81234"/>
    <w:rsid w:val="00A82E30"/>
    <w:rsid w:val="00A92E30"/>
    <w:rsid w:val="00AA271B"/>
    <w:rsid w:val="00AA7B6F"/>
    <w:rsid w:val="00AB5354"/>
    <w:rsid w:val="00AB793D"/>
    <w:rsid w:val="00AC0E64"/>
    <w:rsid w:val="00AD402C"/>
    <w:rsid w:val="00AE6F5B"/>
    <w:rsid w:val="00AF597C"/>
    <w:rsid w:val="00B11C38"/>
    <w:rsid w:val="00B13AB5"/>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A0054"/>
    <w:rsid w:val="00BC1EC4"/>
    <w:rsid w:val="00BC76E2"/>
    <w:rsid w:val="00BE40A6"/>
    <w:rsid w:val="00BF32B2"/>
    <w:rsid w:val="00BF632D"/>
    <w:rsid w:val="00C32412"/>
    <w:rsid w:val="00C3571A"/>
    <w:rsid w:val="00C46D5D"/>
    <w:rsid w:val="00C53E37"/>
    <w:rsid w:val="00C63D0C"/>
    <w:rsid w:val="00C63D9F"/>
    <w:rsid w:val="00C7332C"/>
    <w:rsid w:val="00C90E57"/>
    <w:rsid w:val="00C912E2"/>
    <w:rsid w:val="00C967D5"/>
    <w:rsid w:val="00CA11D0"/>
    <w:rsid w:val="00CA5058"/>
    <w:rsid w:val="00CC2751"/>
    <w:rsid w:val="00CC37B4"/>
    <w:rsid w:val="00CC3D62"/>
    <w:rsid w:val="00CC5B4F"/>
    <w:rsid w:val="00CE2DC7"/>
    <w:rsid w:val="00CF7868"/>
    <w:rsid w:val="00D006C7"/>
    <w:rsid w:val="00D16262"/>
    <w:rsid w:val="00D16B69"/>
    <w:rsid w:val="00D27C5A"/>
    <w:rsid w:val="00D339B0"/>
    <w:rsid w:val="00D5070C"/>
    <w:rsid w:val="00D50F05"/>
    <w:rsid w:val="00D5211B"/>
    <w:rsid w:val="00D60AFA"/>
    <w:rsid w:val="00D64E39"/>
    <w:rsid w:val="00D70A7B"/>
    <w:rsid w:val="00D71AF7"/>
    <w:rsid w:val="00D73BF8"/>
    <w:rsid w:val="00D77B64"/>
    <w:rsid w:val="00D80968"/>
    <w:rsid w:val="00D84ADA"/>
    <w:rsid w:val="00D94BB8"/>
    <w:rsid w:val="00D97908"/>
    <w:rsid w:val="00DA040A"/>
    <w:rsid w:val="00DA0D83"/>
    <w:rsid w:val="00DA6C6A"/>
    <w:rsid w:val="00DB3051"/>
    <w:rsid w:val="00DB49D0"/>
    <w:rsid w:val="00DC16C5"/>
    <w:rsid w:val="00DC56D1"/>
    <w:rsid w:val="00DD0481"/>
    <w:rsid w:val="00DE6C4E"/>
    <w:rsid w:val="00DF01DC"/>
    <w:rsid w:val="00DF022C"/>
    <w:rsid w:val="00E03927"/>
    <w:rsid w:val="00E03B3D"/>
    <w:rsid w:val="00E07C43"/>
    <w:rsid w:val="00E12522"/>
    <w:rsid w:val="00E1254C"/>
    <w:rsid w:val="00E12AF4"/>
    <w:rsid w:val="00E30C56"/>
    <w:rsid w:val="00E36B73"/>
    <w:rsid w:val="00E40388"/>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1927"/>
    <w:rsid w:val="00F32171"/>
    <w:rsid w:val="00F32BBD"/>
    <w:rsid w:val="00F3700B"/>
    <w:rsid w:val="00F61480"/>
    <w:rsid w:val="00F66836"/>
    <w:rsid w:val="00F7103F"/>
    <w:rsid w:val="00F7630F"/>
    <w:rsid w:val="00F80AD3"/>
    <w:rsid w:val="00F82D85"/>
    <w:rsid w:val="00F84979"/>
    <w:rsid w:val="00F91000"/>
    <w:rsid w:val="00F92520"/>
    <w:rsid w:val="00F95946"/>
    <w:rsid w:val="00F96FC1"/>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89151-CEC0-4792-9EE6-3E706DA4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2795</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18474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4</cp:revision>
  <cp:lastPrinted>2012-02-10T12:42:00Z</cp:lastPrinted>
  <dcterms:created xsi:type="dcterms:W3CDTF">2018-08-22T17:11:00Z</dcterms:created>
  <dcterms:modified xsi:type="dcterms:W3CDTF">2018-10-22T14:37:00Z</dcterms:modified>
</cp:coreProperties>
</file>