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267D3D" w:rsidRDefault="00AD35F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D23C218" wp14:editId="5FD9FFAA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3D" w:rsidRPr="00267D3D" w:rsidRDefault="00377AC1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ETHANOL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377AC1">
        <w:rPr>
          <w:b/>
          <w:sz w:val="28"/>
          <w:szCs w:val="28"/>
        </w:rPr>
        <w:t>,</w:t>
      </w:r>
      <w:r w:rsidR="00C32412">
        <w:rPr>
          <w:b/>
          <w:sz w:val="28"/>
          <w:szCs w:val="28"/>
        </w:rPr>
        <w:t xml:space="preserve"> PLASMA</w:t>
      </w:r>
      <w:r w:rsidR="00377AC1">
        <w:rPr>
          <w:b/>
          <w:sz w:val="28"/>
          <w:szCs w:val="28"/>
        </w:rPr>
        <w:t xml:space="preserve"> OR 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DC16C5" w:rsidRPr="00FD5EA9" w:rsidRDefault="00377AC1" w:rsidP="00377AC1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MULTIGENT Ethanol assay is intended for the quantitative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determination of ethanol in human urine, serum, or plasma on the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 xml:space="preserve">ARCHITECT </w:t>
      </w:r>
      <w:r w:rsidRPr="00132417">
        <w:rPr>
          <w:rFonts w:eastAsia="HelenPro-Regular"/>
          <w:i/>
          <w:iCs/>
        </w:rPr>
        <w:t xml:space="preserve">c </w:t>
      </w:r>
      <w:r w:rsidRPr="00132417">
        <w:rPr>
          <w:rFonts w:eastAsia="HelenPro-Regular"/>
        </w:rPr>
        <w:t>Systems.</w:t>
      </w:r>
    </w:p>
    <w:p w:rsidR="0060509E" w:rsidRDefault="0060509E" w:rsidP="006107A2">
      <w:pPr>
        <w:jc w:val="both"/>
        <w:rPr>
          <w:b/>
          <w:sz w:val="28"/>
          <w:szCs w:val="28"/>
        </w:rPr>
      </w:pPr>
    </w:p>
    <w:p w:rsidR="0009322F" w:rsidRPr="00DB7BA9" w:rsidRDefault="006559EB" w:rsidP="006107A2">
      <w:pPr>
        <w:jc w:val="both"/>
        <w:rPr>
          <w:sz w:val="28"/>
          <w:szCs w:val="28"/>
        </w:rPr>
      </w:pPr>
      <w:r w:rsidRPr="00DB7BA9">
        <w:rPr>
          <w:b/>
          <w:sz w:val="28"/>
          <w:szCs w:val="28"/>
        </w:rPr>
        <w:t>Clinical Significance</w:t>
      </w:r>
      <w:r w:rsidR="006107A2" w:rsidRPr="00DB7BA9">
        <w:rPr>
          <w:sz w:val="28"/>
          <w:szCs w:val="28"/>
        </w:rPr>
        <w:t xml:space="preserve"> 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In addition to beverages, ethanol (ethyl alcohol or alcohol) can also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be found in high concentrations in a variety of products such as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mouthwashes, colognes, candies, and medicinal preparations. When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alcohol is ingested, it will permeate all tissues of the body within one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hour. About 95% of the alcohol is metabolized in the liver, and the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remainder is excreted unchanged. Alcohol intoxication can lead to birth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defects (e.g., fetal alcohol syndrome), loss of alertness, stupor, coma,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and death. Determination of ethyl alcohol concentration is commonly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used for measuring legal impairment, investigating forensic evidence,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diagnosing and/or treating alcohol dependency, as well as detecting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alcohol poisoning.</w:t>
      </w:r>
    </w:p>
    <w:p w:rsidR="00A062F7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Gas chromatography techniques and several enzymatic methods are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available for determination of ethyl alcohol. These techniques either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require specimen pretreatment or require incubation periods ranging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from 10 to 60 minutes. Administration of pure alcohol to fasting men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produced the following average maximal concentrations at the times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indicated: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noProof/>
        </w:rPr>
        <w:drawing>
          <wp:inline distT="0" distB="0" distL="0" distR="0" wp14:anchorId="35EB2D7E" wp14:editId="1A3D0840">
            <wp:extent cx="4181475" cy="990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8C" w:rsidRPr="0012178C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These concentrations decreased at an average rate of 18.9 mg/dL/h.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At concentrations greater than 20 mg/dL, the rate of metabolism is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independent of concentration, i.e., zero-order</w:t>
      </w:r>
    </w:p>
    <w:p w:rsidR="00B81E9E" w:rsidRDefault="00B81E9E" w:rsidP="008A7F96">
      <w:pPr>
        <w:jc w:val="both"/>
        <w:rPr>
          <w:b/>
          <w:sz w:val="28"/>
          <w:szCs w:val="28"/>
        </w:rPr>
      </w:pPr>
    </w:p>
    <w:p w:rsidR="008A7F96" w:rsidRPr="00DB7BA9" w:rsidRDefault="008A7F96" w:rsidP="008A7F96">
      <w:pPr>
        <w:jc w:val="both"/>
        <w:rPr>
          <w:color w:val="FF0000"/>
          <w:sz w:val="28"/>
          <w:szCs w:val="28"/>
        </w:rPr>
      </w:pPr>
      <w:r w:rsidRPr="00DB7BA9">
        <w:rPr>
          <w:b/>
          <w:sz w:val="28"/>
          <w:szCs w:val="28"/>
        </w:rPr>
        <w:t>Principle</w:t>
      </w:r>
      <w:r w:rsidRPr="00DB7BA9">
        <w:rPr>
          <w:sz w:val="28"/>
          <w:szCs w:val="28"/>
        </w:rPr>
        <w:t xml:space="preserve"> </w:t>
      </w:r>
    </w:p>
    <w:p w:rsidR="008A7F96" w:rsidRPr="00DB7BA9" w:rsidRDefault="008A7F96" w:rsidP="008A7F96">
      <w:pPr>
        <w:jc w:val="both"/>
      </w:pPr>
    </w:p>
    <w:p w:rsidR="00DB7BA9" w:rsidRPr="00132417" w:rsidRDefault="00896F8C" w:rsidP="00E771AB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MULTIGENT Ethanol assay is a liquid, ready-to-use, kinetic assay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based on the high specificity of alcohol dehydrogenase (ADH) for ethyl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alcohol. In the presence of ADH and nicotinamide adenine dinucleotide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(NAD), ethanol is readily oxidized to acetaldehyde and NADH.</w:t>
      </w:r>
    </w:p>
    <w:p w:rsidR="00896F8C" w:rsidRPr="00132417" w:rsidRDefault="00896F8C" w:rsidP="00896F8C">
      <w:pPr>
        <w:rPr>
          <w:b/>
        </w:rPr>
      </w:pPr>
      <w:r w:rsidRPr="00132417">
        <w:rPr>
          <w:noProof/>
        </w:rPr>
        <w:drawing>
          <wp:inline distT="0" distB="0" distL="0" distR="0" wp14:anchorId="5378477D" wp14:editId="485B6F16">
            <wp:extent cx="3771900" cy="476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enzymatic reaction can be monitored spectrophotometrically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 xml:space="preserve">at 340/412 nm (416 nm for </w:t>
      </w:r>
      <w:r w:rsidRPr="00132417">
        <w:rPr>
          <w:rFonts w:eastAsia="HelenPro-Regular"/>
          <w:i/>
          <w:iCs/>
        </w:rPr>
        <w:t xml:space="preserve">c </w:t>
      </w:r>
      <w:r w:rsidRPr="00132417">
        <w:rPr>
          <w:rFonts w:eastAsia="HelenPro-Regular"/>
        </w:rPr>
        <w:t xml:space="preserve">4000 and </w:t>
      </w:r>
      <w:r w:rsidRPr="00132417">
        <w:rPr>
          <w:rFonts w:eastAsia="HelenPro-Regular"/>
          <w:i/>
          <w:iCs/>
        </w:rPr>
        <w:t xml:space="preserve">c </w:t>
      </w:r>
      <w:r w:rsidRPr="00132417">
        <w:rPr>
          <w:rFonts w:eastAsia="HelenPro-Regular"/>
        </w:rPr>
        <w:t>16000).</w:t>
      </w:r>
    </w:p>
    <w:p w:rsidR="00132417" w:rsidRDefault="00132417" w:rsidP="00896F8C">
      <w:pPr>
        <w:rPr>
          <w:rFonts w:eastAsia="HelenPro-Bold"/>
          <w:b/>
          <w:bCs/>
        </w:rPr>
      </w:pPr>
    </w:p>
    <w:p w:rsidR="00896F8C" w:rsidRPr="00CB75C5" w:rsidRDefault="00896F8C" w:rsidP="00896F8C">
      <w:pPr>
        <w:rPr>
          <w:b/>
        </w:rPr>
      </w:pPr>
      <w:r w:rsidRPr="00132417">
        <w:rPr>
          <w:rFonts w:eastAsia="HelenPro-Bold"/>
          <w:b/>
          <w:bCs/>
        </w:rPr>
        <w:t xml:space="preserve">Methodology: </w:t>
      </w:r>
      <w:r w:rsidRPr="00132417">
        <w:rPr>
          <w:rFonts w:eastAsia="HelenPro-Regular"/>
        </w:rPr>
        <w:t>Alcohol Dehydrogenase</w:t>
      </w:r>
    </w:p>
    <w:p w:rsidR="00CF2F62" w:rsidRPr="000448CF" w:rsidRDefault="00CF2F62" w:rsidP="006559EB">
      <w:pPr>
        <w:rPr>
          <w:b/>
        </w:rPr>
      </w:pPr>
    </w:p>
    <w:p w:rsidR="001A41B0" w:rsidRDefault="001A41B0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Serum, plasma, and urine can be used for this assay.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Anticoagulants such as EDTA, citrate, fluoride/oxalate, and heparin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can be used for collection of plasma samples.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Collect urine specimens in plastic or glass containers. Testing of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fresh urine specimens is suggested. Samples within a pH range of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3 to 11 are suitable for testing with this assay.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Do not use alcohol as a disinfectant when collecting or storing blood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specimens.</w:t>
      </w:r>
    </w:p>
    <w:p w:rsidR="00DC16C5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An effort should be made to keep pipetted samples free of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gross debris. It is recommended that highly turbid specimens be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centrifuged before analysis. Adulteration of the urine sample may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cause erroneous results. If adulteration is suspected, obtain another</w:t>
      </w:r>
      <w:r w:rsidR="00E771AB">
        <w:rPr>
          <w:rFonts w:eastAsia="HelenPro-Regular"/>
        </w:rPr>
        <w:t xml:space="preserve"> </w:t>
      </w:r>
      <w:r w:rsidRPr="00132417">
        <w:rPr>
          <w:rFonts w:eastAsia="HelenPro-Regular"/>
        </w:rPr>
        <w:t>sample and forward both specimens to the laboratory for testing.</w:t>
      </w:r>
    </w:p>
    <w:p w:rsidR="000448CF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040E43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040E43">
        <w:rPr>
          <w:rFonts w:eastAsia="HelenPro-Regular"/>
          <w:b/>
        </w:rPr>
        <w:t>Specimen Storage</w:t>
      </w:r>
    </w:p>
    <w:p w:rsidR="000448CF" w:rsidRDefault="00E633EC" w:rsidP="00896F8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B75C5">
        <w:rPr>
          <w:rFonts w:eastAsia="HelenPro-Bold"/>
          <w:b/>
          <w:bCs/>
        </w:rPr>
        <w:t xml:space="preserve">Serum and Plasma: </w:t>
      </w:r>
    </w:p>
    <w:p w:rsid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7CCA0308" wp14:editId="687C1073">
            <wp:extent cx="4295775" cy="1009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</w:p>
    <w:p w:rsid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rFonts w:eastAsia="HelenPro-Regular"/>
          <w:b/>
        </w:rPr>
        <w:t>Urine</w:t>
      </w:r>
      <w:r>
        <w:rPr>
          <w:rFonts w:eastAsia="HelenPro-Regular"/>
        </w:rPr>
        <w:t>:</w:t>
      </w:r>
    </w:p>
    <w:p w:rsidR="004F6C28" w:rsidRDefault="00896F8C" w:rsidP="00880899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694698C4" wp14:editId="545F73E3">
            <wp:extent cx="4171950" cy="571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1" w:rsidRDefault="00316431" w:rsidP="00040E4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12178C" w:rsidRDefault="0012178C" w:rsidP="00AE6F5B">
      <w:pPr>
        <w:rPr>
          <w:b/>
          <w:sz w:val="28"/>
          <w:szCs w:val="28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CB75C5" w:rsidRDefault="00F7103F" w:rsidP="00973EAF">
      <w:pPr>
        <w:ind w:firstLine="720"/>
      </w:pPr>
      <w:r w:rsidRPr="00B81E9E">
        <w:rPr>
          <w:rFonts w:eastAsia="HelenPro-Regular"/>
        </w:rPr>
        <w:t xml:space="preserve"> </w:t>
      </w:r>
      <w:r w:rsidR="00132417">
        <w:rPr>
          <w:rFonts w:eastAsia="HelenPro-Regular"/>
        </w:rPr>
        <w:t>3L36</w:t>
      </w:r>
      <w:r w:rsidR="00E633EC" w:rsidRPr="00CB75C5">
        <w:rPr>
          <w:rFonts w:eastAsia="HelenPro-Regular"/>
        </w:rPr>
        <w:t xml:space="preserve"> </w:t>
      </w:r>
      <w:r w:rsidR="00132417">
        <w:rPr>
          <w:rFonts w:eastAsia="HelenPro-Regular"/>
        </w:rPr>
        <w:t>Ethanol</w:t>
      </w:r>
      <w:r w:rsidR="00E633EC" w:rsidRPr="00CB75C5">
        <w:rPr>
          <w:rFonts w:eastAsia="HelenPro-Regular"/>
        </w:rPr>
        <w:t xml:space="preserve"> Reagent Kit</w:t>
      </w:r>
    </w:p>
    <w:p w:rsidR="0060509E" w:rsidRDefault="0060509E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281D02" w:rsidRPr="00281D02" w:rsidRDefault="00281D02" w:rsidP="00281D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281D02">
        <w:rPr>
          <w:rFonts w:eastAsia="HelenPro-Regular"/>
        </w:rPr>
        <w:t>3L36-01 MULTIGENT Ethanol Neg Cal</w:t>
      </w:r>
    </w:p>
    <w:p w:rsidR="00281D02" w:rsidRPr="00281D02" w:rsidRDefault="00281D02" w:rsidP="00281D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281D02">
        <w:rPr>
          <w:rFonts w:eastAsia="HelenPro-Regular"/>
        </w:rPr>
        <w:t>3L36-02 MULTIGENT Ethanol 100 Cal</w:t>
      </w:r>
    </w:p>
    <w:p w:rsidR="00281D02" w:rsidRPr="00281D02" w:rsidRDefault="00281D02" w:rsidP="00281D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281D02">
        <w:rPr>
          <w:rFonts w:eastAsia="HelenPro-Regular"/>
        </w:rPr>
        <w:t>3L36-10 MULTIGENT Ethanol 50 Control</w:t>
      </w:r>
    </w:p>
    <w:p w:rsidR="00316431" w:rsidRPr="00281D02" w:rsidRDefault="00281D02" w:rsidP="00281D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281D02">
        <w:rPr>
          <w:rFonts w:eastAsia="HelenPro-Regular"/>
        </w:rPr>
        <w:t>3L36-12 MULTIGENT Ethanol 300 Control</w:t>
      </w:r>
    </w:p>
    <w:p w:rsidR="00C32412" w:rsidRPr="00281D02" w:rsidRDefault="00C3571A" w:rsidP="00281D0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281D02">
        <w:rPr>
          <w:rFonts w:eastAsia="HelenPro-Regular"/>
        </w:rPr>
        <w:t>Control Material</w:t>
      </w:r>
    </w:p>
    <w:p w:rsidR="0012178C" w:rsidRDefault="0012178C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>Standard on Bloodborne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The following warning and precaution apply to R1 and R2:</w:t>
      </w:r>
    </w:p>
    <w:p w:rsidR="00896F8C" w:rsidRPr="00132417" w:rsidRDefault="00896F8C" w:rsidP="00132417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132417">
        <w:rPr>
          <w:rFonts w:eastAsia="HelenPro-Regular"/>
        </w:rPr>
        <w:t>Contains sodium azide.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EUH032 Contact with acids liberates very toxic gas.</w:t>
      </w:r>
    </w:p>
    <w:p w:rsidR="00DC16C5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These materials and their container</w:t>
      </w:r>
      <w:r w:rsidR="00132417">
        <w:rPr>
          <w:rFonts w:eastAsia="HelenPro-Regular"/>
        </w:rPr>
        <w:t xml:space="preserve">s must be disposed of in a safe </w:t>
      </w:r>
      <w:r w:rsidRPr="00132417">
        <w:rPr>
          <w:rFonts w:eastAsia="HelenPro-Regular"/>
        </w:rPr>
        <w:t>way.</w:t>
      </w:r>
    </w:p>
    <w:p w:rsidR="00132417" w:rsidRDefault="0013241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•R1 Ready for use. Before use, invert several times, avoiding the</w:t>
      </w:r>
      <w:r w:rsidR="00132417">
        <w:rPr>
          <w:rFonts w:eastAsia="HelenPro-Regular"/>
        </w:rPr>
        <w:t xml:space="preserve"> </w:t>
      </w:r>
      <w:r w:rsidRPr="00132417">
        <w:rPr>
          <w:rFonts w:eastAsia="HelenPro-Regular"/>
        </w:rPr>
        <w:t>formation of bubbles.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•R2 Ready for use. Before use, invert several times, avoiding the</w:t>
      </w:r>
      <w:r w:rsidR="00132417">
        <w:rPr>
          <w:rFonts w:eastAsia="HelenPro-Regular"/>
        </w:rPr>
        <w:t xml:space="preserve"> </w:t>
      </w:r>
      <w:r w:rsidRPr="00132417">
        <w:rPr>
          <w:rFonts w:eastAsia="HelenPro-Regular"/>
        </w:rPr>
        <w:t>formation of bubbles.</w:t>
      </w:r>
      <w:r w:rsidR="00C32412" w:rsidRPr="00132417">
        <w:rPr>
          <w:rFonts w:eastAsia="HelenPro-Regular"/>
        </w:rPr>
        <w:t xml:space="preserve"> </w:t>
      </w:r>
    </w:p>
    <w:p w:rsidR="00C32412" w:rsidRPr="0013241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Remove air bubbles, if present in the reagent cartridge, with a new applicator stick. Alternatively, allow the reagent to sit at the appropriate storage temperature to allow the bubbles to dissipate.</w:t>
      </w:r>
    </w:p>
    <w:p w:rsidR="00C32412" w:rsidRPr="0013241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To minimize volume depletion, do not use a transfer pipette to remove the bubbles.</w:t>
      </w:r>
    </w:p>
    <w:p w:rsidR="00C32412" w:rsidRPr="0013241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Bold"/>
          <w:b/>
          <w:bCs/>
        </w:rPr>
        <w:t xml:space="preserve">CAUTION: </w:t>
      </w:r>
      <w:r w:rsidRPr="00132417">
        <w:rPr>
          <w:rFonts w:eastAsia="HelenPro-Regular"/>
        </w:rPr>
        <w:t>Reagent bubbles may interfere with proper detection of reagent level in the cartridge, causing insufficient reagent aspiration that could impact results.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Whe</w:t>
      </w:r>
      <w:r w:rsidR="00132417">
        <w:rPr>
          <w:rFonts w:eastAsia="HelenPro-Regular"/>
        </w:rPr>
        <w:t>n either</w:t>
      </w:r>
      <w:r w:rsidR="00DB46C1">
        <w:rPr>
          <w:rFonts w:eastAsia="HelenPro-Regular"/>
        </w:rPr>
        <w:t xml:space="preserve"> </w:t>
      </w:r>
      <w:r w:rsidRPr="00132417">
        <w:rPr>
          <w:rFonts w:eastAsia="HelenPro-Regular"/>
        </w:rPr>
        <w:t>the R1 orR2 the reagent cartridge becomes empty,</w:t>
      </w:r>
      <w:r w:rsidR="00132417">
        <w:rPr>
          <w:rFonts w:eastAsia="HelenPro-Regular"/>
        </w:rPr>
        <w:t xml:space="preserve"> </w:t>
      </w:r>
      <w:r w:rsidRPr="00132417">
        <w:rPr>
          <w:rFonts w:eastAsia="HelenPro-Regular"/>
        </w:rPr>
        <w:t>replace both cartridges and validate the system by analyzing</w:t>
      </w:r>
      <w:r w:rsidR="00132417">
        <w:rPr>
          <w:rFonts w:eastAsia="HelenPro-Regular"/>
        </w:rPr>
        <w:t xml:space="preserve"> </w:t>
      </w:r>
      <w:r w:rsidRPr="00132417">
        <w:rPr>
          <w:rFonts w:eastAsia="HelenPro-Regular"/>
        </w:rPr>
        <w:t>controls.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896F8C">
        <w:rPr>
          <w:rFonts w:eastAsia="HelenPro-Regular"/>
        </w:rPr>
        <w:t>56</w:t>
      </w:r>
      <w:r w:rsidR="004B5F9D">
        <w:rPr>
          <w:rFonts w:eastAsia="HelenPro-Regular"/>
        </w:rPr>
        <w:t xml:space="preserve"> </w:t>
      </w:r>
      <w:r w:rsidRPr="00C32412">
        <w:rPr>
          <w:rFonts w:eastAsia="HelenPro-Regular"/>
        </w:rPr>
        <w:t>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3D376A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3L36-20 MULTIGENT Ethanol is supp</w:t>
      </w:r>
      <w:r w:rsidR="00132417">
        <w:rPr>
          <w:rFonts w:eastAsia="HelenPro-Regular"/>
        </w:rPr>
        <w:t xml:space="preserve">lied as a liquid, ready-to-use, </w:t>
      </w:r>
      <w:r w:rsidRPr="00132417">
        <w:rPr>
          <w:rFonts w:eastAsia="HelenPro-Regular"/>
        </w:rPr>
        <w:t>two-reagent kit which contains</w:t>
      </w:r>
      <w:r>
        <w:rPr>
          <w:rFonts w:ascii="HelenPro-Regular" w:eastAsia="HelenPro-Regular" w:cs="HelenPro-Regular"/>
          <w:sz w:val="16"/>
          <w:szCs w:val="16"/>
        </w:rPr>
        <w:t>:</w:t>
      </w:r>
    </w:p>
    <w:p w:rsidR="00D64E39" w:rsidRPr="00D64E39" w:rsidRDefault="00020469" w:rsidP="00896F8C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  <w:b/>
          <w:bCs/>
        </w:rPr>
        <w:t>R1 &amp; R2</w:t>
      </w:r>
    </w:p>
    <w:p w:rsidR="00D64E39" w:rsidRPr="00E54019" w:rsidRDefault="00896F8C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357D9A91" wp14:editId="3599EE6C">
            <wp:extent cx="4162425" cy="1343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8C" w:rsidRDefault="00B36577" w:rsidP="00896F8C">
      <w:pPr>
        <w:autoSpaceDE w:val="0"/>
        <w:autoSpaceDN w:val="0"/>
        <w:adjustRightInd w:val="0"/>
      </w:pPr>
      <w:r w:rsidRPr="00896F8C">
        <w:rPr>
          <w:b/>
        </w:rPr>
        <w:t>Calibrator:</w:t>
      </w:r>
      <w:r w:rsidRPr="00100BF8">
        <w:t xml:space="preserve">  </w:t>
      </w:r>
    </w:p>
    <w:p w:rsidR="00896F8C" w:rsidRP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rFonts w:eastAsia="HelenPro-Regular"/>
        </w:rPr>
        <w:t>3L36-01 MULTIGENT Ethanol Neg Cal</w:t>
      </w:r>
    </w:p>
    <w:p w:rsidR="00896F8C" w:rsidRP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rFonts w:eastAsia="HelenPro-Regular"/>
        </w:rPr>
        <w:lastRenderedPageBreak/>
        <w:t>3L36-02 MULTIGENT Ethanol 100 Cal</w:t>
      </w:r>
    </w:p>
    <w:p w:rsidR="00C3571A" w:rsidRPr="00C3571A" w:rsidRDefault="00C3571A" w:rsidP="00C3571A">
      <w:pPr>
        <w:autoSpaceDE w:val="0"/>
        <w:autoSpaceDN w:val="0"/>
        <w:adjustRightInd w:val="0"/>
        <w:rPr>
          <w:rFonts w:eastAsia="HelenPro-Regular"/>
        </w:rPr>
      </w:pPr>
    </w:p>
    <w:p w:rsidR="00896F8C" w:rsidRPr="00896F8C" w:rsidRDefault="00B36577" w:rsidP="00896F8C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b/>
          <w:szCs w:val="14"/>
        </w:rPr>
        <w:t>Quality Control:</w:t>
      </w:r>
      <w:r w:rsidR="00CA11D0" w:rsidRPr="00896F8C">
        <w:rPr>
          <w:szCs w:val="14"/>
        </w:rPr>
        <w:t xml:space="preserve">  </w:t>
      </w:r>
    </w:p>
    <w:p w:rsidR="00896F8C" w:rsidRP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rFonts w:eastAsia="HelenPro-Regular"/>
        </w:rPr>
        <w:t>3L36-10 MULTIGENT Ethanol 50 Control</w:t>
      </w:r>
    </w:p>
    <w:p w:rsidR="00973EAF" w:rsidRPr="00973EAF" w:rsidRDefault="00896F8C" w:rsidP="00896F8C">
      <w:pPr>
        <w:spacing w:after="43"/>
        <w:rPr>
          <w:i/>
          <w:color w:val="FF0000"/>
          <w:szCs w:val="15"/>
        </w:rPr>
      </w:pPr>
      <w:r w:rsidRPr="00281D02">
        <w:rPr>
          <w:rFonts w:eastAsia="HelenPro-Regular"/>
        </w:rPr>
        <w:t>3L36-12 MULTIGENT Ethanol 300 Control</w:t>
      </w:r>
    </w:p>
    <w:p w:rsidR="00316431" w:rsidRDefault="00316431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Pr="00316431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4787B">
        <w:t xml:space="preserve">Calibration is stable for </w:t>
      </w:r>
      <w:r w:rsidR="00896F8C">
        <w:t>13</w:t>
      </w:r>
      <w:r w:rsidRPr="00E4787B">
        <w:t xml:space="preserve"> days </w:t>
      </w:r>
      <w:r w:rsidR="00896F8C">
        <w:t xml:space="preserve">(312 hours) </w:t>
      </w:r>
      <w:r w:rsidR="00AF597C" w:rsidRPr="0055619E">
        <w:t>for any one lot.</w:t>
      </w:r>
      <w:r>
        <w:t xml:space="preserve"> </w:t>
      </w:r>
      <w:r w:rsidR="00316431" w:rsidRPr="00316431">
        <w:rPr>
          <w:rFonts w:eastAsia="HelenPro-Regular"/>
        </w:rPr>
        <w:t>Calibration</w:t>
      </w:r>
      <w:r w:rsidR="00316431">
        <w:rPr>
          <w:rFonts w:eastAsia="HelenPro-Regular"/>
        </w:rPr>
        <w:t xml:space="preserve"> </w:t>
      </w:r>
      <w:r w:rsidR="00316431" w:rsidRPr="00316431">
        <w:rPr>
          <w:rFonts w:eastAsia="HelenPro-Regular"/>
        </w:rPr>
        <w:t>is required with each change in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132417" w:rsidRDefault="00132417" w:rsidP="00CC3D62">
      <w:pPr>
        <w:autoSpaceDE w:val="0"/>
        <w:autoSpaceDN w:val="0"/>
        <w:adjustRightInd w:val="0"/>
        <w:ind w:left="720"/>
        <w:rPr>
          <w:b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896F8C" w:rsidRDefault="005E3AB5" w:rsidP="00896F8C">
      <w:pPr>
        <w:autoSpaceDE w:val="0"/>
        <w:autoSpaceDN w:val="0"/>
        <w:adjustRightInd w:val="0"/>
        <w:ind w:left="720"/>
      </w:pPr>
      <w:r w:rsidRPr="007E4CE6">
        <w:rPr>
          <w:b/>
        </w:rPr>
        <w:t>Calibrator Required:</w:t>
      </w:r>
      <w:r w:rsidRPr="007E4CE6">
        <w:t xml:space="preserve">  </w:t>
      </w:r>
    </w:p>
    <w:p w:rsidR="00896F8C" w:rsidRPr="00896F8C" w:rsidRDefault="00896F8C" w:rsidP="00896F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96F8C">
        <w:rPr>
          <w:rFonts w:eastAsia="HelenPro-Regular"/>
        </w:rPr>
        <w:t>3L36-01 MULTIGENT Ethanol Neg Cal</w:t>
      </w:r>
    </w:p>
    <w:p w:rsidR="00656BB9" w:rsidRPr="00973EAF" w:rsidRDefault="00896F8C" w:rsidP="00896F8C">
      <w:pPr>
        <w:spacing w:after="43"/>
        <w:ind w:firstLine="720"/>
        <w:rPr>
          <w:i/>
          <w:color w:val="FF0000"/>
          <w:szCs w:val="15"/>
        </w:rPr>
      </w:pPr>
      <w:r w:rsidRPr="00896F8C">
        <w:rPr>
          <w:rFonts w:eastAsia="HelenPro-Regular"/>
        </w:rPr>
        <w:t>3L36-02 MULTIGENT Ethanol 100 Cal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593A06" w:rsidRDefault="00593A06" w:rsidP="004F5F8A">
      <w:pPr>
        <w:ind w:firstLine="720"/>
        <w:rPr>
          <w:b/>
        </w:rPr>
      </w:pPr>
    </w:p>
    <w:p w:rsidR="00593A06" w:rsidRDefault="00593A06" w:rsidP="004F5F8A">
      <w:pPr>
        <w:ind w:firstLine="720"/>
        <w:rPr>
          <w:b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The MULTIGENT Ethanol Calibrators and Controls are liquid and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ready-to-use. The MULTIGENT Ethanol Neg Cal consists of TRIS buffer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with sodium azide as a preservative. The MULTIGENT Ethanol 100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Cal, MULTIGENT Ethanol 50 Control, and the MULTIGENT Ethanol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300 Control are prepared by spiking the MULTIGENT Ethanol Neg Cal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with a known quantity of ethanol. The MULTIGENT Ethanol Neg Cal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and MULTIGENT Ethanol 100 Cal are used to calibrate the assay.</w:t>
      </w:r>
    </w:p>
    <w:p w:rsidR="003D376A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The MULTIGENT Ethanol 50 Co</w:t>
      </w:r>
      <w:r>
        <w:rPr>
          <w:rFonts w:eastAsia="HelenPro-Regular"/>
        </w:rPr>
        <w:t xml:space="preserve">ntrol and MULTIGENT Ethanol 300 </w:t>
      </w:r>
      <w:r w:rsidRPr="00593A06">
        <w:rPr>
          <w:rFonts w:eastAsia="HelenPro-Regular"/>
        </w:rPr>
        <w:t>Control are used to validate assay performance. The MULTIGENT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Ethanol Neg Cal can also be used for dilution of samples with ethanol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concentrations greater than 600 mg/dL.</w:t>
      </w:r>
    </w:p>
    <w:p w:rsidR="00593A06" w:rsidRDefault="00593A06" w:rsidP="00F3700B">
      <w:pPr>
        <w:ind w:left="720"/>
        <w:rPr>
          <w:b/>
        </w:rPr>
      </w:pPr>
    </w:p>
    <w:p w:rsidR="00F3700B" w:rsidRPr="00593A06" w:rsidRDefault="0037463A" w:rsidP="00F3700B">
      <w:pPr>
        <w:ind w:left="720"/>
      </w:pPr>
      <w:r w:rsidRPr="00593A06">
        <w:rPr>
          <w:b/>
        </w:rPr>
        <w:t xml:space="preserve">Calibrator Preparation: </w:t>
      </w:r>
    </w:p>
    <w:p w:rsidR="003D38B7" w:rsidRPr="00593A06" w:rsidRDefault="00593A06" w:rsidP="00DC4702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The MULTIGENT Ethanol Calibrators and Controls are ready-to-use.</w:t>
      </w:r>
    </w:p>
    <w:p w:rsidR="00DC4702" w:rsidRPr="00593A06" w:rsidRDefault="00DC4702" w:rsidP="00AD402C">
      <w:pPr>
        <w:ind w:firstLine="720"/>
        <w:rPr>
          <w:b/>
        </w:rPr>
      </w:pPr>
    </w:p>
    <w:p w:rsidR="004F5F8A" w:rsidRPr="00593A06" w:rsidRDefault="0025031C" w:rsidP="00AD402C">
      <w:pPr>
        <w:ind w:firstLine="720"/>
        <w:rPr>
          <w:b/>
        </w:rPr>
      </w:pPr>
      <w:r w:rsidRPr="00593A06">
        <w:rPr>
          <w:b/>
        </w:rPr>
        <w:t>Calibration Procedure:</w:t>
      </w:r>
      <w:r w:rsidR="0006502B" w:rsidRPr="00593A06">
        <w:rPr>
          <w:b/>
        </w:rPr>
        <w:t xml:space="preserve"> 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Before performing the assay, refe</w:t>
      </w:r>
      <w:r>
        <w:rPr>
          <w:rFonts w:eastAsia="HelenPro-Regular"/>
        </w:rPr>
        <w:t xml:space="preserve">r to the ASSAY PARAMETERS which </w:t>
      </w:r>
      <w:r w:rsidRPr="00593A06">
        <w:rPr>
          <w:rFonts w:eastAsia="HelenPro-Regular"/>
        </w:rPr>
        <w:t>are included in the MULTIGENT Ethanol reagent package insert. The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 xml:space="preserve">parameters contain additional instructions for </w:t>
      </w:r>
      <w:r w:rsidRPr="00593A06">
        <w:rPr>
          <w:rFonts w:eastAsia="HelenPro-Regular"/>
        </w:rPr>
        <w:lastRenderedPageBreak/>
        <w:t>using a quantitative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protocol. For further instructions refer to the CALIBRATION and QUALITY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CONTROL sections of the MULTIGENT Ethanol reagent package insert.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1. Verify that the calibrator value</w:t>
      </w:r>
      <w:r>
        <w:rPr>
          <w:rFonts w:eastAsia="HelenPro-Regular"/>
        </w:rPr>
        <w:t xml:space="preserve">s are correct in the instrument </w:t>
      </w:r>
      <w:r w:rsidRPr="00593A06">
        <w:rPr>
          <w:rFonts w:eastAsia="HelenPro-Regular"/>
        </w:rPr>
        <w:t>parameter files.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2. Mix bottles by gentle inversion several times.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3. Open the bottles, place appr</w:t>
      </w:r>
      <w:r>
        <w:rPr>
          <w:rFonts w:eastAsia="HelenPro-Regular"/>
        </w:rPr>
        <w:t xml:space="preserve">opriate amounts of the required </w:t>
      </w:r>
      <w:r w:rsidRPr="00593A06">
        <w:rPr>
          <w:rFonts w:eastAsia="HelenPro-Regular"/>
        </w:rPr>
        <w:t>calibrators and/or controls in separate sample cups, and place in</w:t>
      </w:r>
      <w:r>
        <w:rPr>
          <w:rFonts w:eastAsia="HelenPro-Regular"/>
        </w:rPr>
        <w:t xml:space="preserve"> </w:t>
      </w:r>
      <w:r w:rsidRPr="00593A06">
        <w:rPr>
          <w:rFonts w:eastAsia="HelenPro-Regular"/>
        </w:rPr>
        <w:t>the assigned positions.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Bold"/>
          <w:b/>
          <w:bCs/>
        </w:rPr>
        <w:t xml:space="preserve">NOTE: </w:t>
      </w:r>
      <w:r w:rsidRPr="00593A06">
        <w:rPr>
          <w:rFonts w:eastAsia="HelenPro-Regular"/>
        </w:rPr>
        <w:t>Immediately cap bottles tig</w:t>
      </w:r>
      <w:r>
        <w:rPr>
          <w:rFonts w:eastAsia="HelenPro-Regular"/>
        </w:rPr>
        <w:t xml:space="preserve">htly and return to refrigerated </w:t>
      </w:r>
      <w:r w:rsidRPr="00593A06">
        <w:rPr>
          <w:rFonts w:eastAsia="HelenPro-Regular"/>
        </w:rPr>
        <w:t>storage. Always return each cap to its original bottle.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593A06">
        <w:rPr>
          <w:rFonts w:eastAsia="HelenPro-Regular"/>
        </w:rPr>
        <w:t xml:space="preserve">4. Calibrate as outlined in </w:t>
      </w:r>
      <w:r w:rsidRPr="00593A06">
        <w:rPr>
          <w:rFonts w:eastAsia="HelenPro-Regular"/>
          <w:i/>
          <w:iCs/>
        </w:rPr>
        <w:t xml:space="preserve">Section 6 </w:t>
      </w:r>
      <w:r w:rsidRPr="00593A06">
        <w:rPr>
          <w:rFonts w:eastAsia="HelenPro-Regular"/>
        </w:rPr>
        <w:t xml:space="preserve">of the </w:t>
      </w:r>
      <w:r>
        <w:rPr>
          <w:rFonts w:eastAsia="HelenPro-Bold"/>
          <w:b/>
          <w:bCs/>
        </w:rPr>
        <w:t xml:space="preserve">ARCHITECT System </w:t>
      </w:r>
      <w:r w:rsidRPr="00593A06">
        <w:rPr>
          <w:rFonts w:eastAsia="HelenPro-Bold"/>
          <w:b/>
          <w:bCs/>
        </w:rPr>
        <w:t>Operations Manual</w:t>
      </w:r>
      <w:r w:rsidRPr="00593A06">
        <w:rPr>
          <w:rFonts w:eastAsia="HelenPro-Regular"/>
        </w:rPr>
        <w:t>.</w:t>
      </w:r>
    </w:p>
    <w:p w:rsidR="00593A06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5. Follow the established quality control</w:t>
      </w:r>
      <w:r>
        <w:rPr>
          <w:rFonts w:eastAsia="HelenPro-Regular"/>
        </w:rPr>
        <w:t xml:space="preserve"> procedures for your laboratory </w:t>
      </w:r>
      <w:r w:rsidRPr="00593A06">
        <w:rPr>
          <w:rFonts w:eastAsia="HelenPro-Regular"/>
        </w:rPr>
        <w:t xml:space="preserve">and the instructions found in </w:t>
      </w:r>
      <w:r w:rsidRPr="00593A06">
        <w:rPr>
          <w:rFonts w:eastAsia="HelenPro-Regular"/>
          <w:i/>
          <w:iCs/>
        </w:rPr>
        <w:t xml:space="preserve">Section 5 </w:t>
      </w:r>
      <w:r w:rsidRPr="00593A06">
        <w:rPr>
          <w:rFonts w:eastAsia="HelenPro-Regular"/>
        </w:rPr>
        <w:t xml:space="preserve">of the </w:t>
      </w:r>
      <w:r w:rsidRPr="00593A06">
        <w:rPr>
          <w:rFonts w:eastAsia="HelenPro-Bold"/>
          <w:b/>
          <w:bCs/>
        </w:rPr>
        <w:t>ARCHITECT System</w:t>
      </w:r>
      <w:r>
        <w:rPr>
          <w:rFonts w:eastAsia="HelenPro-Regular"/>
        </w:rPr>
        <w:t xml:space="preserve"> </w:t>
      </w:r>
      <w:r w:rsidRPr="00593A06">
        <w:rPr>
          <w:rFonts w:eastAsia="HelenPro-Bold"/>
          <w:b/>
          <w:bCs/>
        </w:rPr>
        <w:t>Operations Manual</w:t>
      </w:r>
      <w:r w:rsidRPr="00593A06">
        <w:rPr>
          <w:rFonts w:eastAsia="HelenPro-Regular"/>
        </w:rPr>
        <w:t>.</w:t>
      </w:r>
    </w:p>
    <w:p w:rsidR="00CF2F62" w:rsidRPr="00593A06" w:rsidRDefault="00593A06" w:rsidP="00593A0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93A06">
        <w:rPr>
          <w:rFonts w:eastAsia="HelenPro-Regular"/>
        </w:rPr>
        <w:t>6. Verify control results are within acc</w:t>
      </w:r>
      <w:r>
        <w:rPr>
          <w:rFonts w:eastAsia="HelenPro-Regular"/>
        </w:rPr>
        <w:t xml:space="preserve">eptable limits before reporting </w:t>
      </w:r>
      <w:r w:rsidRPr="00593A06">
        <w:rPr>
          <w:rFonts w:eastAsia="HelenPro-Regular"/>
        </w:rPr>
        <w:t>patient results.</w:t>
      </w:r>
    </w:p>
    <w:p w:rsidR="00F3700B" w:rsidRPr="00CF2F62" w:rsidRDefault="00F3700B" w:rsidP="00DB679E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132417" w:rsidRDefault="00132417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B7BA9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 xml:space="preserve">Results for the MULTIGENT Ethanol </w:t>
      </w:r>
      <w:r>
        <w:rPr>
          <w:rFonts w:eastAsia="HelenPro-Regular"/>
        </w:rPr>
        <w:t xml:space="preserve">assay can be reported as mg/dL, </w:t>
      </w:r>
      <w:r w:rsidRPr="00132417">
        <w:rPr>
          <w:rFonts w:eastAsia="HelenPro-Regular"/>
        </w:rPr>
        <w:t>mmol/L, or percentage (%).</w:t>
      </w:r>
    </w:p>
    <w:p w:rsidR="00132417" w:rsidRDefault="00132417" w:rsidP="00AB793D">
      <w:pPr>
        <w:rPr>
          <w:rFonts w:ascii="Arial" w:hAnsi="Arial" w:cs="Arial"/>
          <w:b/>
          <w:bCs/>
          <w:sz w:val="28"/>
          <w:szCs w:val="28"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12178C" w:rsidRDefault="0012178C" w:rsidP="00AB793D">
      <w:pPr>
        <w:rPr>
          <w:rFonts w:ascii="Arial" w:hAnsi="Arial" w:cs="Arial"/>
          <w:b/>
          <w:bCs/>
        </w:rPr>
      </w:pPr>
    </w:p>
    <w:p w:rsidR="00132417" w:rsidRPr="00132417" w:rsidRDefault="0038442D" w:rsidP="00724EE2">
      <w:pPr>
        <w:rPr>
          <w:rFonts w:eastAsia="HelenPro-Bold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132417" w:rsidRPr="00132417">
        <w:rPr>
          <w:rFonts w:eastAsia="HelenPro-Bold"/>
          <w:b/>
          <w:bCs/>
        </w:rPr>
        <w:t>Serum/Plasma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rate of alcohol metabolism and exc</w:t>
      </w:r>
      <w:r>
        <w:rPr>
          <w:rFonts w:eastAsia="HelenPro-Regular"/>
        </w:rPr>
        <w:t xml:space="preserve">retion varies among individuals </w:t>
      </w:r>
      <w:r w:rsidRPr="00132417">
        <w:rPr>
          <w:rFonts w:eastAsia="HelenPro-Regular"/>
        </w:rPr>
        <w:t>and is dependent upon factors such as gender, age, body weight,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stomach content, concurrent use of medication, and health condition.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legal definition of intoxication varies.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Urine</w:t>
      </w:r>
    </w:p>
    <w:p w:rsidR="004B5F9D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Urine ethanol concentrations a</w:t>
      </w:r>
      <w:r>
        <w:rPr>
          <w:rFonts w:eastAsia="HelenPro-Regular"/>
        </w:rPr>
        <w:t xml:space="preserve">re often used to estimate blood </w:t>
      </w:r>
      <w:r w:rsidRPr="00132417">
        <w:rPr>
          <w:rFonts w:eastAsia="HelenPro-Regular"/>
        </w:rPr>
        <w:t>concentrations. During the elimination phase, the urine/blood ratio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of 1.3 applies and provides a valid estimate in most cases</w:t>
      </w:r>
    </w:p>
    <w:p w:rsidR="0012178C" w:rsidRDefault="0012178C" w:rsidP="00AB793D">
      <w:pPr>
        <w:rPr>
          <w:rFonts w:ascii="Arial" w:hAnsi="Arial" w:cs="Arial"/>
          <w:b/>
          <w:bCs/>
        </w:rPr>
      </w:pPr>
    </w:p>
    <w:p w:rsidR="0055619E" w:rsidRPr="0038442D" w:rsidRDefault="00724EE2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Serum/Plasma: 0.0 – 0.010 g/dL</w:t>
      </w:r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724EE2">
        <w:rPr>
          <w:b/>
        </w:rPr>
        <w:t>: &gt;0.081 g/dL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Sensitivity</w:t>
      </w:r>
    </w:p>
    <w:p w:rsidR="00CF2F62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Sensitivity, defined as the lowest concentration that can be differentiated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from the negative calibrator with 99% confidence, is 10.0 mg/dL.</w:t>
      </w:r>
    </w:p>
    <w:p w:rsidR="00B81E9E" w:rsidRPr="00132417" w:rsidRDefault="00B81E9E" w:rsidP="00920BF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593A06" w:rsidRDefault="00593A06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Linearity</w:t>
      </w:r>
    </w:p>
    <w:p w:rsidR="00B81E9E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MULTIGENT Ethanol assay can accurately quantitate alcohol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concentrations within a range of 10.0 mg/dL (0.01%) to 600.0 mg/dL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(0.6%).</w:t>
      </w:r>
    </w:p>
    <w:p w:rsidR="00B81E9E" w:rsidRPr="00132417" w:rsidRDefault="00B81E9E" w:rsidP="00B81E9E">
      <w:pPr>
        <w:ind w:left="90"/>
        <w:rPr>
          <w:rFonts w:eastAsia="HelenPro-Bold"/>
          <w:b/>
          <w:bCs/>
        </w:rPr>
      </w:pPr>
    </w:p>
    <w:p w:rsidR="00912FE4" w:rsidRPr="00132417" w:rsidRDefault="00912FE4" w:rsidP="0012178C">
      <w:pPr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Dilution:</w:t>
      </w:r>
      <w:r w:rsidR="00973EAF" w:rsidRPr="00132417">
        <w:rPr>
          <w:rFonts w:eastAsia="HelenPro-Bold"/>
          <w:b/>
          <w:bCs/>
        </w:rPr>
        <w:t xml:space="preserve"> 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Samples exceeding 600.0 mg/dL may be manually diluted with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MULTIGENT Ethanol Neg Cal and rerun.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dilution must be performed so the diluted test results read greater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than the assay sensitivity of 10.0 mg/dL.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operator must enter the manual dilution factor in the patient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or control order screen. The system uses this dilution factor to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automatically correct the concentration by multiplying the result by the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entered factor. The printed result is the reportable result if no errors are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present.</w:t>
      </w:r>
    </w:p>
    <w:p w:rsidR="00DC4702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Bold"/>
          <w:b/>
          <w:bCs/>
        </w:rPr>
        <w:t xml:space="preserve">NOTE: </w:t>
      </w:r>
      <w:r w:rsidRPr="00132417">
        <w:rPr>
          <w:rFonts w:eastAsia="HelenPro-Regular"/>
        </w:rPr>
        <w:t>If the operator does not enter the manual dilution factor, the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printed result must be multiplied by the manual dilution factor before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reporting the result.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noProof/>
        </w:rPr>
        <w:drawing>
          <wp:inline distT="0" distB="0" distL="0" distR="0" wp14:anchorId="6748AB35" wp14:editId="69DD04D7">
            <wp:extent cx="421005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 xml:space="preserve">For detailed information on ordering dilutions, refer to </w:t>
      </w:r>
      <w:r w:rsidRPr="00132417">
        <w:rPr>
          <w:rFonts w:eastAsia="HelenPro-Regular"/>
          <w:i/>
          <w:iCs/>
        </w:rPr>
        <w:t xml:space="preserve">Section 5 </w:t>
      </w:r>
      <w:r w:rsidRPr="00132417">
        <w:rPr>
          <w:rFonts w:eastAsia="HelenPro-Regular"/>
        </w:rPr>
        <w:t>of the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Bold"/>
          <w:b/>
          <w:bCs/>
        </w:rPr>
        <w:t>ARCHITECT System Operations Manual</w:t>
      </w:r>
      <w:r w:rsidRPr="00132417">
        <w:rPr>
          <w:rFonts w:eastAsia="HelenPro-Regular"/>
        </w:rPr>
        <w:t>.</w:t>
      </w:r>
    </w:p>
    <w:p w:rsidR="00B81E9E" w:rsidRPr="00132417" w:rsidRDefault="00B81E9E" w:rsidP="00F95946">
      <w:pPr>
        <w:rPr>
          <w:b/>
          <w:color w:val="000000"/>
        </w:rPr>
      </w:pP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Specificity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following data were genera</w:t>
      </w:r>
      <w:r>
        <w:rPr>
          <w:rFonts w:eastAsia="HelenPro-Regular"/>
        </w:rPr>
        <w:t xml:space="preserve">ted using the same reagent on a </w:t>
      </w:r>
      <w:r w:rsidRPr="00132417">
        <w:rPr>
          <w:rFonts w:eastAsia="HelenPro-Regular"/>
        </w:rPr>
        <w:t>commercially available clinical chemistry analyzer.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Various structurally related organic compounds were tested for cross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reactivity in the assay. The following table summarizes the results:</w:t>
      </w:r>
    </w:p>
    <w:p w:rsidR="00132417" w:rsidRPr="00132417" w:rsidRDefault="00132417" w:rsidP="00132417">
      <w:pPr>
        <w:rPr>
          <w:b/>
          <w:color w:val="000000"/>
        </w:rPr>
      </w:pPr>
      <w:r w:rsidRPr="00132417">
        <w:rPr>
          <w:noProof/>
        </w:rPr>
        <w:lastRenderedPageBreak/>
        <w:drawing>
          <wp:inline distT="0" distB="0" distL="0" distR="0" wp14:anchorId="5F0F9E38" wp14:editId="7535BCAE">
            <wp:extent cx="4219575" cy="19335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8C" w:rsidRPr="00132417" w:rsidRDefault="0012178C" w:rsidP="00F95946">
      <w:pPr>
        <w:rPr>
          <w:b/>
          <w:color w:val="000000"/>
        </w:rPr>
      </w:pPr>
    </w:p>
    <w:p w:rsidR="00912FE4" w:rsidRPr="00132417" w:rsidRDefault="00912FE4" w:rsidP="00F95946">
      <w:pPr>
        <w:rPr>
          <w:rFonts w:eastAsia="HelenPro-Regular"/>
        </w:rPr>
      </w:pPr>
      <w:r w:rsidRPr="00132417">
        <w:rPr>
          <w:b/>
          <w:color w:val="000000"/>
        </w:rPr>
        <w:t>Precision:</w:t>
      </w:r>
      <w:r w:rsidR="0038442D" w:rsidRPr="00132417">
        <w:rPr>
          <w:b/>
          <w:color w:val="000000"/>
        </w:rPr>
        <w:t xml:space="preserve"> </w:t>
      </w:r>
    </w:p>
    <w:p w:rsidR="00CB75C5" w:rsidRPr="00132417" w:rsidRDefault="00132417" w:rsidP="00F95946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 xml:space="preserve">Precision on an ARCHITECT </w:t>
      </w:r>
      <w:r w:rsidRPr="00132417">
        <w:rPr>
          <w:rFonts w:eastAsia="HelenPro-Regular"/>
          <w:i/>
          <w:iCs/>
        </w:rPr>
        <w:t xml:space="preserve">c </w:t>
      </w:r>
      <w:r w:rsidRPr="00132417">
        <w:rPr>
          <w:rFonts w:eastAsia="HelenPro-Regular"/>
        </w:rPr>
        <w:t xml:space="preserve">System is </w:t>
      </w:r>
      <w:r w:rsidRPr="00132417">
        <w:rPr>
          <w:rFonts w:eastAsia="HelenPro-Light"/>
        </w:rPr>
        <w:t xml:space="preserve">≤ </w:t>
      </w:r>
      <w:r w:rsidRPr="00132417">
        <w:rPr>
          <w:rFonts w:eastAsia="HelenPro-Regular"/>
        </w:rPr>
        <w:t>5% total CV.</w:t>
      </w:r>
    </w:p>
    <w:p w:rsidR="00132417" w:rsidRPr="00132417" w:rsidRDefault="00132417" w:rsidP="00F95946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noProof/>
        </w:rPr>
        <w:drawing>
          <wp:inline distT="0" distB="0" distL="0" distR="0" wp14:anchorId="29946675" wp14:editId="3D2B6B19">
            <wp:extent cx="4210050" cy="1200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132417" w:rsidRDefault="00C53E37" w:rsidP="00C53E37">
      <w:pPr>
        <w:pStyle w:val="Heading4"/>
        <w:rPr>
          <w:sz w:val="24"/>
          <w:szCs w:val="24"/>
        </w:rPr>
      </w:pPr>
      <w:r w:rsidRPr="00132417">
        <w:rPr>
          <w:sz w:val="24"/>
          <w:szCs w:val="24"/>
        </w:rPr>
        <w:t>Limitations of Procedure</w:t>
      </w:r>
      <w:r w:rsidR="00973EAF" w:rsidRPr="00132417">
        <w:rPr>
          <w:sz w:val="24"/>
          <w:szCs w:val="24"/>
        </w:rPr>
        <w:t xml:space="preserve"> 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Legal alcohol intoxication levels vary. The test result should be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interpreted in light of clinical signs and symptoms.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The test is designed for use with</w:t>
      </w:r>
      <w:r>
        <w:rPr>
          <w:rFonts w:eastAsia="HelenPro-Regular"/>
        </w:rPr>
        <w:t xml:space="preserve"> human urine, serum, and plasma </w:t>
      </w:r>
      <w:r w:rsidRPr="00132417">
        <w:rPr>
          <w:rFonts w:eastAsia="HelenPro-Regular"/>
        </w:rPr>
        <w:t>only.</w:t>
      </w: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Increased levels of lactic acid an</w:t>
      </w:r>
      <w:r>
        <w:rPr>
          <w:rFonts w:eastAsia="HelenPro-Regular"/>
        </w:rPr>
        <w:t xml:space="preserve">d LDH in postmortem samples may </w:t>
      </w:r>
      <w:r w:rsidRPr="00132417">
        <w:rPr>
          <w:rFonts w:eastAsia="HelenPro-Regular"/>
        </w:rPr>
        <w:t>cause elevated ethyl alcohol results.</w:t>
      </w:r>
    </w:p>
    <w:p w:rsidR="001A41B0" w:rsidRPr="00132417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• It is possible that other substances and</w:t>
      </w:r>
      <w:r>
        <w:rPr>
          <w:rFonts w:eastAsia="HelenPro-Regular"/>
        </w:rPr>
        <w:t xml:space="preserve">/or factors (e.g., technical or </w:t>
      </w:r>
      <w:r w:rsidRPr="00132417">
        <w:rPr>
          <w:rFonts w:eastAsia="HelenPro-Regular"/>
        </w:rPr>
        <w:t>procedural errors) not listed in the Specificity table may interfere with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the test and cause false results.</w:t>
      </w:r>
    </w:p>
    <w:p w:rsidR="00B81E9E" w:rsidRPr="00132417" w:rsidRDefault="00B81E9E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132417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Interfering Substances</w:t>
      </w:r>
    </w:p>
    <w:p w:rsidR="004B5F9D" w:rsidRPr="00CB75C5" w:rsidRDefault="00132417" w:rsidP="00132417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The following data were generated using the same rea</w:t>
      </w:r>
      <w:r>
        <w:rPr>
          <w:rFonts w:eastAsia="HelenPro-Regular"/>
        </w:rPr>
        <w:t xml:space="preserve">gent on a </w:t>
      </w:r>
      <w:r w:rsidRPr="00132417">
        <w:rPr>
          <w:rFonts w:eastAsia="HelenPro-Regular"/>
        </w:rPr>
        <w:t>commercially available clinical chemistry analyzer. Grossly hemolyzed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(800 mg/dL hemoglobin), icteric (30 mg/dL bilirubin), and lipemic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(1,000 mg/dL triglycerides) samples were found to have no interference</w:t>
      </w:r>
      <w:r>
        <w:rPr>
          <w:rFonts w:eastAsia="HelenPro-Regular"/>
        </w:rPr>
        <w:t xml:space="preserve"> </w:t>
      </w:r>
      <w:r w:rsidRPr="00132417">
        <w:rPr>
          <w:rFonts w:eastAsia="HelenPro-Regular"/>
        </w:rPr>
        <w:t>with the assay.</w:t>
      </w:r>
    </w:p>
    <w:p w:rsidR="00B81E9E" w:rsidRPr="00CB75C5" w:rsidRDefault="00B81E9E" w:rsidP="00B81E9E">
      <w:pPr>
        <w:autoSpaceDE w:val="0"/>
        <w:autoSpaceDN w:val="0"/>
        <w:adjustRightInd w:val="0"/>
        <w:rPr>
          <w:rFonts w:eastAsia="HelenPro-Regular"/>
        </w:rPr>
      </w:pPr>
    </w:p>
    <w:p w:rsidR="00677E98" w:rsidRPr="00CB75C5" w:rsidRDefault="00677E98" w:rsidP="00CF2F62">
      <w:pPr>
        <w:jc w:val="both"/>
        <w:rPr>
          <w:noProof/>
        </w:rPr>
      </w:pPr>
    </w:p>
    <w:p w:rsidR="00D16B69" w:rsidRPr="00CB75C5" w:rsidRDefault="00D16B69" w:rsidP="00D16B69">
      <w:pPr>
        <w:jc w:val="both"/>
        <w:rPr>
          <w:b/>
        </w:rPr>
      </w:pPr>
      <w:r w:rsidRPr="00CB75C5">
        <w:rPr>
          <w:b/>
        </w:rPr>
        <w:t>References:</w:t>
      </w:r>
      <w:r w:rsidR="00973EAF" w:rsidRPr="00CB75C5">
        <w:rPr>
          <w:b/>
        </w:rPr>
        <w:t xml:space="preserve"> </w:t>
      </w:r>
    </w:p>
    <w:p w:rsidR="000A13F2" w:rsidRPr="00CB75C5" w:rsidRDefault="000A13F2" w:rsidP="00030CDD">
      <w:pPr>
        <w:pStyle w:val="ListParagraph"/>
        <w:numPr>
          <w:ilvl w:val="0"/>
          <w:numId w:val="4"/>
        </w:numPr>
      </w:pPr>
      <w:r w:rsidRPr="00CB75C5">
        <w:t xml:space="preserve">ABBOTT ARCHITECT </w:t>
      </w:r>
      <w:r w:rsidR="00896F8C">
        <w:t>Ethanol</w:t>
      </w:r>
      <w:r w:rsidRPr="00CB75C5">
        <w:t xml:space="preserve"> package insert</w:t>
      </w:r>
    </w:p>
    <w:p w:rsidR="000A13F2" w:rsidRPr="00CB75C5" w:rsidRDefault="000A13F2" w:rsidP="000A13F2">
      <w:pPr>
        <w:pStyle w:val="ListParagraph"/>
      </w:pPr>
      <w:r w:rsidRPr="00CB75C5">
        <w:t>Abbott Laboratories</w:t>
      </w:r>
    </w:p>
    <w:p w:rsidR="000A13F2" w:rsidRPr="00CB75C5" w:rsidRDefault="000A13F2" w:rsidP="000A13F2">
      <w:pPr>
        <w:pStyle w:val="ListParagraph"/>
      </w:pPr>
      <w:r w:rsidRPr="00CB75C5">
        <w:t>Diagnostics Division</w:t>
      </w:r>
    </w:p>
    <w:p w:rsidR="000A13F2" w:rsidRPr="00CB75C5" w:rsidRDefault="000A13F2" w:rsidP="000A13F2">
      <w:pPr>
        <w:pStyle w:val="ListParagraph"/>
      </w:pPr>
      <w:r w:rsidRPr="00CB75C5">
        <w:t>Abbott Park, IL  60064</w:t>
      </w:r>
    </w:p>
    <w:p w:rsidR="00425BA0" w:rsidRPr="00CB75C5" w:rsidRDefault="00896F8C" w:rsidP="00425BA0">
      <w:pPr>
        <w:pStyle w:val="ListParagraph"/>
        <w:rPr>
          <w:rFonts w:eastAsia="HelenPro-Bold"/>
          <w:b/>
          <w:bCs/>
        </w:rPr>
      </w:pPr>
      <w:r>
        <w:rPr>
          <w:bCs/>
        </w:rPr>
        <w:t>May</w:t>
      </w:r>
      <w:r w:rsidR="0074336C" w:rsidRPr="00CB75C5">
        <w:rPr>
          <w:bCs/>
        </w:rPr>
        <w:t xml:space="preserve"> 201</w:t>
      </w:r>
      <w:r>
        <w:rPr>
          <w:bCs/>
        </w:rPr>
        <w:t>4</w:t>
      </w:r>
      <w:r w:rsidR="009515B4">
        <w:rPr>
          <w:bCs/>
        </w:rPr>
        <w:t xml:space="preserve"> </w:t>
      </w:r>
      <w:r w:rsidRPr="00896F8C">
        <w:rPr>
          <w:rFonts w:eastAsia="HelenPro-Regular"/>
        </w:rPr>
        <w:t>306417/R08</w:t>
      </w:r>
    </w:p>
    <w:p w:rsidR="000A13F2" w:rsidRPr="00CB75C5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</w:rPr>
      </w:pPr>
      <w:r w:rsidRPr="00CB75C5">
        <w:t xml:space="preserve">ABBOTT ARCHITECT </w:t>
      </w:r>
      <w:r w:rsidR="00896F8C">
        <w:t>Ethanol</w:t>
      </w:r>
      <w:r w:rsidR="00880899" w:rsidRPr="00CB75C5">
        <w:t xml:space="preserve"> </w:t>
      </w:r>
      <w:r w:rsidRPr="00CB75C5">
        <w:t>Calibrator package insert</w:t>
      </w:r>
    </w:p>
    <w:p w:rsidR="000A13F2" w:rsidRPr="00CB75C5" w:rsidRDefault="000A13F2" w:rsidP="000A13F2">
      <w:pPr>
        <w:pStyle w:val="ListParagraph"/>
      </w:pPr>
      <w:r w:rsidRPr="00CB75C5">
        <w:t>Abbott Laboratories</w:t>
      </w:r>
    </w:p>
    <w:p w:rsidR="000A13F2" w:rsidRPr="00CB75C5" w:rsidRDefault="000A13F2" w:rsidP="000A13F2">
      <w:pPr>
        <w:pStyle w:val="ListParagraph"/>
      </w:pPr>
      <w:r w:rsidRPr="00CB75C5">
        <w:t>Diagnostics Division</w:t>
      </w:r>
    </w:p>
    <w:p w:rsidR="000A13F2" w:rsidRPr="00CB75C5" w:rsidRDefault="000A13F2" w:rsidP="000A13F2">
      <w:pPr>
        <w:pStyle w:val="ListParagraph"/>
      </w:pPr>
      <w:r w:rsidRPr="00CB75C5">
        <w:lastRenderedPageBreak/>
        <w:t>Abbott Park, IL  60064</w:t>
      </w:r>
    </w:p>
    <w:p w:rsidR="00881923" w:rsidRPr="00CB75C5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CB75C5">
        <w:t>Abbott ARCHITECT</w:t>
      </w:r>
      <w:r w:rsidR="00D16B69" w:rsidRPr="00CB75C5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593A06" w:rsidRDefault="00593A06" w:rsidP="0009322F">
      <w:pPr>
        <w:rPr>
          <w:b/>
        </w:rPr>
      </w:pPr>
    </w:p>
    <w:p w:rsidR="00593A06" w:rsidRDefault="00593A06" w:rsidP="0009322F">
      <w:pPr>
        <w:rPr>
          <w:b/>
        </w:rPr>
      </w:pPr>
    </w:p>
    <w:p w:rsidR="00593A06" w:rsidRDefault="00593A06" w:rsidP="0009322F">
      <w:pPr>
        <w:rPr>
          <w:b/>
        </w:rPr>
      </w:pPr>
    </w:p>
    <w:p w:rsidR="00593A06" w:rsidRDefault="00593A06" w:rsidP="0009322F">
      <w:pPr>
        <w:rPr>
          <w:b/>
        </w:rPr>
      </w:pPr>
    </w:p>
    <w:p w:rsidR="00593A06" w:rsidRDefault="00593A06" w:rsidP="0009322F">
      <w:pPr>
        <w:rPr>
          <w:b/>
        </w:rPr>
      </w:pPr>
    </w:p>
    <w:p w:rsidR="00593A06" w:rsidRDefault="00593A06" w:rsidP="0009322F">
      <w:pPr>
        <w:rPr>
          <w:b/>
        </w:rPr>
      </w:pPr>
    </w:p>
    <w:p w:rsidR="00593A06" w:rsidRPr="00CB75C5" w:rsidRDefault="00593A06" w:rsidP="0009322F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9515B4" w:rsidRDefault="009515B4" w:rsidP="00246FA8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  <w:bookmarkStart w:id="0" w:name="_GoBack"/>
      <w:bookmarkEnd w:id="0"/>
    </w:p>
    <w:sectPr w:rsidR="002D18CA" w:rsidSect="00507B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E2" w:rsidRDefault="00724EE2">
      <w:r>
        <w:separator/>
      </w:r>
    </w:p>
  </w:endnote>
  <w:endnote w:type="continuationSeparator" w:id="0">
    <w:p w:rsidR="00724EE2" w:rsidRDefault="007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2" w:rsidRDefault="0072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2" w:rsidRDefault="00724EE2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073509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073509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</w:p>
  <w:p w:rsidR="00724EE2" w:rsidRDefault="00724EE2">
    <w:pPr>
      <w:pStyle w:val="Footer"/>
    </w:pPr>
  </w:p>
  <w:p w:rsidR="00724EE2" w:rsidRDefault="00724EE2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2" w:rsidRDefault="0072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E2" w:rsidRDefault="00724EE2">
      <w:r>
        <w:separator/>
      </w:r>
    </w:p>
  </w:footnote>
  <w:footnote w:type="continuationSeparator" w:id="0">
    <w:p w:rsidR="00724EE2" w:rsidRDefault="0072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2" w:rsidRDefault="00724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2" w:rsidRDefault="00724EE2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 4840- CH-104</w:t>
    </w:r>
  </w:p>
  <w:p w:rsidR="00724EE2" w:rsidRDefault="00724EE2" w:rsidP="00100BF8">
    <w:pPr>
      <w:jc w:val="right"/>
      <w:rPr>
        <w:sz w:val="20"/>
        <w:szCs w:val="20"/>
      </w:rPr>
    </w:pPr>
    <w:r>
      <w:rPr>
        <w:sz w:val="20"/>
        <w:szCs w:val="20"/>
      </w:rPr>
      <w:t>ARCHITECT ETOH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2" w:rsidRDefault="00724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5441FE"/>
    <w:multiLevelType w:val="hybridMultilevel"/>
    <w:tmpl w:val="CF3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3509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2178C"/>
    <w:rsid w:val="00132081"/>
    <w:rsid w:val="00132417"/>
    <w:rsid w:val="00133F38"/>
    <w:rsid w:val="0014554C"/>
    <w:rsid w:val="00155687"/>
    <w:rsid w:val="00156FC2"/>
    <w:rsid w:val="00157696"/>
    <w:rsid w:val="0016247C"/>
    <w:rsid w:val="00167572"/>
    <w:rsid w:val="00172CF7"/>
    <w:rsid w:val="00177DAD"/>
    <w:rsid w:val="0019760C"/>
    <w:rsid w:val="001A41B0"/>
    <w:rsid w:val="001A639E"/>
    <w:rsid w:val="001B29A7"/>
    <w:rsid w:val="001B4267"/>
    <w:rsid w:val="001C48DA"/>
    <w:rsid w:val="001D0AF0"/>
    <w:rsid w:val="001D3841"/>
    <w:rsid w:val="001D6AE0"/>
    <w:rsid w:val="001E079E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46A8"/>
    <w:rsid w:val="00281D02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77AC1"/>
    <w:rsid w:val="0038442D"/>
    <w:rsid w:val="00386807"/>
    <w:rsid w:val="00396C4A"/>
    <w:rsid w:val="003B2E62"/>
    <w:rsid w:val="003B40E1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A03BD"/>
    <w:rsid w:val="004A2AA3"/>
    <w:rsid w:val="004B5F9D"/>
    <w:rsid w:val="004C05F8"/>
    <w:rsid w:val="004C104D"/>
    <w:rsid w:val="004C2C23"/>
    <w:rsid w:val="004C37CB"/>
    <w:rsid w:val="004F5F8A"/>
    <w:rsid w:val="004F6C28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90F92"/>
    <w:rsid w:val="00593A06"/>
    <w:rsid w:val="005A1D53"/>
    <w:rsid w:val="005A4739"/>
    <w:rsid w:val="005A7348"/>
    <w:rsid w:val="005B0D1C"/>
    <w:rsid w:val="005C4292"/>
    <w:rsid w:val="005E2E76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77E98"/>
    <w:rsid w:val="00682038"/>
    <w:rsid w:val="006A5AAE"/>
    <w:rsid w:val="006B0A70"/>
    <w:rsid w:val="006B3C65"/>
    <w:rsid w:val="006D28ED"/>
    <w:rsid w:val="006D40ED"/>
    <w:rsid w:val="006E5155"/>
    <w:rsid w:val="006F7F4F"/>
    <w:rsid w:val="00707828"/>
    <w:rsid w:val="00714B7D"/>
    <w:rsid w:val="00714F24"/>
    <w:rsid w:val="00724EE2"/>
    <w:rsid w:val="0074336C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96F8C"/>
    <w:rsid w:val="008A1AF7"/>
    <w:rsid w:val="008A1CED"/>
    <w:rsid w:val="008A7551"/>
    <w:rsid w:val="008A7F96"/>
    <w:rsid w:val="008B590F"/>
    <w:rsid w:val="008C0AEF"/>
    <w:rsid w:val="008D4DF4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5B4"/>
    <w:rsid w:val="00951C8E"/>
    <w:rsid w:val="00952933"/>
    <w:rsid w:val="00953BF2"/>
    <w:rsid w:val="00964971"/>
    <w:rsid w:val="00966CB0"/>
    <w:rsid w:val="00973EAF"/>
    <w:rsid w:val="00980C01"/>
    <w:rsid w:val="009841EC"/>
    <w:rsid w:val="009A4991"/>
    <w:rsid w:val="009B0C93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35F9"/>
    <w:rsid w:val="00AD402C"/>
    <w:rsid w:val="00AE1A89"/>
    <w:rsid w:val="00AE6F5B"/>
    <w:rsid w:val="00AE7704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81E9E"/>
    <w:rsid w:val="00B915A2"/>
    <w:rsid w:val="00BA0054"/>
    <w:rsid w:val="00BC1EC4"/>
    <w:rsid w:val="00BC76E2"/>
    <w:rsid w:val="00BE40A6"/>
    <w:rsid w:val="00BF1298"/>
    <w:rsid w:val="00BF32B2"/>
    <w:rsid w:val="00C2715D"/>
    <w:rsid w:val="00C32412"/>
    <w:rsid w:val="00C3571A"/>
    <w:rsid w:val="00C53E37"/>
    <w:rsid w:val="00C63D0C"/>
    <w:rsid w:val="00C90E57"/>
    <w:rsid w:val="00C912E2"/>
    <w:rsid w:val="00C967D5"/>
    <w:rsid w:val="00CA11D0"/>
    <w:rsid w:val="00CB75C5"/>
    <w:rsid w:val="00CC2751"/>
    <w:rsid w:val="00CC37B4"/>
    <w:rsid w:val="00CC3D62"/>
    <w:rsid w:val="00CE2DC7"/>
    <w:rsid w:val="00CF2F62"/>
    <w:rsid w:val="00CF7868"/>
    <w:rsid w:val="00D006C7"/>
    <w:rsid w:val="00D066D2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6C1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633EC"/>
    <w:rsid w:val="00E771AB"/>
    <w:rsid w:val="00E97A8C"/>
    <w:rsid w:val="00EA1269"/>
    <w:rsid w:val="00EA713D"/>
    <w:rsid w:val="00EB2F9F"/>
    <w:rsid w:val="00EB33FE"/>
    <w:rsid w:val="00EB6D05"/>
    <w:rsid w:val="00EC002B"/>
    <w:rsid w:val="00EC7B32"/>
    <w:rsid w:val="00ED2343"/>
    <w:rsid w:val="00ED4BBB"/>
    <w:rsid w:val="00ED5787"/>
    <w:rsid w:val="00EF4170"/>
    <w:rsid w:val="00F05CCD"/>
    <w:rsid w:val="00F13523"/>
    <w:rsid w:val="00F1631E"/>
    <w:rsid w:val="00F1787A"/>
    <w:rsid w:val="00F17F45"/>
    <w:rsid w:val="00F23218"/>
    <w:rsid w:val="00F25293"/>
    <w:rsid w:val="00F32BBD"/>
    <w:rsid w:val="00F3700B"/>
    <w:rsid w:val="00F520C5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FB69-1A43-41C5-BEED-C08A7B7A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1778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12250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yorlab3</cp:lastModifiedBy>
  <cp:revision>3</cp:revision>
  <cp:lastPrinted>2018-10-17T20:30:00Z</cp:lastPrinted>
  <dcterms:created xsi:type="dcterms:W3CDTF">2018-08-22T16:20:00Z</dcterms:created>
  <dcterms:modified xsi:type="dcterms:W3CDTF">2018-10-17T21:16:00Z</dcterms:modified>
</cp:coreProperties>
</file>