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E6" w:rsidRDefault="007E7D67">
      <w:r>
        <w:rPr>
          <w:noProof/>
        </w:rPr>
        <w:drawing>
          <wp:inline distT="0" distB="0" distL="0" distR="0" wp14:anchorId="40EEA6E1" wp14:editId="1E84D22B">
            <wp:extent cx="2095500" cy="695325"/>
            <wp:effectExtent l="0" t="0" r="0" b="9525"/>
            <wp:docPr id="1" name="Picture 1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67" w:rsidRDefault="007E7D67"/>
    <w:p w:rsidR="007E7D67" w:rsidRDefault="007E7D67">
      <w:pPr>
        <w:rPr>
          <w:b/>
          <w:sz w:val="24"/>
          <w:szCs w:val="24"/>
        </w:rPr>
      </w:pPr>
      <w:r w:rsidRPr="007E7D67">
        <w:rPr>
          <w:b/>
          <w:sz w:val="24"/>
          <w:szCs w:val="24"/>
        </w:rPr>
        <w:t>TITLE:    Dilution Protocol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Proc. #4840-CH-270</w:t>
      </w:r>
    </w:p>
    <w:p w:rsidR="007E7D67" w:rsidRDefault="007E7D67">
      <w:pPr>
        <w:rPr>
          <w:b/>
          <w:sz w:val="24"/>
          <w:szCs w:val="24"/>
        </w:rPr>
      </w:pPr>
    </w:p>
    <w:p w:rsidR="007E7D67" w:rsidRDefault="007E7D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PRINCIPLE: </w:t>
      </w:r>
    </w:p>
    <w:p w:rsidR="007E7D67" w:rsidRDefault="007E7D67">
      <w:pPr>
        <w:rPr>
          <w:sz w:val="24"/>
          <w:szCs w:val="24"/>
        </w:rPr>
      </w:pPr>
      <w:r w:rsidRPr="007E7D67">
        <w:rPr>
          <w:sz w:val="24"/>
          <w:szCs w:val="24"/>
        </w:rPr>
        <w:t xml:space="preserve">To </w:t>
      </w:r>
      <w:r>
        <w:rPr>
          <w:sz w:val="24"/>
          <w:szCs w:val="24"/>
        </w:rPr>
        <w:t>establish a protocol when a test exceeds the assay ra</w:t>
      </w:r>
      <w:r w:rsidR="00CC06E6">
        <w:rPr>
          <w:sz w:val="24"/>
          <w:szCs w:val="24"/>
        </w:rPr>
        <w:t>nge of a method and an automated</w:t>
      </w:r>
      <w:r>
        <w:rPr>
          <w:sz w:val="24"/>
          <w:szCs w:val="24"/>
        </w:rPr>
        <w:t xml:space="preserve"> or manual dilution is needed. Dilution protocols are established based on the manufacturer package inserts. Many of the assays will au</w:t>
      </w:r>
      <w:r w:rsidR="00CC06E6">
        <w:rPr>
          <w:sz w:val="24"/>
          <w:szCs w:val="24"/>
        </w:rPr>
        <w:t>tomatically perform a</w:t>
      </w:r>
      <w:r>
        <w:rPr>
          <w:sz w:val="24"/>
          <w:szCs w:val="24"/>
        </w:rPr>
        <w:t xml:space="preserve"> </w:t>
      </w:r>
      <w:r w:rsidR="004425BB">
        <w:rPr>
          <w:sz w:val="24"/>
          <w:szCs w:val="24"/>
        </w:rPr>
        <w:t xml:space="preserve">dilution </w:t>
      </w:r>
      <w:r w:rsidR="00CC06E6">
        <w:rPr>
          <w:sz w:val="24"/>
          <w:szCs w:val="24"/>
        </w:rPr>
        <w:t>when the specimen is above the analyzer’s</w:t>
      </w:r>
      <w:r w:rsidR="00930185">
        <w:rPr>
          <w:sz w:val="24"/>
          <w:szCs w:val="24"/>
        </w:rPr>
        <w:t xml:space="preserve"> measuring range (AMR). </w:t>
      </w:r>
      <w:proofErr w:type="gramStart"/>
      <w:r w:rsidR="00930185">
        <w:rPr>
          <w:sz w:val="24"/>
          <w:szCs w:val="24"/>
        </w:rPr>
        <w:t>These</w:t>
      </w:r>
      <w:r w:rsidR="00CC06E6">
        <w:rPr>
          <w:sz w:val="24"/>
          <w:szCs w:val="24"/>
        </w:rPr>
        <w:t xml:space="preserve"> re-test rules are programed in the analyzer and requires</w:t>
      </w:r>
      <w:proofErr w:type="gramEnd"/>
      <w:r w:rsidR="00CC06E6">
        <w:rPr>
          <w:sz w:val="24"/>
          <w:szCs w:val="24"/>
        </w:rPr>
        <w:t xml:space="preserve"> no action from the operator. However, a</w:t>
      </w:r>
      <w:r>
        <w:rPr>
          <w:sz w:val="24"/>
          <w:szCs w:val="24"/>
        </w:rPr>
        <w:t xml:space="preserve">t times a </w:t>
      </w:r>
      <w:r w:rsidR="00CC06E6">
        <w:rPr>
          <w:sz w:val="24"/>
          <w:szCs w:val="24"/>
        </w:rPr>
        <w:t xml:space="preserve">specimen may exceed the measuring range of a diluted sample. The operator must review the AMR chart to determine if an additional </w:t>
      </w:r>
      <w:r>
        <w:rPr>
          <w:sz w:val="24"/>
          <w:szCs w:val="24"/>
        </w:rPr>
        <w:t>m</w:t>
      </w:r>
      <w:r w:rsidR="00CC06E6">
        <w:rPr>
          <w:sz w:val="24"/>
          <w:szCs w:val="24"/>
        </w:rPr>
        <w:t>anual dilution is necessary taking into consideration the stated “maximum” dilution</w:t>
      </w:r>
      <w:r w:rsidR="00930185">
        <w:rPr>
          <w:sz w:val="24"/>
          <w:szCs w:val="24"/>
        </w:rPr>
        <w:t xml:space="preserve"> allowed. If the sample is still above the linearity when using the maximum dilution,</w:t>
      </w:r>
      <w:r w:rsidR="00CC06E6">
        <w:rPr>
          <w:sz w:val="24"/>
          <w:szCs w:val="24"/>
        </w:rPr>
        <w:t xml:space="preserve"> the result is reported as “&gt;” the reportable range. </w:t>
      </w:r>
    </w:p>
    <w:p w:rsidR="00CC06E6" w:rsidRDefault="00CC06E6">
      <w:pPr>
        <w:rPr>
          <w:sz w:val="24"/>
          <w:szCs w:val="24"/>
        </w:rPr>
      </w:pPr>
    </w:p>
    <w:p w:rsidR="00CC06E6" w:rsidRPr="00CC06E6" w:rsidRDefault="00CC06E6">
      <w:pPr>
        <w:rPr>
          <w:b/>
          <w:sz w:val="24"/>
          <w:szCs w:val="24"/>
        </w:rPr>
      </w:pPr>
      <w:r w:rsidRPr="00CC06E6">
        <w:rPr>
          <w:b/>
          <w:sz w:val="24"/>
          <w:szCs w:val="24"/>
        </w:rPr>
        <w:t>PROCEDURE:</w:t>
      </w:r>
    </w:p>
    <w:p w:rsidR="00CC06E6" w:rsidRDefault="00CC06E6" w:rsidP="00CC0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Automated dilution- requires no action from the operator, on tests where </w:t>
      </w:r>
      <w:r w:rsidR="00930185">
        <w:rPr>
          <w:sz w:val="24"/>
          <w:szCs w:val="24"/>
        </w:rPr>
        <w:t xml:space="preserve">a re-test rule </w:t>
      </w:r>
      <w:r>
        <w:rPr>
          <w:sz w:val="24"/>
          <w:szCs w:val="24"/>
        </w:rPr>
        <w:t xml:space="preserve">is in place, the analyzer will hold the sample until the initial result is complete. If the results exceeds the AMR it will automatically re-sample the assay using a dilution. </w:t>
      </w:r>
    </w:p>
    <w:p w:rsidR="00E37D42" w:rsidRDefault="009024F8" w:rsidP="00E37D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Manual Dilution- If a sample still exceeds the AMR, refer to the AMR table to see what the proper diluent is and manually make a dilution. The dilution factor must be entered in the upper right hand corner of the Patient order screen in the box labeled “Sample manual dilution factor 1:</w:t>
      </w:r>
      <w:r w:rsidRPr="009024F8">
        <w:rPr>
          <w:sz w:val="28"/>
          <w:szCs w:val="28"/>
        </w:rPr>
        <w:t>□</w:t>
      </w:r>
      <w:r>
        <w:rPr>
          <w:sz w:val="28"/>
          <w:szCs w:val="28"/>
        </w:rPr>
        <w:t xml:space="preserve">”.  </w:t>
      </w:r>
      <w:r w:rsidRPr="009024F8">
        <w:rPr>
          <w:sz w:val="24"/>
          <w:szCs w:val="24"/>
        </w:rPr>
        <w:t xml:space="preserve">The analyzer will calculate the </w:t>
      </w:r>
      <w:r w:rsidR="00E37D42">
        <w:rPr>
          <w:sz w:val="24"/>
          <w:szCs w:val="24"/>
        </w:rPr>
        <w:t xml:space="preserve">final </w:t>
      </w:r>
      <w:r w:rsidRPr="009024F8">
        <w:rPr>
          <w:sz w:val="24"/>
          <w:szCs w:val="24"/>
        </w:rPr>
        <w:t>result</w:t>
      </w:r>
      <w:r w:rsidR="00930185">
        <w:rPr>
          <w:sz w:val="24"/>
          <w:szCs w:val="24"/>
        </w:rPr>
        <w:t xml:space="preserve">. </w:t>
      </w:r>
      <w:r w:rsidR="00E37D42">
        <w:rPr>
          <w:sz w:val="24"/>
          <w:szCs w:val="24"/>
        </w:rPr>
        <w:t xml:space="preserve"> </w:t>
      </w:r>
      <w:proofErr w:type="spellStart"/>
      <w:r w:rsidRPr="009024F8">
        <w:rPr>
          <w:sz w:val="24"/>
          <w:szCs w:val="24"/>
        </w:rPr>
        <w:t>The</w:t>
      </w:r>
      <w:proofErr w:type="spellEnd"/>
      <w:r w:rsidRPr="009024F8">
        <w:rPr>
          <w:sz w:val="24"/>
          <w:szCs w:val="24"/>
        </w:rPr>
        <w:t xml:space="preserve"> manual</w:t>
      </w:r>
      <w:r>
        <w:rPr>
          <w:sz w:val="24"/>
          <w:szCs w:val="24"/>
        </w:rPr>
        <w:t xml:space="preserve"> dilution must be </w:t>
      </w:r>
      <w:r w:rsidR="00E37D4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higher </w:t>
      </w:r>
      <w:r w:rsidR="00E37D42">
        <w:rPr>
          <w:sz w:val="24"/>
          <w:szCs w:val="24"/>
        </w:rPr>
        <w:t xml:space="preserve">factor </w:t>
      </w:r>
      <w:r>
        <w:rPr>
          <w:sz w:val="24"/>
          <w:szCs w:val="24"/>
        </w:rPr>
        <w:t xml:space="preserve">than what the analyzer </w:t>
      </w:r>
      <w:r w:rsidR="00930185">
        <w:rPr>
          <w:sz w:val="24"/>
          <w:szCs w:val="24"/>
        </w:rPr>
        <w:t>is programmed to make</w:t>
      </w:r>
      <w:r>
        <w:rPr>
          <w:sz w:val="24"/>
          <w:szCs w:val="24"/>
        </w:rPr>
        <w:t xml:space="preserve">. </w:t>
      </w:r>
    </w:p>
    <w:p w:rsidR="00CC06E6" w:rsidRDefault="00E37D42" w:rsidP="00E37D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physician requests a higher dilution than our stated maximum dilution, dilute the sample until a result is obt</w:t>
      </w:r>
      <w:r w:rsidR="00930185">
        <w:rPr>
          <w:sz w:val="24"/>
          <w:szCs w:val="24"/>
        </w:rPr>
        <w:t>ained and report the result using</w:t>
      </w:r>
      <w:bookmarkStart w:id="0" w:name="_GoBack"/>
      <w:bookmarkEnd w:id="0"/>
      <w:r>
        <w:rPr>
          <w:sz w:val="24"/>
          <w:szCs w:val="24"/>
        </w:rPr>
        <w:t xml:space="preserve"> a comment stating “result exceeds our recommended dilution protocol, run by doctor’s request”. </w:t>
      </w:r>
    </w:p>
    <w:p w:rsidR="00E37D42" w:rsidRDefault="00E37D42" w:rsidP="00E37D42">
      <w:pPr>
        <w:rPr>
          <w:sz w:val="24"/>
          <w:szCs w:val="24"/>
        </w:rPr>
      </w:pPr>
    </w:p>
    <w:p w:rsidR="0062771E" w:rsidRDefault="0062771E" w:rsidP="00E37D42">
      <w:pPr>
        <w:rPr>
          <w:sz w:val="24"/>
          <w:szCs w:val="24"/>
        </w:rPr>
      </w:pPr>
    </w:p>
    <w:p w:rsidR="00E37D42" w:rsidRDefault="00E37D42" w:rsidP="0062771E">
      <w:pPr>
        <w:jc w:val="center"/>
        <w:rPr>
          <w:b/>
          <w:sz w:val="24"/>
          <w:szCs w:val="24"/>
        </w:rPr>
      </w:pPr>
      <w:r w:rsidRPr="0022698A">
        <w:rPr>
          <w:b/>
          <w:sz w:val="24"/>
          <w:szCs w:val="24"/>
        </w:rPr>
        <w:lastRenderedPageBreak/>
        <w:t>Do not dilute the following tests:</w:t>
      </w:r>
    </w:p>
    <w:p w:rsidR="0062771E" w:rsidRDefault="0062771E" w:rsidP="00E37D42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Sodium</w:t>
            </w:r>
          </w:p>
        </w:tc>
        <w:tc>
          <w:tcPr>
            <w:tcW w:w="2394" w:type="dxa"/>
            <w:vMerge w:val="restart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Hba1c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Potassium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Phosphorus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Chloride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Procalcitonin</w:t>
            </w:r>
            <w:proofErr w:type="spellEnd"/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Albumin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Vitamin B12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Calcium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Drugs of Abuse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DLDL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Anti-HCV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ETOH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Core-M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FT3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HAVAB-M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FT4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HBsAg</w:t>
            </w:r>
            <w:proofErr w:type="spellEnd"/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Folate</w:t>
            </w:r>
            <w:proofErr w:type="spellEnd"/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Core-M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GGT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HIV</w:t>
            </w:r>
          </w:p>
        </w:tc>
      </w:tr>
      <w:tr w:rsidR="0062771E" w:rsidTr="0062771E"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HDL</w:t>
            </w:r>
          </w:p>
        </w:tc>
        <w:tc>
          <w:tcPr>
            <w:tcW w:w="2394" w:type="dxa"/>
            <w:vMerge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Syphilis</w:t>
            </w:r>
          </w:p>
        </w:tc>
      </w:tr>
      <w:tr w:rsidR="0062771E" w:rsidTr="0062771E">
        <w:tc>
          <w:tcPr>
            <w:tcW w:w="2394" w:type="dxa"/>
            <w:tcBorders>
              <w:top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62771E" w:rsidRDefault="0062771E" w:rsidP="006277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41863" w:rsidRDefault="00641863" w:rsidP="00E37D42">
      <w:pPr>
        <w:jc w:val="center"/>
        <w:rPr>
          <w:b/>
          <w:sz w:val="24"/>
          <w:szCs w:val="24"/>
        </w:rPr>
      </w:pPr>
    </w:p>
    <w:p w:rsidR="0022698A" w:rsidRDefault="00641863" w:rsidP="00E37D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62771E" w:rsidRDefault="0062771E" w:rsidP="00E37D42">
      <w:pPr>
        <w:jc w:val="center"/>
        <w:rPr>
          <w:b/>
          <w:sz w:val="24"/>
          <w:szCs w:val="24"/>
        </w:rPr>
      </w:pPr>
    </w:p>
    <w:p w:rsidR="00CC4875" w:rsidRPr="0076262F" w:rsidRDefault="0062771E" w:rsidP="0062771E">
      <w:pPr>
        <w:rPr>
          <w:sz w:val="24"/>
          <w:szCs w:val="24"/>
        </w:rPr>
      </w:pPr>
      <w:r w:rsidRPr="0076262F">
        <w:rPr>
          <w:sz w:val="24"/>
          <w:szCs w:val="24"/>
        </w:rPr>
        <w:t xml:space="preserve">Guide for making a manual dilution: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330"/>
        <w:gridCol w:w="1890"/>
      </w:tblGrid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Volume of Sample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Volume of Diluent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Dilution Factor</w:t>
            </w:r>
          </w:p>
        </w:tc>
      </w:tr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2</w:t>
            </w:r>
          </w:p>
        </w:tc>
      </w:tr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200ul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3</w:t>
            </w:r>
          </w:p>
        </w:tc>
      </w:tr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400ul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5</w:t>
            </w:r>
          </w:p>
        </w:tc>
      </w:tr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900ul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</w:t>
            </w:r>
          </w:p>
        </w:tc>
      </w:tr>
      <w:tr w:rsidR="0076262F" w:rsidRPr="0076262F" w:rsidTr="0076262F">
        <w:tc>
          <w:tcPr>
            <w:tcW w:w="2538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100ul</w:t>
            </w:r>
          </w:p>
        </w:tc>
        <w:tc>
          <w:tcPr>
            <w:tcW w:w="333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1900ul</w:t>
            </w:r>
          </w:p>
        </w:tc>
        <w:tc>
          <w:tcPr>
            <w:tcW w:w="1890" w:type="dxa"/>
          </w:tcPr>
          <w:p w:rsidR="0076262F" w:rsidRPr="0076262F" w:rsidRDefault="0076262F" w:rsidP="0076262F">
            <w:pPr>
              <w:jc w:val="center"/>
              <w:rPr>
                <w:sz w:val="24"/>
                <w:szCs w:val="24"/>
              </w:rPr>
            </w:pPr>
            <w:r w:rsidRPr="0076262F">
              <w:rPr>
                <w:sz w:val="24"/>
                <w:szCs w:val="24"/>
              </w:rPr>
              <w:t>20</w:t>
            </w:r>
          </w:p>
        </w:tc>
      </w:tr>
    </w:tbl>
    <w:p w:rsidR="00CC4875" w:rsidRPr="0076262F" w:rsidRDefault="00CC4875" w:rsidP="0076262F">
      <w:pPr>
        <w:jc w:val="center"/>
        <w:rPr>
          <w:sz w:val="24"/>
          <w:szCs w:val="24"/>
        </w:rPr>
      </w:pPr>
    </w:p>
    <w:sectPr w:rsidR="00CC4875" w:rsidRPr="0076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153"/>
    <w:multiLevelType w:val="hybridMultilevel"/>
    <w:tmpl w:val="6066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67"/>
    <w:rsid w:val="0022698A"/>
    <w:rsid w:val="004425BB"/>
    <w:rsid w:val="0062771E"/>
    <w:rsid w:val="00641863"/>
    <w:rsid w:val="006C5B29"/>
    <w:rsid w:val="0076262F"/>
    <w:rsid w:val="007E7D67"/>
    <w:rsid w:val="009024F8"/>
    <w:rsid w:val="00930185"/>
    <w:rsid w:val="00CC06E6"/>
    <w:rsid w:val="00CC4875"/>
    <w:rsid w:val="00D24E2F"/>
    <w:rsid w:val="00E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6E6"/>
    <w:pPr>
      <w:ind w:left="720"/>
      <w:contextualSpacing/>
    </w:pPr>
  </w:style>
  <w:style w:type="table" w:styleId="TableGrid">
    <w:name w:val="Table Grid"/>
    <w:basedOn w:val="TableNormal"/>
    <w:uiPriority w:val="59"/>
    <w:rsid w:val="0022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6E6"/>
    <w:pPr>
      <w:ind w:left="720"/>
      <w:contextualSpacing/>
    </w:pPr>
  </w:style>
  <w:style w:type="table" w:styleId="TableGrid">
    <w:name w:val="Table Grid"/>
    <w:basedOn w:val="TableNormal"/>
    <w:uiPriority w:val="59"/>
    <w:rsid w:val="0022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5</cp:revision>
  <dcterms:created xsi:type="dcterms:W3CDTF">2019-01-31T20:38:00Z</dcterms:created>
  <dcterms:modified xsi:type="dcterms:W3CDTF">2019-02-01T17:33:00Z</dcterms:modified>
</cp:coreProperties>
</file>