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F43150">
      <w:pPr>
        <w:rPr>
          <w:b/>
        </w:rPr>
      </w:pPr>
      <w:r>
        <w:rPr>
          <w:noProof/>
        </w:rPr>
        <w:drawing>
          <wp:inline distT="0" distB="0" distL="0" distR="0" wp14:anchorId="20C95624" wp14:editId="66FA6935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150" w:rsidRPr="007E4CE6" w:rsidRDefault="00F43150">
      <w:pPr>
        <w:rPr>
          <w:b/>
        </w:rPr>
      </w:pPr>
    </w:p>
    <w:p w:rsidR="00BC5937" w:rsidRPr="00BC5937" w:rsidRDefault="00994828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MAGNESIUM</w:t>
      </w:r>
    </w:p>
    <w:p w:rsidR="0056023B" w:rsidRPr="001A639E" w:rsidRDefault="00994828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SERUM, </w:t>
      </w:r>
      <w:r w:rsidR="002E5C0B">
        <w:rPr>
          <w:b/>
          <w:sz w:val="28"/>
          <w:szCs w:val="28"/>
        </w:rPr>
        <w:t>PLASMA</w:t>
      </w:r>
      <w:r>
        <w:rPr>
          <w:b/>
          <w:sz w:val="28"/>
          <w:szCs w:val="28"/>
        </w:rPr>
        <w:t xml:space="preserve"> OR URINE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CB37B4" w:rsidRDefault="008A7F96" w:rsidP="008A7F96">
      <w:pPr>
        <w:rPr>
          <w:b/>
          <w:color w:val="FF0000"/>
          <w:sz w:val="28"/>
          <w:szCs w:val="28"/>
        </w:rPr>
      </w:pPr>
      <w:r w:rsidRPr="00CB37B4">
        <w:rPr>
          <w:b/>
          <w:sz w:val="28"/>
          <w:szCs w:val="28"/>
        </w:rPr>
        <w:t xml:space="preserve">Intended Use </w:t>
      </w:r>
    </w:p>
    <w:p w:rsidR="009F52BA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The Magnesium assay is used for t</w:t>
      </w:r>
      <w:r>
        <w:rPr>
          <w:rFonts w:eastAsia="HelenPro-Regular"/>
        </w:rPr>
        <w:t xml:space="preserve">he quantitation of magnesium in </w:t>
      </w:r>
      <w:r w:rsidRPr="00CB37B4">
        <w:rPr>
          <w:rFonts w:eastAsia="HelenPro-Regular"/>
        </w:rPr>
        <w:t>human serum, plasma, or urine.</w:t>
      </w:r>
    </w:p>
    <w:p w:rsidR="00CB37B4" w:rsidRPr="00CB37B4" w:rsidRDefault="00CB37B4" w:rsidP="006107A2">
      <w:pPr>
        <w:jc w:val="both"/>
        <w:rPr>
          <w:b/>
        </w:rPr>
      </w:pPr>
    </w:p>
    <w:p w:rsidR="0009322F" w:rsidRPr="00CB37B4" w:rsidRDefault="006559EB" w:rsidP="006107A2">
      <w:pPr>
        <w:jc w:val="both"/>
        <w:rPr>
          <w:sz w:val="28"/>
          <w:szCs w:val="28"/>
        </w:rPr>
      </w:pPr>
      <w:r w:rsidRPr="00CB37B4">
        <w:rPr>
          <w:b/>
          <w:sz w:val="28"/>
          <w:szCs w:val="28"/>
        </w:rPr>
        <w:t>Clinical Significance</w:t>
      </w:r>
      <w:r w:rsidR="006107A2" w:rsidRPr="00CB37B4">
        <w:rPr>
          <w:sz w:val="28"/>
          <w:szCs w:val="28"/>
        </w:rPr>
        <w:t xml:space="preserve"> 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Magnesium is an essential nut</w:t>
      </w:r>
      <w:r>
        <w:rPr>
          <w:rFonts w:eastAsia="HelenPro-Regular"/>
        </w:rPr>
        <w:t xml:space="preserve">rient which is involved in many </w:t>
      </w:r>
      <w:r w:rsidRPr="00CB37B4">
        <w:rPr>
          <w:rFonts w:eastAsia="HelenPro-Regular"/>
        </w:rPr>
        <w:t>biochemical functions. It has a structural role in nucleic acids and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ribosomal particles, required as an activator for many enzymes and has</w:t>
      </w:r>
    </w:p>
    <w:p w:rsidR="00C32412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a role in energy produ</w:t>
      </w:r>
      <w:r>
        <w:rPr>
          <w:rFonts w:eastAsia="HelenPro-Regular"/>
        </w:rPr>
        <w:t xml:space="preserve">cing oxidative phosphorylation. </w:t>
      </w:r>
      <w:r w:rsidRPr="00CB37B4">
        <w:rPr>
          <w:rFonts w:eastAsia="HelenPro-Regular"/>
        </w:rPr>
        <w:t>The normal body contains between 21 to 28 g magnesium, more than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50% of which is complexed with calcium and phosphate in bone. Only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approximately 1% of the total magnesium is found in the extracellular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fluid; hence, it tends to enter and leave cells under the same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conditions as potassium. Approximately 35% of plasma magnesium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is protein-bound, mainly to albumin, and therefore changes in albumin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concentration may affect magnesium.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Hypomagnesemia results in the impairment of neuromuscular function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and may develop in severe prolonged diarrhea, malabsorption</w:t>
      </w:r>
      <w:r>
        <w:rPr>
          <w:rFonts w:eastAsia="HelenPro-Regular"/>
        </w:rPr>
        <w:t xml:space="preserve"> </w:t>
      </w:r>
      <w:r w:rsidRPr="00CB37B4">
        <w:rPr>
          <w:rFonts w:eastAsia="HelenPro-Regular"/>
        </w:rPr>
        <w:t>syndromes, hyperaldosteronism, and diuretic therapy. Hypermagnesemia</w:t>
      </w:r>
      <w:r>
        <w:rPr>
          <w:rFonts w:eastAsia="HelenPro-Regular"/>
        </w:rPr>
        <w:t xml:space="preserve"> </w:t>
      </w:r>
      <w:r w:rsidR="00F05B5F">
        <w:rPr>
          <w:rFonts w:eastAsia="HelenPro-Regular"/>
        </w:rPr>
        <w:t xml:space="preserve">results in hypotension, bradycardia, and respiratory depression, among other conditions. </w:t>
      </w:r>
    </w:p>
    <w:p w:rsidR="009C7BD7" w:rsidRPr="00CB37B4" w:rsidRDefault="009C7BD7" w:rsidP="008A7F96">
      <w:pPr>
        <w:jc w:val="both"/>
        <w:rPr>
          <w:b/>
        </w:rPr>
      </w:pPr>
    </w:p>
    <w:p w:rsidR="008A7F96" w:rsidRPr="00CB37B4" w:rsidRDefault="008A7F96" w:rsidP="008A7F96">
      <w:pPr>
        <w:jc w:val="both"/>
        <w:rPr>
          <w:color w:val="FF0000"/>
          <w:sz w:val="28"/>
          <w:szCs w:val="28"/>
        </w:rPr>
      </w:pPr>
      <w:r w:rsidRPr="00CB37B4">
        <w:rPr>
          <w:b/>
          <w:sz w:val="28"/>
          <w:szCs w:val="28"/>
        </w:rPr>
        <w:t>Principle</w:t>
      </w:r>
      <w:r w:rsidRPr="00CB37B4">
        <w:rPr>
          <w:sz w:val="28"/>
          <w:szCs w:val="28"/>
        </w:rPr>
        <w:t xml:space="preserve"> </w:t>
      </w:r>
    </w:p>
    <w:p w:rsidR="008A7F96" w:rsidRPr="00CB37B4" w:rsidRDefault="008A7F96" w:rsidP="008A7F96">
      <w:pPr>
        <w:jc w:val="both"/>
      </w:pPr>
    </w:p>
    <w:p w:rsidR="00CB37B4" w:rsidRPr="00485DA2" w:rsidRDefault="00485DA2" w:rsidP="00CB37B4">
      <w:pPr>
        <w:rPr>
          <w:rFonts w:eastAsia="HelenPro-Bold"/>
          <w:bCs/>
        </w:rPr>
      </w:pPr>
      <w:r w:rsidRPr="00485DA2">
        <w:rPr>
          <w:rFonts w:eastAsia="HelenPro-Bold"/>
          <w:bCs/>
        </w:rPr>
        <w:t>Magnesium present in the sample is a cofactor in an enzymatic reaction with isocitrate dehydrogenase.  The rate of increase in absorbance at 340 nm, due to the formation of NADPH, is directly proportional to the magnesium concentration.</w:t>
      </w:r>
    </w:p>
    <w:p w:rsidR="00485DA2" w:rsidRDefault="00485DA2" w:rsidP="00CB37B4">
      <w:pPr>
        <w:rPr>
          <w:rFonts w:eastAsia="HelenPro-Bold"/>
          <w:b/>
          <w:bCs/>
        </w:rPr>
      </w:pPr>
    </w:p>
    <w:p w:rsidR="00DA48E6" w:rsidRPr="00CB37B4" w:rsidRDefault="00CB37B4" w:rsidP="00CB37B4">
      <w:pPr>
        <w:rPr>
          <w:b/>
        </w:rPr>
      </w:pPr>
      <w:r w:rsidRPr="00CB37B4">
        <w:rPr>
          <w:rFonts w:eastAsia="HelenPro-Bold"/>
          <w:b/>
          <w:bCs/>
        </w:rPr>
        <w:t xml:space="preserve">Methodology: </w:t>
      </w:r>
      <w:r w:rsidR="00485DA2">
        <w:rPr>
          <w:rFonts w:eastAsia="HelenPro-Regular"/>
        </w:rPr>
        <w:t>Enzymatic</w:t>
      </w:r>
    </w:p>
    <w:p w:rsidR="00CB37B4" w:rsidRDefault="00CB37B4" w:rsidP="006559EB">
      <w:pPr>
        <w:rPr>
          <w:b/>
        </w:rPr>
      </w:pPr>
    </w:p>
    <w:p w:rsidR="006559EB" w:rsidRPr="00CB37B4" w:rsidRDefault="006559EB" w:rsidP="006559EB">
      <w:pPr>
        <w:rPr>
          <w:b/>
          <w:sz w:val="28"/>
          <w:szCs w:val="28"/>
        </w:rPr>
      </w:pPr>
      <w:r w:rsidRPr="00CB37B4">
        <w:rPr>
          <w:b/>
          <w:sz w:val="28"/>
          <w:szCs w:val="28"/>
        </w:rPr>
        <w:t>Specimen Collection and Handling</w:t>
      </w:r>
      <w:r w:rsidR="00D60AFA" w:rsidRPr="00CB37B4">
        <w:rPr>
          <w:b/>
          <w:sz w:val="28"/>
          <w:szCs w:val="28"/>
        </w:rPr>
        <w:t xml:space="preserve"> </w:t>
      </w:r>
    </w:p>
    <w:p w:rsidR="004A03BD" w:rsidRPr="00CB37B4" w:rsidRDefault="004A03BD" w:rsidP="006559EB">
      <w:pPr>
        <w:rPr>
          <w:b/>
        </w:rPr>
      </w:pP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B37B4">
        <w:rPr>
          <w:rFonts w:eastAsia="HelenPro-Bold"/>
          <w:b/>
          <w:bCs/>
        </w:rPr>
        <w:t>Suitable Specimens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Serum, plasma, and urine are acceptable specimens.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 xml:space="preserve">• </w:t>
      </w:r>
      <w:r w:rsidRPr="00CB37B4">
        <w:rPr>
          <w:rFonts w:eastAsia="HelenPro-Bold"/>
          <w:b/>
          <w:bCs/>
        </w:rPr>
        <w:t xml:space="preserve">Serum: </w:t>
      </w:r>
      <w:r w:rsidRPr="00CB37B4">
        <w:rPr>
          <w:rFonts w:eastAsia="HelenPro-Regular"/>
        </w:rPr>
        <w:t>Use nonhemoly</w:t>
      </w:r>
      <w:r w:rsidR="00595F0A">
        <w:rPr>
          <w:rFonts w:eastAsia="HelenPro-Regular"/>
        </w:rPr>
        <w:t xml:space="preserve">zed serum collected by standard </w:t>
      </w:r>
      <w:r w:rsidRPr="00CB37B4">
        <w:rPr>
          <w:rFonts w:eastAsia="HelenPro-Regular"/>
        </w:rPr>
        <w:t>venipuncture techniques into glass or plastic tubes with or without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gel barriers. Ensure complete clot formation has taken place prior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to centrifugation. Centrifuge according to tube manufacturer’s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instructions to ensure proper separation of serum from blood cells.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>Some specimens, especiall</w:t>
      </w:r>
      <w:r w:rsidR="00595F0A">
        <w:rPr>
          <w:rFonts w:eastAsia="HelenPro-Regular"/>
        </w:rPr>
        <w:t xml:space="preserve">y those from patients receiving </w:t>
      </w:r>
      <w:r w:rsidRPr="00CB37B4">
        <w:rPr>
          <w:rFonts w:eastAsia="HelenPro-Regular"/>
        </w:rPr>
        <w:t>anticoagulant or thrombolytic therapy, may take longer to complete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their clotting processes. Fibrin clots may subsequently form in these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sera and the clots could cause erroneous test results.</w:t>
      </w:r>
    </w:p>
    <w:p w:rsidR="00CB37B4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lastRenderedPageBreak/>
        <w:t xml:space="preserve">• </w:t>
      </w:r>
      <w:r w:rsidRPr="00CB37B4">
        <w:rPr>
          <w:rFonts w:eastAsia="HelenPro-Bold"/>
          <w:b/>
          <w:bCs/>
        </w:rPr>
        <w:t xml:space="preserve">Plasma: </w:t>
      </w:r>
      <w:r w:rsidRPr="00CB37B4">
        <w:rPr>
          <w:rFonts w:eastAsia="HelenPro-Regular"/>
        </w:rPr>
        <w:t>Use plasma collected by s</w:t>
      </w:r>
      <w:r w:rsidR="00595F0A">
        <w:rPr>
          <w:rFonts w:eastAsia="HelenPro-Regular"/>
        </w:rPr>
        <w:t xml:space="preserve">tandard venipuncture techniques </w:t>
      </w:r>
      <w:r w:rsidRPr="00CB37B4">
        <w:rPr>
          <w:rFonts w:eastAsia="HelenPro-Regular"/>
        </w:rPr>
        <w:t>into glass or plastic tubes. Acceptable anticoagulants are lithium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heparin (with or without gel barrier) and sodium heparin. Ensure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centrifugation is adequate to remove platelets. Centrifuge according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to tube manufacturer’s instructions to ensure proper separation of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plasma from blood cells.</w:t>
      </w:r>
    </w:p>
    <w:p w:rsidR="00DA4542" w:rsidRPr="00CB37B4" w:rsidRDefault="00CB37B4" w:rsidP="00CB37B4">
      <w:pPr>
        <w:autoSpaceDE w:val="0"/>
        <w:autoSpaceDN w:val="0"/>
        <w:adjustRightInd w:val="0"/>
        <w:rPr>
          <w:rFonts w:eastAsia="HelenPro-Regular"/>
        </w:rPr>
      </w:pPr>
      <w:r w:rsidRPr="00CB37B4">
        <w:rPr>
          <w:rFonts w:eastAsia="HelenPro-Regular"/>
        </w:rPr>
        <w:t xml:space="preserve">• </w:t>
      </w:r>
      <w:r w:rsidRPr="00CB37B4">
        <w:rPr>
          <w:rFonts w:eastAsia="HelenPro-Bold"/>
          <w:b/>
          <w:bCs/>
        </w:rPr>
        <w:t xml:space="preserve">Urine: </w:t>
      </w:r>
      <w:r w:rsidRPr="00CB37B4">
        <w:rPr>
          <w:rFonts w:eastAsia="HelenPro-Regular"/>
        </w:rPr>
        <w:t>Urine specimens should b</w:t>
      </w:r>
      <w:r w:rsidR="00595F0A">
        <w:rPr>
          <w:rFonts w:eastAsia="HelenPro-Regular"/>
        </w:rPr>
        <w:t xml:space="preserve">e collected in HCl, 20 to 30 mL </w:t>
      </w:r>
      <w:r w:rsidRPr="00CB37B4">
        <w:rPr>
          <w:rFonts w:eastAsia="HelenPro-Regular"/>
        </w:rPr>
        <w:t>of 6 mol/L for a 24 hour specimen, to prevent precipitation of</w:t>
      </w:r>
      <w:r w:rsidR="00595F0A">
        <w:rPr>
          <w:rFonts w:eastAsia="HelenPro-Regular"/>
        </w:rPr>
        <w:t xml:space="preserve"> </w:t>
      </w:r>
      <w:r w:rsidRPr="00CB37B4">
        <w:rPr>
          <w:rFonts w:eastAsia="HelenPro-Regular"/>
        </w:rPr>
        <w:t>magnesium complexes</w:t>
      </w:r>
    </w:p>
    <w:p w:rsidR="00CA1F88" w:rsidRPr="00513604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 w:rsidRPr="00513604">
        <w:rPr>
          <w:rFonts w:eastAsia="HelenPro-Bold"/>
          <w:b/>
          <w:bCs/>
        </w:rPr>
        <w:tab/>
      </w:r>
    </w:p>
    <w:p w:rsidR="00DA4542" w:rsidRPr="0051360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13604">
        <w:rPr>
          <w:rFonts w:eastAsia="HelenPro-Bold"/>
          <w:b/>
          <w:bCs/>
        </w:rPr>
        <w:t>Specimen Storage</w:t>
      </w:r>
    </w:p>
    <w:p w:rsidR="00513604" w:rsidRPr="0062702D" w:rsidRDefault="00CB37B4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5BCA8932" wp14:editId="03FE2925">
            <wp:extent cx="2857500" cy="11811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EC5159" w:rsidRPr="00595F0A" w:rsidRDefault="0067497E" w:rsidP="00973EAF">
      <w:pPr>
        <w:ind w:firstLine="720"/>
        <w:rPr>
          <w:b/>
        </w:rPr>
      </w:pPr>
      <w:r>
        <w:rPr>
          <w:rFonts w:eastAsia="HelenPro-Regular"/>
        </w:rPr>
        <w:t>3P68</w:t>
      </w:r>
      <w:r w:rsidR="00595F0A" w:rsidRPr="00595F0A">
        <w:rPr>
          <w:rFonts w:eastAsia="HelenPro-Regular"/>
        </w:rPr>
        <w:t xml:space="preserve"> Magnesium Reagent Kit</w:t>
      </w:r>
    </w:p>
    <w:p w:rsidR="00595F0A" w:rsidRDefault="00595F0A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>1E65 Multiconstituent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>• Saline (0.85% to 0.90% NaCl) for specimens that require dilution</w:t>
      </w:r>
    </w:p>
    <w:p w:rsidR="00DA48E6" w:rsidRDefault="00DA48E6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Do not mix reagents prepared at different times.</w:t>
      </w:r>
    </w:p>
    <w:p w:rsidR="00F7103F" w:rsidRPr="00F7103F" w:rsidRDefault="006A3258" w:rsidP="000F0494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 </w:t>
      </w:r>
      <w:r w:rsidR="00F7103F" w:rsidRPr="00F7103F">
        <w:rPr>
          <w:rFonts w:eastAsia="HelenPro-Regular"/>
          <w:b/>
          <w:bCs/>
        </w:rPr>
        <w:t xml:space="preserve">CAUTION: </w:t>
      </w:r>
      <w:r w:rsidR="00F7103F"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Standard on Bloodborne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The following warning and precaution apply to R1 .</w:t>
      </w:r>
    </w:p>
    <w:p w:rsidR="00595F0A" w:rsidRPr="00595F0A" w:rsidRDefault="0067497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Contains sodium azide and polyethylene glycol octylphenyl ether.</w:t>
      </w:r>
    </w:p>
    <w:p w:rsid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EUH032 Contact with acids liberates very toxic gas.</w:t>
      </w:r>
    </w:p>
    <w:p w:rsidR="0067497E" w:rsidRDefault="0067497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lastRenderedPageBreak/>
        <w:t>H402 Harmful to aquatic life.</w:t>
      </w:r>
    </w:p>
    <w:p w:rsidR="0067497E" w:rsidRDefault="0067497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H412 Harmful to aquatic life with long lasting effects.</w:t>
      </w:r>
    </w:p>
    <w:p w:rsidR="0067497E" w:rsidRPr="0067497E" w:rsidRDefault="0067497E" w:rsidP="00595F0A">
      <w:pPr>
        <w:autoSpaceDE w:val="0"/>
        <w:autoSpaceDN w:val="0"/>
        <w:adjustRightInd w:val="0"/>
        <w:rPr>
          <w:rFonts w:eastAsia="HelenPro-Regular"/>
          <w:b/>
        </w:rPr>
      </w:pPr>
      <w:r w:rsidRPr="0067497E">
        <w:rPr>
          <w:rFonts w:eastAsia="HelenPro-Regular"/>
          <w:b/>
        </w:rPr>
        <w:t>Prevention</w:t>
      </w:r>
    </w:p>
    <w:p w:rsidR="0067497E" w:rsidRDefault="0067497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P273 Avoid release to the environment.</w:t>
      </w:r>
    </w:p>
    <w:p w:rsidR="0067497E" w:rsidRPr="00D84851" w:rsidRDefault="0067497E" w:rsidP="00595F0A">
      <w:pPr>
        <w:autoSpaceDE w:val="0"/>
        <w:autoSpaceDN w:val="0"/>
        <w:adjustRightInd w:val="0"/>
        <w:rPr>
          <w:rFonts w:eastAsia="HelenPro-Regular"/>
          <w:b/>
        </w:rPr>
      </w:pPr>
      <w:r w:rsidRPr="00D84851">
        <w:rPr>
          <w:rFonts w:eastAsia="HelenPro-Regular"/>
          <w:b/>
        </w:rPr>
        <w:t>Disposal</w:t>
      </w:r>
    </w:p>
    <w:p w:rsidR="00595F0A" w:rsidRDefault="0067497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P501 Dispose of contents / container in accordance with local regulations.</w:t>
      </w:r>
    </w:p>
    <w:p w:rsidR="00E72D45" w:rsidRPr="0067497E" w:rsidRDefault="00E72D45" w:rsidP="00595F0A">
      <w:pPr>
        <w:autoSpaceDE w:val="0"/>
        <w:autoSpaceDN w:val="0"/>
        <w:adjustRightInd w:val="0"/>
        <w:rPr>
          <w:rFonts w:eastAsia="HelenPro-Regular"/>
        </w:rPr>
      </w:pPr>
    </w:p>
    <w:p w:rsidR="00513604" w:rsidRDefault="0038442D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E72D45" w:rsidRPr="00E72D45" w:rsidRDefault="00E72D45" w:rsidP="00953EA1">
      <w:pPr>
        <w:autoSpaceDE w:val="0"/>
        <w:autoSpaceDN w:val="0"/>
        <w:adjustRightInd w:val="0"/>
        <w:rPr>
          <w:rFonts w:eastAsia="HelenPro-Bold"/>
          <w:bCs/>
        </w:rPr>
      </w:pPr>
      <w:r w:rsidRPr="00E72D45">
        <w:rPr>
          <w:rFonts w:eastAsia="HelenPro-Bold"/>
          <w:bCs/>
        </w:rPr>
        <w:t>Do not use reagents beyond the expiration date.</w:t>
      </w:r>
    </w:p>
    <w:p w:rsidR="00E72D45" w:rsidRPr="00E72D45" w:rsidRDefault="00E72D45" w:rsidP="00953EA1">
      <w:pPr>
        <w:autoSpaceDE w:val="0"/>
        <w:autoSpaceDN w:val="0"/>
        <w:adjustRightInd w:val="0"/>
        <w:rPr>
          <w:rFonts w:eastAsia="HelenPro-Bold"/>
          <w:bCs/>
        </w:rPr>
      </w:pPr>
      <w:r w:rsidRPr="00E72D45">
        <w:rPr>
          <w:rFonts w:eastAsia="HelenPro-Bold"/>
          <w:bCs/>
        </w:rPr>
        <w:t>Do not use components from one lot with components from another lot.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E72D45">
        <w:rPr>
          <w:rFonts w:eastAsia="HelenPro-Regular"/>
        </w:rPr>
        <w:t>2 to 8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E72D45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DA48E6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 xml:space="preserve">Magnesium is supplied as </w:t>
      </w:r>
      <w:r w:rsidR="00D84851">
        <w:rPr>
          <w:rFonts w:eastAsia="HelenPro-Regular"/>
        </w:rPr>
        <w:t>a liquid, ready-to-use, two-reagent kit.</w:t>
      </w:r>
      <w:r>
        <w:rPr>
          <w:rFonts w:eastAsia="HelenPro-Regular"/>
        </w:rPr>
        <w:t xml:space="preserve"> </w:t>
      </w:r>
    </w:p>
    <w:p w:rsidR="00D64E39" w:rsidRPr="00E54019" w:rsidRDefault="00D84851" w:rsidP="00D64E39">
      <w:pPr>
        <w:rPr>
          <w:rFonts w:ascii="Arial" w:eastAsia="HelenPro-Regular" w:hAnsi="Arial" w:cs="Arial"/>
        </w:rPr>
      </w:pPr>
      <w:r>
        <w:rPr>
          <w:rFonts w:ascii="Arial" w:eastAsia="HelenPro-Regular" w:hAnsi="Arial" w:cs="Arial"/>
          <w:noProof/>
        </w:rPr>
        <w:drawing>
          <wp:inline distT="0" distB="0" distL="0" distR="0">
            <wp:extent cx="32575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>1E65 Multiconstituent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  <w:r w:rsidR="00595F0A">
        <w:t>, Urine Controls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E72D45">
        <w:t>approximately 30</w:t>
      </w:r>
      <w:r w:rsidRPr="00E4787B">
        <w:t xml:space="preserve"> days (</w:t>
      </w:r>
      <w:r w:rsidR="00E72D45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lastRenderedPageBreak/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r w:rsidRPr="00484BE3">
        <w:rPr>
          <w:rFonts w:eastAsia="HelenPro-Regular"/>
        </w:rPr>
        <w:t>Multiconstituent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513604" w:rsidRDefault="00513604" w:rsidP="00D60AFA">
      <w:pPr>
        <w:spacing w:after="43"/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D84851" w:rsidRPr="00A554D4" w:rsidRDefault="00D84851" w:rsidP="002C7FD5">
      <w:pPr>
        <w:rPr>
          <w:b/>
        </w:rPr>
      </w:pP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Default="00BD378E" w:rsidP="00DA48E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The </w:t>
      </w:r>
      <w:r w:rsidR="00595F0A">
        <w:rPr>
          <w:rFonts w:eastAsia="HelenPro-Regular"/>
        </w:rPr>
        <w:t xml:space="preserve">ARCHITECT Magnesium assay unit is mg/dL </w:t>
      </w:r>
    </w:p>
    <w:p w:rsidR="00595F0A" w:rsidRPr="00DA48E6" w:rsidRDefault="00595F0A" w:rsidP="00DA48E6">
      <w:pPr>
        <w:autoSpaceDE w:val="0"/>
        <w:autoSpaceDN w:val="0"/>
        <w:adjustRightInd w:val="0"/>
        <w:rPr>
          <w:rFonts w:eastAsia="HelenPro-Regular"/>
        </w:rPr>
      </w:pPr>
    </w:p>
    <w:p w:rsidR="00DA48E6" w:rsidRDefault="00DA48E6" w:rsidP="00DA48E6">
      <w:pPr>
        <w:rPr>
          <w:rFonts w:ascii="Arial" w:hAnsi="Arial" w:cs="Arial"/>
          <w:b/>
          <w:bCs/>
        </w:rPr>
      </w:pPr>
    </w:p>
    <w:p w:rsidR="00912FE4" w:rsidRPr="004F46B4" w:rsidRDefault="00912FE4" w:rsidP="00AB793D">
      <w:pPr>
        <w:rPr>
          <w:b/>
          <w:bCs/>
          <w:sz w:val="28"/>
          <w:szCs w:val="28"/>
        </w:rPr>
      </w:pPr>
      <w:r w:rsidRPr="004F46B4">
        <w:rPr>
          <w:b/>
          <w:bCs/>
          <w:sz w:val="28"/>
          <w:szCs w:val="28"/>
        </w:rPr>
        <w:t>Specific Performance Characteristics</w:t>
      </w:r>
      <w:r w:rsidR="00D60AFA" w:rsidRPr="004F46B4">
        <w:rPr>
          <w:b/>
          <w:bCs/>
          <w:sz w:val="28"/>
          <w:szCs w:val="28"/>
        </w:rPr>
        <w:t xml:space="preserve"> </w:t>
      </w:r>
    </w:p>
    <w:p w:rsidR="00CE2DC7" w:rsidRPr="004F46B4" w:rsidRDefault="00CE2DC7" w:rsidP="00AB793D">
      <w:pPr>
        <w:rPr>
          <w:b/>
          <w:bCs/>
        </w:rPr>
      </w:pPr>
      <w:r w:rsidRPr="004F46B4">
        <w:rPr>
          <w:b/>
          <w:bCs/>
        </w:rPr>
        <w:t>Reference Ranges</w:t>
      </w:r>
      <w:r w:rsidR="00D60AFA" w:rsidRPr="004F46B4">
        <w:rPr>
          <w:b/>
          <w:bCs/>
        </w:rPr>
        <w:t xml:space="preserve"> </w:t>
      </w:r>
    </w:p>
    <w:p w:rsidR="0055619E" w:rsidRPr="004F46B4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4F46B4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5630AA" w:rsidRPr="004F46B4" w:rsidRDefault="005630AA" w:rsidP="00AB793D">
      <w:pPr>
        <w:rPr>
          <w:b/>
          <w:bCs/>
        </w:rPr>
      </w:pPr>
    </w:p>
    <w:p w:rsidR="00E72D45" w:rsidRDefault="00E72D45" w:rsidP="00AB793D">
      <w:pPr>
        <w:rPr>
          <w:b/>
          <w:bCs/>
        </w:rPr>
      </w:pPr>
    </w:p>
    <w:p w:rsidR="0055619E" w:rsidRPr="004F46B4" w:rsidRDefault="004C45E8" w:rsidP="00AB793D">
      <w:pPr>
        <w:rPr>
          <w:b/>
          <w:bCs/>
        </w:rPr>
      </w:pPr>
      <w:r w:rsidRPr="004F46B4">
        <w:rPr>
          <w:b/>
          <w:bCs/>
        </w:rPr>
        <w:t>Serum/Plasma:</w:t>
      </w:r>
    </w:p>
    <w:p w:rsidR="004C45E8" w:rsidRPr="004F46B4" w:rsidRDefault="004C45E8" w:rsidP="00AB793D">
      <w:pPr>
        <w:rPr>
          <w:bCs/>
        </w:rPr>
      </w:pPr>
      <w:r w:rsidRPr="004F46B4">
        <w:rPr>
          <w:bCs/>
        </w:rPr>
        <w:t>&lt;6 years:</w:t>
      </w:r>
      <w:r w:rsidRPr="004F46B4">
        <w:rPr>
          <w:bCs/>
        </w:rPr>
        <w:tab/>
        <w:t>1.7 – 2.3 mg/dL</w:t>
      </w:r>
    </w:p>
    <w:p w:rsidR="00D64E39" w:rsidRPr="004F46B4" w:rsidRDefault="004C45E8" w:rsidP="00AB793D">
      <w:pPr>
        <w:rPr>
          <w:bCs/>
        </w:rPr>
      </w:pPr>
      <w:r w:rsidRPr="004F46B4">
        <w:rPr>
          <w:bCs/>
        </w:rPr>
        <w:t>6-12 years:</w:t>
      </w:r>
      <w:r w:rsidRPr="004F46B4">
        <w:rPr>
          <w:bCs/>
        </w:rPr>
        <w:tab/>
        <w:t>1.7 – 2.1 mg/dL</w:t>
      </w:r>
    </w:p>
    <w:p w:rsidR="004C45E8" w:rsidRPr="004F46B4" w:rsidRDefault="004C45E8" w:rsidP="00AB793D">
      <w:pPr>
        <w:rPr>
          <w:bCs/>
        </w:rPr>
      </w:pPr>
      <w:r w:rsidRPr="004F46B4">
        <w:rPr>
          <w:bCs/>
        </w:rPr>
        <w:t>12-20 years:</w:t>
      </w:r>
      <w:r w:rsidRPr="004F46B4">
        <w:rPr>
          <w:bCs/>
        </w:rPr>
        <w:tab/>
        <w:t>1.7 – 2.2 mg/dL</w:t>
      </w:r>
    </w:p>
    <w:p w:rsidR="001257E0" w:rsidRPr="004F46B4" w:rsidRDefault="004C45E8" w:rsidP="00AB793D">
      <w:pPr>
        <w:rPr>
          <w:bCs/>
        </w:rPr>
      </w:pPr>
      <w:r w:rsidRPr="004F46B4">
        <w:rPr>
          <w:bCs/>
        </w:rPr>
        <w:t>Adult:</w:t>
      </w:r>
      <w:r w:rsidRPr="004F46B4">
        <w:rPr>
          <w:bCs/>
        </w:rPr>
        <w:tab/>
      </w:r>
      <w:r w:rsidRPr="004F46B4">
        <w:rPr>
          <w:bCs/>
        </w:rPr>
        <w:tab/>
        <w:t>1.6 – 2.6 mg/dL</w:t>
      </w:r>
    </w:p>
    <w:p w:rsidR="001257E0" w:rsidRPr="004F46B4" w:rsidRDefault="001257E0" w:rsidP="00AB793D">
      <w:pPr>
        <w:rPr>
          <w:bCs/>
        </w:rPr>
      </w:pPr>
      <w:r w:rsidRPr="004F46B4">
        <w:rPr>
          <w:b/>
          <w:bCs/>
        </w:rPr>
        <w:t xml:space="preserve">Urine: </w:t>
      </w:r>
      <w:r w:rsidRPr="004F46B4">
        <w:rPr>
          <w:bCs/>
        </w:rPr>
        <w:t>72.9 – 121.5 mg/24 hours</w:t>
      </w:r>
    </w:p>
    <w:p w:rsidR="004C45E8" w:rsidRDefault="004C45E8" w:rsidP="00AB793D">
      <w:pPr>
        <w:rPr>
          <w:rFonts w:ascii="Arial" w:hAnsi="Arial" w:cs="Arial"/>
          <w:bCs/>
        </w:rPr>
      </w:pPr>
    </w:p>
    <w:p w:rsidR="00E9700E" w:rsidRDefault="001257E0" w:rsidP="001257E0">
      <w:pPr>
        <w:ind w:right="720"/>
        <w:jc w:val="both"/>
        <w:rPr>
          <w:b/>
        </w:rPr>
      </w:pPr>
      <w:r w:rsidRPr="00B63E8F">
        <w:rPr>
          <w:b/>
        </w:rPr>
        <w:t>Critical Value</w:t>
      </w:r>
      <w:r w:rsidR="00DC1E15">
        <w:rPr>
          <w:b/>
        </w:rPr>
        <w:t>s</w:t>
      </w:r>
    </w:p>
    <w:p w:rsidR="00E9700E" w:rsidRDefault="00E9700E" w:rsidP="001257E0">
      <w:pPr>
        <w:ind w:right="720"/>
        <w:jc w:val="both"/>
        <w:rPr>
          <w:b/>
        </w:rPr>
      </w:pPr>
    </w:p>
    <w:p w:rsidR="001257E0" w:rsidRDefault="001257E0" w:rsidP="001257E0">
      <w:pPr>
        <w:ind w:right="720"/>
        <w:jc w:val="both"/>
        <w:rPr>
          <w:b/>
        </w:rPr>
      </w:pPr>
      <w:r>
        <w:rPr>
          <w:b/>
        </w:rPr>
        <w:t xml:space="preserve"> </w:t>
      </w:r>
    </w:p>
    <w:p w:rsidR="001257E0" w:rsidRDefault="001257E0" w:rsidP="001257E0">
      <w:pPr>
        <w:ind w:right="720"/>
        <w:jc w:val="both"/>
      </w:pPr>
      <w:r>
        <w:rPr>
          <w:b/>
        </w:rPr>
        <w:t xml:space="preserve">Serum/Plasma: </w:t>
      </w:r>
      <w:r w:rsidR="005C4924" w:rsidRPr="005C4924">
        <w:rPr>
          <w:b/>
        </w:rPr>
        <w:t xml:space="preserve">&lt; 1  and </w:t>
      </w:r>
      <w:r w:rsidRPr="005C4924">
        <w:rPr>
          <w:b/>
        </w:rPr>
        <w:t>&gt;</w:t>
      </w:r>
      <w:r w:rsidR="005C4924" w:rsidRPr="005C4924">
        <w:rPr>
          <w:b/>
        </w:rPr>
        <w:t xml:space="preserve"> </w:t>
      </w:r>
      <w:r w:rsidRPr="005C4924">
        <w:rPr>
          <w:b/>
        </w:rPr>
        <w:t>5 mg/dL</w:t>
      </w:r>
    </w:p>
    <w:p w:rsidR="001257E0" w:rsidRPr="004F46B4" w:rsidRDefault="001257E0" w:rsidP="001257E0">
      <w:pPr>
        <w:ind w:right="720"/>
        <w:jc w:val="both"/>
        <w:rPr>
          <w:b/>
        </w:rPr>
      </w:pPr>
      <w:r w:rsidRPr="004F46B4">
        <w:rPr>
          <w:b/>
        </w:rPr>
        <w:t>Urine: N/A</w:t>
      </w:r>
    </w:p>
    <w:p w:rsidR="001257E0" w:rsidRDefault="001257E0" w:rsidP="00AB793D">
      <w:pPr>
        <w:rPr>
          <w:rFonts w:ascii="Arial" w:hAnsi="Arial" w:cs="Arial"/>
          <w:bCs/>
        </w:rPr>
      </w:pP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Linearity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Magnesium ser</w:t>
      </w:r>
      <w:r w:rsidR="00F10B31">
        <w:rPr>
          <w:rFonts w:eastAsia="HelenPro-Regular"/>
        </w:rPr>
        <w:t xml:space="preserve">um is linear across the measuring interval of  0.60 to 9.5 mg/dL </w:t>
      </w:r>
    </w:p>
    <w:p w:rsidR="00BD378E" w:rsidRPr="00595F0A" w:rsidRDefault="00595F0A" w:rsidP="00595F0A">
      <w:pPr>
        <w:rPr>
          <w:rFonts w:eastAsia="HelenPro-Regular"/>
        </w:rPr>
      </w:pPr>
      <w:r w:rsidRPr="00595F0A">
        <w:rPr>
          <w:rFonts w:eastAsia="HelenPro-Regular"/>
        </w:rPr>
        <w:t>Magnesium urin</w:t>
      </w:r>
      <w:r w:rsidR="00F10B31">
        <w:rPr>
          <w:rFonts w:eastAsia="HelenPro-Regular"/>
        </w:rPr>
        <w:t>e is linear across the measuring interval of 1.81 mg/dL to 26.35</w:t>
      </w:r>
      <w:r w:rsidRPr="00595F0A">
        <w:rPr>
          <w:rFonts w:eastAsia="HelenPro-Regular"/>
        </w:rPr>
        <w:t xml:space="preserve"> mg/dL</w:t>
      </w:r>
    </w:p>
    <w:p w:rsidR="00595F0A" w:rsidRDefault="00595F0A" w:rsidP="00595F0A">
      <w:pPr>
        <w:rPr>
          <w:rFonts w:eastAsia="HelenPro-Bold"/>
          <w:b/>
          <w:bCs/>
        </w:rPr>
      </w:pPr>
    </w:p>
    <w:p w:rsidR="00953EA1" w:rsidRPr="00BD378E" w:rsidRDefault="00953EA1" w:rsidP="00BD378E">
      <w:pPr>
        <w:rPr>
          <w:rFonts w:eastAsia="HelenPro-Bold"/>
          <w:b/>
          <w:bCs/>
        </w:rPr>
      </w:pPr>
      <w:r w:rsidRPr="00BD378E">
        <w:rPr>
          <w:rFonts w:eastAsia="HelenPro-Bold"/>
          <w:b/>
          <w:bCs/>
        </w:rPr>
        <w:t>Dilution: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Serum and Plasma: </w:t>
      </w:r>
      <w:r w:rsidRPr="00595F0A">
        <w:rPr>
          <w:rFonts w:eastAsia="HelenPro-Regular"/>
        </w:rPr>
        <w:t xml:space="preserve">Specimens </w:t>
      </w:r>
      <w:r>
        <w:rPr>
          <w:rFonts w:eastAsia="HelenPro-Regular"/>
        </w:rPr>
        <w:t xml:space="preserve">with magnesium values exceeding </w:t>
      </w:r>
      <w:r w:rsidR="00DB5C77">
        <w:rPr>
          <w:rFonts w:eastAsia="HelenPro-Regular"/>
        </w:rPr>
        <w:t>9.5 mg/dL</w:t>
      </w:r>
      <w:r w:rsidRPr="00595F0A">
        <w:rPr>
          <w:rFonts w:eastAsia="HelenPro-Regular"/>
        </w:rPr>
        <w:t xml:space="preserve"> are flagged and may be diluted by following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either the Automated Dilution Protocol or the Manual Dilution Procedure.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Urine: </w:t>
      </w:r>
      <w:r w:rsidRPr="00595F0A">
        <w:rPr>
          <w:rFonts w:eastAsia="HelenPro-Regular"/>
        </w:rPr>
        <w:t xml:space="preserve">Urine samples are automatically </w:t>
      </w:r>
      <w:r w:rsidR="00DB5C77">
        <w:rPr>
          <w:rFonts w:eastAsia="HelenPro-Regular"/>
        </w:rPr>
        <w:t>diluted 1:2</w:t>
      </w:r>
      <w:r>
        <w:rPr>
          <w:rFonts w:eastAsia="HelenPro-Regular"/>
        </w:rPr>
        <w:t xml:space="preserve"> by the system using </w:t>
      </w:r>
      <w:r w:rsidRPr="00595F0A">
        <w:rPr>
          <w:rFonts w:eastAsia="HelenPro-Regular"/>
        </w:rPr>
        <w:t>the Standard dilution option, then the system automatically corrects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the concentration by multiplying the result by the appropriate dilution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factor. This dilution extends urine Magnesium linearity to </w:t>
      </w:r>
      <w:r w:rsidR="00DB5C77">
        <w:rPr>
          <w:rFonts w:eastAsia="HelenPro-Regular"/>
        </w:rPr>
        <w:t xml:space="preserve">26.35 mg/dL. </w:t>
      </w:r>
      <w:r w:rsidRPr="00595F0A">
        <w:rPr>
          <w:rFonts w:eastAsia="HelenPro-Regular"/>
        </w:rPr>
        <w:t xml:space="preserve"> Samples exceeding this concentration are flagged and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may be diluted by following either the Automated Dilution Protocol or the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Manual Dilution Procedure.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Serum/Plasma Automated Dilution Protocol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If using the Automated Dilution Protocol,</w:t>
      </w:r>
      <w:r>
        <w:rPr>
          <w:rFonts w:eastAsia="HelenPro-Regular"/>
        </w:rPr>
        <w:t xml:space="preserve"> the system performs a dilution </w:t>
      </w:r>
      <w:r w:rsidRPr="00595F0A">
        <w:rPr>
          <w:rFonts w:eastAsia="HelenPro-Regular"/>
        </w:rPr>
        <w:t>of the specimen and automatically corrects the concentration by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multiplying the result by the appropriate dilution factor. To set up the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 xml:space="preserve">automatic dilution feature, refer to </w:t>
      </w:r>
      <w:r w:rsidRPr="00595F0A">
        <w:rPr>
          <w:rFonts w:eastAsia="HelenPro-Bold"/>
          <w:i/>
          <w:iCs/>
        </w:rPr>
        <w:t xml:space="preserve">Section 2 </w:t>
      </w:r>
      <w:r w:rsidRPr="00595F0A">
        <w:rPr>
          <w:rFonts w:eastAsia="HelenPro-Regular"/>
        </w:rPr>
        <w:t xml:space="preserve">of the </w:t>
      </w:r>
      <w:r w:rsidRPr="00595F0A">
        <w:rPr>
          <w:rFonts w:eastAsia="HelenPro-Bold"/>
          <w:b/>
          <w:bCs/>
        </w:rPr>
        <w:t>ARCHITECT System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Operations Manual </w:t>
      </w:r>
      <w:r w:rsidRPr="00595F0A">
        <w:rPr>
          <w:rFonts w:eastAsia="HelenPro-Regular"/>
        </w:rPr>
        <w:t>for additional information.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Urine Automated Dilution Protocol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If using the Automated Dilution Protocol, the system performs</w:t>
      </w:r>
      <w:r>
        <w:rPr>
          <w:rFonts w:eastAsia="HelenPro-Regular"/>
        </w:rPr>
        <w:t xml:space="preserve"> a 1:10 </w:t>
      </w:r>
      <w:r w:rsidRPr="00595F0A">
        <w:rPr>
          <w:rFonts w:eastAsia="HelenPro-Regular"/>
        </w:rPr>
        <w:t>dilution of the specimen and automatically corrects the concentration by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multiplying the result by the appropriate dilution factor.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95F0A">
        <w:rPr>
          <w:rFonts w:eastAsia="HelenPro-Bold"/>
          <w:b/>
          <w:bCs/>
        </w:rPr>
        <w:t>Manual Dilution Procedure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Manual dilutions should be performed as follows: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lastRenderedPageBreak/>
        <w:t>• Use saline (0.85% to 0.90% NaCl) to dilute the sample.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595F0A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factor.</w:t>
      </w: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595F0A">
        <w:rPr>
          <w:rFonts w:eastAsia="HelenPro-Regular"/>
        </w:rPr>
        <w:t>multiplied by the appropriate dilution factor before reporting the result.</w:t>
      </w:r>
    </w:p>
    <w:p w:rsidR="000F0494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Bold"/>
          <w:b/>
          <w:bCs/>
        </w:rPr>
        <w:t xml:space="preserve">NOTE: </w:t>
      </w:r>
      <w:r w:rsidRPr="00595F0A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595F0A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595F0A">
        <w:rPr>
          <w:rFonts w:eastAsia="HelenPro-Regular"/>
        </w:rPr>
        <w:t>dilution.</w:t>
      </w:r>
    </w:p>
    <w:p w:rsidR="005630AA" w:rsidRPr="00595F0A" w:rsidRDefault="005630AA" w:rsidP="00BD378E">
      <w:pPr>
        <w:autoSpaceDE w:val="0"/>
        <w:autoSpaceDN w:val="0"/>
        <w:adjustRightInd w:val="0"/>
        <w:rPr>
          <w:b/>
        </w:rPr>
      </w:pPr>
    </w:p>
    <w:p w:rsidR="00595F0A" w:rsidRPr="00595F0A" w:rsidRDefault="008D7886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  <w:b/>
        </w:rPr>
        <w:t>Limit of Detection (LOD):</w:t>
      </w:r>
      <w:r w:rsidRPr="00595F0A">
        <w:rPr>
          <w:rFonts w:eastAsia="HelenPro-Regular"/>
        </w:rPr>
        <w:t xml:space="preserve">  </w:t>
      </w:r>
      <w:r w:rsidR="00595F0A" w:rsidRPr="00595F0A">
        <w:rPr>
          <w:rFonts w:eastAsia="HelenPro-Regular"/>
        </w:rPr>
        <w:t xml:space="preserve">The </w:t>
      </w:r>
      <w:r w:rsidR="00E9700E">
        <w:rPr>
          <w:rFonts w:eastAsia="HelenPro-Regular"/>
        </w:rPr>
        <w:t xml:space="preserve">LOD for Magnesium serum is 0.10 </w:t>
      </w:r>
      <w:r w:rsidR="00595F0A" w:rsidRPr="00595F0A">
        <w:rPr>
          <w:rFonts w:eastAsia="HelenPro-Regular"/>
        </w:rPr>
        <w:t xml:space="preserve"> mg/dL</w:t>
      </w:r>
    </w:p>
    <w:p w:rsidR="008D7886" w:rsidRPr="00595F0A" w:rsidRDefault="00E9700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(0.04</w:t>
      </w:r>
      <w:r w:rsidR="00595F0A" w:rsidRPr="00595F0A">
        <w:rPr>
          <w:rFonts w:eastAsia="HelenPro-Regular"/>
        </w:rPr>
        <w:t xml:space="preserve"> mmol/L). The LOD for Ma</w:t>
      </w:r>
      <w:r>
        <w:rPr>
          <w:rFonts w:eastAsia="HelenPro-Regular"/>
        </w:rPr>
        <w:t>gnesium urine is</w:t>
      </w:r>
      <w:r w:rsidR="00595F0A">
        <w:rPr>
          <w:rFonts w:eastAsia="HelenPro-Regular"/>
        </w:rPr>
        <w:t xml:space="preserve"> </w:t>
      </w:r>
      <w:r>
        <w:rPr>
          <w:rFonts w:eastAsia="HelenPro-Regular"/>
        </w:rPr>
        <w:t>0.24 mg/dL (0.10</w:t>
      </w:r>
      <w:r w:rsidR="00595F0A" w:rsidRPr="00595F0A">
        <w:rPr>
          <w:rFonts w:eastAsia="HelenPro-Regular"/>
        </w:rPr>
        <w:t xml:space="preserve"> mmol/L).</w:t>
      </w:r>
    </w:p>
    <w:p w:rsidR="00BD378E" w:rsidRPr="00595F0A" w:rsidRDefault="00BD378E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595F0A" w:rsidRPr="00595F0A" w:rsidRDefault="00595F0A" w:rsidP="00595F0A">
      <w:pPr>
        <w:autoSpaceDE w:val="0"/>
        <w:autoSpaceDN w:val="0"/>
        <w:adjustRightInd w:val="0"/>
        <w:rPr>
          <w:rFonts w:eastAsia="HelenPro-Regular"/>
        </w:rPr>
      </w:pPr>
      <w:r w:rsidRPr="00595F0A">
        <w:rPr>
          <w:rFonts w:eastAsia="HelenPro-Regular"/>
          <w:b/>
        </w:rPr>
        <w:t>Limit of Quantitation (LOQ):</w:t>
      </w:r>
      <w:r w:rsidRPr="00595F0A">
        <w:rPr>
          <w:rFonts w:eastAsia="HelenPro-Regular"/>
        </w:rPr>
        <w:t xml:space="preserve">  The LOQ for </w:t>
      </w:r>
      <w:r w:rsidR="00E9700E">
        <w:rPr>
          <w:rFonts w:eastAsia="HelenPro-Regular"/>
        </w:rPr>
        <w:t>Magnesium serum is 0.16</w:t>
      </w:r>
      <w:r w:rsidRPr="00595F0A">
        <w:rPr>
          <w:rFonts w:eastAsia="HelenPro-Regular"/>
        </w:rPr>
        <w:t xml:space="preserve"> mg/dL</w:t>
      </w:r>
    </w:p>
    <w:p w:rsidR="00595F0A" w:rsidRPr="00595F0A" w:rsidRDefault="00E9700E" w:rsidP="00595F0A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(0.07</w:t>
      </w:r>
      <w:r w:rsidR="00595F0A" w:rsidRPr="00595F0A">
        <w:rPr>
          <w:rFonts w:eastAsia="HelenPro-Regular"/>
        </w:rPr>
        <w:t xml:space="preserve"> mmol/L). The LOQ for Mag</w:t>
      </w:r>
      <w:r>
        <w:rPr>
          <w:rFonts w:eastAsia="HelenPro-Regular"/>
        </w:rPr>
        <w:t>nesium urine is</w:t>
      </w:r>
      <w:r w:rsidR="00595F0A">
        <w:rPr>
          <w:rFonts w:eastAsia="HelenPro-Regular"/>
        </w:rPr>
        <w:t xml:space="preserve"> </w:t>
      </w:r>
      <w:r>
        <w:rPr>
          <w:rFonts w:eastAsia="HelenPro-Regular"/>
        </w:rPr>
        <w:t>0.79 mg/dL (0.33</w:t>
      </w:r>
      <w:r w:rsidR="00595F0A" w:rsidRPr="00595F0A">
        <w:rPr>
          <w:rFonts w:eastAsia="HelenPro-Regular"/>
        </w:rPr>
        <w:t xml:space="preserve"> mmol/L).</w:t>
      </w:r>
    </w:p>
    <w:p w:rsidR="00595F0A" w:rsidRDefault="00595F0A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Default="00AD7240" w:rsidP="00AD724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 w:rsidRPr="00AD7240">
        <w:rPr>
          <w:rFonts w:eastAsia="HelenPro-Regular"/>
        </w:rPr>
        <w:t>The Magnesium assay is susceptible to interference from hemoglobin.  Refer to the Interference section of the package insert for additional details.</w:t>
      </w:r>
    </w:p>
    <w:p w:rsidR="00AD7240" w:rsidRDefault="00AD7240" w:rsidP="00AD724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Do not use acetic acid, nitric acid, and sodium fluoride as urine preservatives.</w:t>
      </w:r>
    </w:p>
    <w:p w:rsidR="00AD7240" w:rsidRDefault="00AD7240" w:rsidP="00AD724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Do not use more than 2.5 mL 6N HCL per 100mL of urine.  Excess hydrochloric acid may cause elevated results with this methodology.</w:t>
      </w:r>
    </w:p>
    <w:p w:rsidR="00AD7240" w:rsidRDefault="00AD7240" w:rsidP="00AD724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Do not exceed 10 g/L boric acid.</w:t>
      </w:r>
    </w:p>
    <w:p w:rsidR="00AD7240" w:rsidRPr="00AD7240" w:rsidRDefault="00AD7240" w:rsidP="00AD724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Elevated Magnesium patient results may occur due to contamination from other sources of magnesium.  Refer to Results section of the package insert for additional information.</w:t>
      </w:r>
    </w:p>
    <w:p w:rsidR="00AD7240" w:rsidRPr="008F3DEF" w:rsidRDefault="00AD7240" w:rsidP="00757326">
      <w:pPr>
        <w:autoSpaceDE w:val="0"/>
        <w:autoSpaceDN w:val="0"/>
        <w:adjustRightInd w:val="0"/>
        <w:rPr>
          <w:rFonts w:eastAsia="HelenPro-Regular"/>
        </w:rPr>
      </w:pPr>
    </w:p>
    <w:p w:rsidR="00DA6C6A" w:rsidRPr="008F3DEF" w:rsidRDefault="00DA6C6A" w:rsidP="00F95946">
      <w:pPr>
        <w:rPr>
          <w:b/>
          <w:color w:val="000000"/>
        </w:rPr>
      </w:pPr>
    </w:p>
    <w:p w:rsidR="00912FE4" w:rsidRDefault="008D7886" w:rsidP="00F95946">
      <w:pPr>
        <w:rPr>
          <w:b/>
          <w:color w:val="000000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595F0A" w:rsidRPr="00595F0A" w:rsidRDefault="00595F0A" w:rsidP="00F95946">
      <w:pPr>
        <w:rPr>
          <w:rFonts w:eastAsia="HelenPro-Regular"/>
        </w:rPr>
      </w:pPr>
      <w:r w:rsidRPr="00595F0A">
        <w:rPr>
          <w:b/>
          <w:color w:val="000000"/>
        </w:rPr>
        <w:t>Serum</w:t>
      </w:r>
    </w:p>
    <w:p w:rsidR="00D6291F" w:rsidRDefault="00DB5C77" w:rsidP="00AD7240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  <w:noProof/>
        </w:rPr>
        <w:drawing>
          <wp:inline distT="0" distB="0" distL="0" distR="0" wp14:anchorId="43E07B3B" wp14:editId="15E467B2">
            <wp:extent cx="4009473" cy="2990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73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1F" w:rsidRDefault="00D6291F" w:rsidP="00DB5C77">
      <w:pPr>
        <w:tabs>
          <w:tab w:val="left" w:pos="1680"/>
        </w:tabs>
        <w:rPr>
          <w:rFonts w:eastAsia="HelenPro-Regular"/>
        </w:rPr>
      </w:pPr>
    </w:p>
    <w:p w:rsidR="00D6291F" w:rsidRDefault="00D6291F" w:rsidP="00DB5C77">
      <w:pPr>
        <w:tabs>
          <w:tab w:val="left" w:pos="1680"/>
        </w:tabs>
        <w:rPr>
          <w:rFonts w:eastAsia="HelenPro-Regular"/>
        </w:rPr>
      </w:pPr>
    </w:p>
    <w:p w:rsidR="00D6291F" w:rsidRDefault="00D6291F" w:rsidP="00DB5C77">
      <w:pPr>
        <w:tabs>
          <w:tab w:val="left" w:pos="1680"/>
        </w:tabs>
        <w:rPr>
          <w:rFonts w:eastAsia="HelenPro-Regular"/>
        </w:rPr>
      </w:pPr>
    </w:p>
    <w:p w:rsidR="00D6291F" w:rsidRDefault="00D6291F" w:rsidP="00DB5C77">
      <w:pPr>
        <w:tabs>
          <w:tab w:val="left" w:pos="1680"/>
        </w:tabs>
        <w:rPr>
          <w:rFonts w:eastAsia="HelenPro-Regular"/>
        </w:rPr>
      </w:pPr>
    </w:p>
    <w:p w:rsidR="00D6291F" w:rsidRPr="00D6291F" w:rsidRDefault="00D6291F" w:rsidP="00D6291F">
      <w:pPr>
        <w:autoSpaceDE w:val="0"/>
        <w:autoSpaceDN w:val="0"/>
        <w:adjustRightInd w:val="0"/>
        <w:rPr>
          <w:rFonts w:eastAsia="HelenPro-Regular"/>
          <w:b/>
        </w:rPr>
      </w:pPr>
      <w:r>
        <w:rPr>
          <w:rFonts w:eastAsia="HelenPro-Regular"/>
          <w:b/>
        </w:rPr>
        <w:t>Urine</w:t>
      </w:r>
    </w:p>
    <w:p w:rsidR="00DB5C77" w:rsidRPr="00595F0A" w:rsidRDefault="00DB5C77" w:rsidP="00F95946">
      <w:pPr>
        <w:autoSpaceDE w:val="0"/>
        <w:autoSpaceDN w:val="0"/>
        <w:adjustRightInd w:val="0"/>
        <w:rPr>
          <w:rFonts w:eastAsia="HelenPro-Regular"/>
          <w:b/>
        </w:rPr>
      </w:pPr>
      <w:r>
        <w:rPr>
          <w:rFonts w:eastAsia="HelenPro-Regular"/>
          <w:b/>
          <w:noProof/>
        </w:rPr>
        <w:drawing>
          <wp:inline distT="0" distB="0" distL="0" distR="0">
            <wp:extent cx="3914775" cy="27637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93" cy="277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0A" w:rsidRDefault="00595F0A" w:rsidP="00F95946">
      <w:pPr>
        <w:autoSpaceDE w:val="0"/>
        <w:autoSpaceDN w:val="0"/>
        <w:adjustRightInd w:val="0"/>
        <w:rPr>
          <w:rFonts w:eastAsia="HelenPro-Regular"/>
        </w:rPr>
      </w:pPr>
    </w:p>
    <w:p w:rsidR="00AD7240" w:rsidRDefault="00AD7240" w:rsidP="00F95946">
      <w:pPr>
        <w:autoSpaceDE w:val="0"/>
        <w:autoSpaceDN w:val="0"/>
        <w:adjustRightInd w:val="0"/>
        <w:rPr>
          <w:rFonts w:eastAsia="HelenPro-Regular"/>
        </w:rPr>
      </w:pPr>
    </w:p>
    <w:p w:rsidR="00AD7240" w:rsidRDefault="00AD7240" w:rsidP="00F95946">
      <w:pPr>
        <w:autoSpaceDE w:val="0"/>
        <w:autoSpaceDN w:val="0"/>
        <w:adjustRightInd w:val="0"/>
        <w:rPr>
          <w:rFonts w:eastAsia="HelenPro-Regular"/>
        </w:rPr>
      </w:pPr>
    </w:p>
    <w:p w:rsidR="00AD7240" w:rsidRDefault="00AD7240" w:rsidP="00F95946">
      <w:pPr>
        <w:autoSpaceDE w:val="0"/>
        <w:autoSpaceDN w:val="0"/>
        <w:adjustRightInd w:val="0"/>
        <w:rPr>
          <w:rFonts w:eastAsia="HelenPro-Regular"/>
        </w:rPr>
      </w:pPr>
    </w:p>
    <w:p w:rsidR="00AD7240" w:rsidRPr="00595F0A" w:rsidRDefault="00AD7240" w:rsidP="00F95946">
      <w:pPr>
        <w:autoSpaceDE w:val="0"/>
        <w:autoSpaceDN w:val="0"/>
        <w:adjustRightInd w:val="0"/>
        <w:rPr>
          <w:rFonts w:eastAsia="HelenPro-Regular"/>
        </w:rPr>
      </w:pP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0816F2" w:rsidRDefault="00D6291F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  <w:noProof/>
        </w:rPr>
        <w:drawing>
          <wp:inline distT="0" distB="0" distL="0" distR="0">
            <wp:extent cx="5071371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510" cy="164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91F" w:rsidRDefault="00D6291F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  <w:noProof/>
        </w:rPr>
        <w:lastRenderedPageBreak/>
        <w:drawing>
          <wp:inline distT="0" distB="0" distL="0" distR="0">
            <wp:extent cx="4095750" cy="70929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0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03" w:rsidRDefault="009F3103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The above solutions were prepared by addition of the interfering substances to human serum pool.</w:t>
      </w:r>
    </w:p>
    <w:p w:rsidR="009F3103" w:rsidRDefault="009F3103" w:rsidP="000816F2">
      <w:pPr>
        <w:autoSpaceDE w:val="0"/>
        <w:autoSpaceDN w:val="0"/>
        <w:adjustRightInd w:val="0"/>
        <w:rPr>
          <w:rFonts w:eastAsia="HelenPro-Regular"/>
        </w:rPr>
      </w:pPr>
    </w:p>
    <w:p w:rsidR="009F3103" w:rsidRPr="00C90BB3" w:rsidRDefault="009F3103" w:rsidP="000816F2">
      <w:pPr>
        <w:autoSpaceDE w:val="0"/>
        <w:autoSpaceDN w:val="0"/>
        <w:adjustRightInd w:val="0"/>
        <w:rPr>
          <w:rFonts w:eastAsia="HelenPro-Regular"/>
          <w:b/>
        </w:rPr>
      </w:pPr>
      <w:r w:rsidRPr="00C90BB3">
        <w:rPr>
          <w:rFonts w:eastAsia="HelenPro-Regular"/>
          <w:b/>
        </w:rPr>
        <w:t xml:space="preserve">Drug </w:t>
      </w:r>
      <w:r w:rsidR="00C90BB3" w:rsidRPr="00C90BB3">
        <w:rPr>
          <w:rFonts w:eastAsia="HelenPro-Regular"/>
          <w:b/>
        </w:rPr>
        <w:t>Interference</w:t>
      </w:r>
    </w:p>
    <w:p w:rsidR="00C90BB3" w:rsidRDefault="009F3103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The following drugs were tested for interference at the concentrations indicated using an acceptance criteria of +/- 7.5% from the target value.</w:t>
      </w:r>
    </w:p>
    <w:p w:rsidR="00C90BB3" w:rsidRDefault="00C90BB3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  <w:noProof/>
        </w:rPr>
        <w:lastRenderedPageBreak/>
        <w:drawing>
          <wp:inline distT="0" distB="0" distL="0" distR="0">
            <wp:extent cx="4114800" cy="35259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92" cy="35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03" w:rsidRPr="000816F2" w:rsidRDefault="009F3103" w:rsidP="000816F2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 </w:t>
      </w:r>
    </w:p>
    <w:p w:rsidR="00BC1EC4" w:rsidRDefault="00BC1EC4" w:rsidP="000816F2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Pr="004F46B4" w:rsidRDefault="00D16B69" w:rsidP="00D16B69">
      <w:pPr>
        <w:jc w:val="both"/>
        <w:rPr>
          <w:b/>
        </w:rPr>
      </w:pPr>
      <w:r w:rsidRPr="004F46B4">
        <w:rPr>
          <w:b/>
        </w:rPr>
        <w:t>References:</w:t>
      </w:r>
      <w:r w:rsidR="00973EAF" w:rsidRPr="004F46B4">
        <w:rPr>
          <w:b/>
        </w:rPr>
        <w:t xml:space="preserve"> </w:t>
      </w:r>
    </w:p>
    <w:p w:rsidR="000A13F2" w:rsidRPr="004F46B4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F46B4">
        <w:rPr>
          <w:sz w:val="22"/>
          <w:szCs w:val="22"/>
        </w:rPr>
        <w:t xml:space="preserve">ABBOTT ARCHITECT </w:t>
      </w:r>
      <w:r w:rsidR="00994828" w:rsidRPr="004F46B4">
        <w:rPr>
          <w:sz w:val="22"/>
          <w:szCs w:val="22"/>
        </w:rPr>
        <w:t>Magnesium</w:t>
      </w:r>
      <w:r w:rsidRPr="004F46B4">
        <w:rPr>
          <w:sz w:val="22"/>
          <w:szCs w:val="22"/>
        </w:rPr>
        <w:t xml:space="preserve"> package insert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Laboratories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Diagnostics Division</w:t>
      </w:r>
    </w:p>
    <w:p w:rsidR="000A13F2" w:rsidRPr="004F46B4" w:rsidRDefault="000A13F2" w:rsidP="000A13F2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Park, IL  60064</w:t>
      </w:r>
    </w:p>
    <w:p w:rsidR="000A13F2" w:rsidRPr="004F46B4" w:rsidRDefault="00EE5138" w:rsidP="000A13F2">
      <w:pPr>
        <w:pStyle w:val="ListParagraph"/>
        <w:rPr>
          <w:rFonts w:eastAsia="HelenPro-Bold"/>
          <w:bCs/>
        </w:rPr>
      </w:pPr>
      <w:r>
        <w:rPr>
          <w:bCs/>
          <w:sz w:val="22"/>
          <w:szCs w:val="22"/>
        </w:rPr>
        <w:t>November 2018 307290R03</w:t>
      </w:r>
    </w:p>
    <w:p w:rsidR="00723CD6" w:rsidRPr="004F46B4" w:rsidRDefault="00723CD6" w:rsidP="00723CD6">
      <w:pPr>
        <w:pStyle w:val="ListParagraph"/>
        <w:numPr>
          <w:ilvl w:val="0"/>
          <w:numId w:val="4"/>
        </w:numPr>
      </w:pPr>
      <w:r w:rsidRPr="004F46B4">
        <w:rPr>
          <w:rFonts w:eastAsia="HelenPro-Bold"/>
          <w:bCs/>
        </w:rPr>
        <w:t>ABBOTT Multiconstituent Calibrator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Laboratories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Diagnostics Division</w:t>
      </w:r>
    </w:p>
    <w:p w:rsidR="00723CD6" w:rsidRPr="004F46B4" w:rsidRDefault="00723CD6" w:rsidP="00723CD6">
      <w:pPr>
        <w:pStyle w:val="ListParagraph"/>
        <w:rPr>
          <w:sz w:val="22"/>
          <w:szCs w:val="22"/>
        </w:rPr>
      </w:pPr>
      <w:r w:rsidRPr="004F46B4">
        <w:rPr>
          <w:sz w:val="22"/>
          <w:szCs w:val="22"/>
        </w:rPr>
        <w:t>Abbott Park, IL  60064</w:t>
      </w:r>
    </w:p>
    <w:p w:rsidR="00723CD6" w:rsidRPr="004F46B4" w:rsidRDefault="00484BE3" w:rsidP="00723CD6">
      <w:pPr>
        <w:pStyle w:val="ListParagraph"/>
        <w:ind w:left="630"/>
      </w:pPr>
      <w:r w:rsidRPr="004F46B4">
        <w:rPr>
          <w:bCs/>
          <w:sz w:val="22"/>
          <w:szCs w:val="22"/>
        </w:rPr>
        <w:t>June</w:t>
      </w:r>
      <w:r w:rsidR="00723CD6" w:rsidRPr="004F46B4">
        <w:rPr>
          <w:bCs/>
          <w:sz w:val="22"/>
          <w:szCs w:val="22"/>
        </w:rPr>
        <w:t xml:space="preserve"> 20</w:t>
      </w:r>
      <w:r w:rsidRPr="004F46B4">
        <w:rPr>
          <w:bCs/>
          <w:sz w:val="22"/>
          <w:szCs w:val="22"/>
        </w:rPr>
        <w:t>13</w:t>
      </w:r>
      <w:r w:rsidR="00723CD6" w:rsidRPr="004F46B4">
        <w:rPr>
          <w:bCs/>
          <w:sz w:val="22"/>
          <w:szCs w:val="22"/>
        </w:rPr>
        <w:t xml:space="preserve"> </w:t>
      </w:r>
      <w:r w:rsidRPr="004F46B4">
        <w:rPr>
          <w:rFonts w:eastAsia="HelenPro-Regular"/>
        </w:rPr>
        <w:t>306297/R04</w:t>
      </w:r>
    </w:p>
    <w:p w:rsidR="00881923" w:rsidRPr="004F46B4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4F46B4">
        <w:t>Abbott ARCHITECT</w:t>
      </w:r>
      <w:r w:rsidR="00D16B69" w:rsidRPr="004F46B4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246FA8" w:rsidRDefault="00246FA8" w:rsidP="0009322F">
      <w:pPr>
        <w:rPr>
          <w:b/>
        </w:rPr>
      </w:pPr>
    </w:p>
    <w:sectPr w:rsidR="00246FA8" w:rsidSect="00507B0C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B3" w:rsidRDefault="00C90BB3">
      <w:r>
        <w:separator/>
      </w:r>
    </w:p>
  </w:endnote>
  <w:endnote w:type="continuationSeparator" w:id="0">
    <w:p w:rsidR="00C90BB3" w:rsidRDefault="00C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B3" w:rsidRDefault="00C90BB3" w:rsidP="00BC1EC4">
    <w:pPr>
      <w:pStyle w:val="Footer"/>
      <w:rPr>
        <w:b/>
        <w:sz w:val="20"/>
        <w:szCs w:val="20"/>
      </w:rPr>
    </w:pPr>
  </w:p>
  <w:p w:rsidR="00C90BB3" w:rsidRDefault="00C90BB3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3A7FD6">
      <w:rPr>
        <w:noProof/>
        <w:sz w:val="20"/>
        <w:szCs w:val="20"/>
      </w:rPr>
      <w:t>2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3A7FD6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C90BB3" w:rsidRDefault="00C90BB3">
    <w:pPr>
      <w:pStyle w:val="Footer"/>
    </w:pPr>
  </w:p>
  <w:p w:rsidR="00C90BB3" w:rsidRDefault="00C90BB3" w:rsidP="006D28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B3" w:rsidRDefault="00C90BB3">
      <w:r>
        <w:separator/>
      </w:r>
    </w:p>
  </w:footnote>
  <w:footnote w:type="continuationSeparator" w:id="0">
    <w:p w:rsidR="00C90BB3" w:rsidRDefault="00C9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B3" w:rsidRDefault="00C90BB3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Proc#4840-CH-137</w:t>
    </w:r>
  </w:p>
  <w:p w:rsidR="00C90BB3" w:rsidRDefault="00C90BB3" w:rsidP="00100BF8">
    <w:pPr>
      <w:jc w:val="right"/>
      <w:rPr>
        <w:sz w:val="20"/>
        <w:szCs w:val="20"/>
      </w:rPr>
    </w:pPr>
    <w:r>
      <w:rPr>
        <w:sz w:val="20"/>
        <w:szCs w:val="20"/>
      </w:rPr>
      <w:t>ARCHITECT Mg New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500477"/>
    <w:multiLevelType w:val="hybridMultilevel"/>
    <w:tmpl w:val="D1DA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6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6F2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257E0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B5D25"/>
    <w:rsid w:val="001C48DA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A7FD6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85DA2"/>
    <w:rsid w:val="00493DD1"/>
    <w:rsid w:val="004A03BD"/>
    <w:rsid w:val="004A2AA3"/>
    <w:rsid w:val="004C05F8"/>
    <w:rsid w:val="004C104D"/>
    <w:rsid w:val="004C2C23"/>
    <w:rsid w:val="004C37CB"/>
    <w:rsid w:val="004C45E8"/>
    <w:rsid w:val="004F46B4"/>
    <w:rsid w:val="004F5F8A"/>
    <w:rsid w:val="00501C1C"/>
    <w:rsid w:val="00507B0C"/>
    <w:rsid w:val="00513604"/>
    <w:rsid w:val="00526E5D"/>
    <w:rsid w:val="00533CE1"/>
    <w:rsid w:val="00551335"/>
    <w:rsid w:val="0055619E"/>
    <w:rsid w:val="0056023B"/>
    <w:rsid w:val="005630AA"/>
    <w:rsid w:val="00574309"/>
    <w:rsid w:val="005806E5"/>
    <w:rsid w:val="0058304A"/>
    <w:rsid w:val="005902C0"/>
    <w:rsid w:val="00595F0A"/>
    <w:rsid w:val="005A1D53"/>
    <w:rsid w:val="005A4739"/>
    <w:rsid w:val="005A7348"/>
    <w:rsid w:val="005B0D1C"/>
    <w:rsid w:val="005C4924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2702D"/>
    <w:rsid w:val="0063150E"/>
    <w:rsid w:val="00644800"/>
    <w:rsid w:val="006559EB"/>
    <w:rsid w:val="00674186"/>
    <w:rsid w:val="0067497E"/>
    <w:rsid w:val="006A1A1C"/>
    <w:rsid w:val="006A3258"/>
    <w:rsid w:val="006A5AAE"/>
    <w:rsid w:val="006B3C65"/>
    <w:rsid w:val="006D28ED"/>
    <w:rsid w:val="006D40ED"/>
    <w:rsid w:val="006E5155"/>
    <w:rsid w:val="006F7F4F"/>
    <w:rsid w:val="00707BCD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124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94828"/>
    <w:rsid w:val="00995815"/>
    <w:rsid w:val="009A4991"/>
    <w:rsid w:val="009B4C90"/>
    <w:rsid w:val="009C10C9"/>
    <w:rsid w:val="009C7BD7"/>
    <w:rsid w:val="009D1D61"/>
    <w:rsid w:val="009D498B"/>
    <w:rsid w:val="009E0FF1"/>
    <w:rsid w:val="009E49EB"/>
    <w:rsid w:val="009F3103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D7240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77E81"/>
    <w:rsid w:val="00B864B3"/>
    <w:rsid w:val="00BA0054"/>
    <w:rsid w:val="00BC1EC4"/>
    <w:rsid w:val="00BC5937"/>
    <w:rsid w:val="00BC76E2"/>
    <w:rsid w:val="00BD378E"/>
    <w:rsid w:val="00BE40A6"/>
    <w:rsid w:val="00C32412"/>
    <w:rsid w:val="00C34CF8"/>
    <w:rsid w:val="00C53E37"/>
    <w:rsid w:val="00C63D0C"/>
    <w:rsid w:val="00C90BB3"/>
    <w:rsid w:val="00C90E57"/>
    <w:rsid w:val="00C912E2"/>
    <w:rsid w:val="00C967D5"/>
    <w:rsid w:val="00CA11D0"/>
    <w:rsid w:val="00CA1F88"/>
    <w:rsid w:val="00CB37B4"/>
    <w:rsid w:val="00CC2751"/>
    <w:rsid w:val="00CC37B4"/>
    <w:rsid w:val="00CC3D62"/>
    <w:rsid w:val="00CE2DC7"/>
    <w:rsid w:val="00CF32F5"/>
    <w:rsid w:val="00CF7868"/>
    <w:rsid w:val="00D16262"/>
    <w:rsid w:val="00D16B69"/>
    <w:rsid w:val="00D27C5A"/>
    <w:rsid w:val="00D305B1"/>
    <w:rsid w:val="00D339B0"/>
    <w:rsid w:val="00D5070C"/>
    <w:rsid w:val="00D50F05"/>
    <w:rsid w:val="00D5211B"/>
    <w:rsid w:val="00D60AFA"/>
    <w:rsid w:val="00D6291F"/>
    <w:rsid w:val="00D64E39"/>
    <w:rsid w:val="00D71AF7"/>
    <w:rsid w:val="00D73BF8"/>
    <w:rsid w:val="00D77B64"/>
    <w:rsid w:val="00D80968"/>
    <w:rsid w:val="00D84851"/>
    <w:rsid w:val="00D94BB8"/>
    <w:rsid w:val="00D97908"/>
    <w:rsid w:val="00DA040A"/>
    <w:rsid w:val="00DA4542"/>
    <w:rsid w:val="00DA48E6"/>
    <w:rsid w:val="00DA6C6A"/>
    <w:rsid w:val="00DB49D0"/>
    <w:rsid w:val="00DB5C77"/>
    <w:rsid w:val="00DC1E15"/>
    <w:rsid w:val="00DC56D1"/>
    <w:rsid w:val="00DD0481"/>
    <w:rsid w:val="00DE31C8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72D45"/>
    <w:rsid w:val="00E840BC"/>
    <w:rsid w:val="00E9700E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E5138"/>
    <w:rsid w:val="00EF4170"/>
    <w:rsid w:val="00F0326B"/>
    <w:rsid w:val="00F05B5F"/>
    <w:rsid w:val="00F05CCD"/>
    <w:rsid w:val="00F10B31"/>
    <w:rsid w:val="00F13523"/>
    <w:rsid w:val="00F1787A"/>
    <w:rsid w:val="00F17F45"/>
    <w:rsid w:val="00F21070"/>
    <w:rsid w:val="00F23218"/>
    <w:rsid w:val="00F25293"/>
    <w:rsid w:val="00F32BBD"/>
    <w:rsid w:val="00F3700B"/>
    <w:rsid w:val="00F43150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A0187"/>
    <w:rsid w:val="00FB49F4"/>
    <w:rsid w:val="00FD6E32"/>
    <w:rsid w:val="00FE6829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10E7-7D4D-480B-A08B-942E341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1646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11364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Suzanne Khoury</cp:lastModifiedBy>
  <cp:revision>2</cp:revision>
  <cp:lastPrinted>2012-02-10T12:42:00Z</cp:lastPrinted>
  <dcterms:created xsi:type="dcterms:W3CDTF">2019-07-03T12:28:00Z</dcterms:created>
  <dcterms:modified xsi:type="dcterms:W3CDTF">2019-07-03T12:28:00Z</dcterms:modified>
</cp:coreProperties>
</file>