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11" w:rsidRDefault="00EB7408" w:rsidP="00EB7408">
      <w:pPr>
        <w:spacing w:after="0"/>
      </w:pPr>
      <w:bookmarkStart w:id="0" w:name="_GoBack"/>
      <w:bookmarkEnd w:id="0"/>
      <w:r>
        <w:tab/>
      </w:r>
      <w:r>
        <w:tab/>
      </w:r>
      <w:r>
        <w:tab/>
      </w:r>
      <w:r>
        <w:tab/>
      </w:r>
      <w:r>
        <w:tab/>
      </w:r>
      <w:r>
        <w:tab/>
      </w:r>
      <w:r>
        <w:tab/>
      </w:r>
      <w:r>
        <w:tab/>
      </w:r>
      <w:r>
        <w:tab/>
        <w:t xml:space="preserve">          </w:t>
      </w:r>
      <w:r w:rsidR="0094278B">
        <w:tab/>
      </w:r>
      <w:r w:rsidR="0094278B">
        <w:tab/>
      </w:r>
      <w:r>
        <w:t xml:space="preserve"> Procedure #4840-CH-501</w:t>
      </w:r>
    </w:p>
    <w:p w:rsidR="00EB7408" w:rsidRDefault="00EB7408" w:rsidP="00EB7408">
      <w:pPr>
        <w:spacing w:after="0"/>
      </w:pPr>
      <w:r>
        <w:tab/>
      </w:r>
      <w:r>
        <w:tab/>
      </w:r>
      <w:r>
        <w:tab/>
      </w:r>
      <w:r>
        <w:tab/>
      </w:r>
      <w:r>
        <w:tab/>
      </w:r>
      <w:r>
        <w:tab/>
      </w:r>
      <w:r>
        <w:tab/>
      </w:r>
      <w:r>
        <w:tab/>
        <w:t xml:space="preserve">                         </w:t>
      </w:r>
      <w:r w:rsidR="0094278B">
        <w:tab/>
      </w:r>
      <w:r w:rsidR="0094278B">
        <w:tab/>
      </w:r>
      <w:r w:rsidR="00FE0D40">
        <w:t xml:space="preserve"> </w:t>
      </w:r>
      <w:r>
        <w:t>Architect Vancomycin</w:t>
      </w:r>
    </w:p>
    <w:p w:rsidR="00FE0D40" w:rsidRDefault="00FE0D40" w:rsidP="00EB7408">
      <w:pPr>
        <w:spacing w:after="0"/>
      </w:pPr>
      <w:r>
        <w:rPr>
          <w:noProof/>
        </w:rPr>
        <w:drawing>
          <wp:inline distT="0" distB="0" distL="0" distR="0" wp14:anchorId="76141FD8" wp14:editId="7D1688F1">
            <wp:extent cx="1628775" cy="571500"/>
            <wp:effectExtent l="0" t="0" r="9525" b="0"/>
            <wp:docPr id="17" name="Picture 17"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1628775" cy="571500"/>
                    </a:xfrm>
                    <a:prstGeom prst="rect">
                      <a:avLst/>
                    </a:prstGeom>
                    <a:noFill/>
                    <a:ln w="9525">
                      <a:noFill/>
                      <a:miter lim="800000"/>
                      <a:headEnd/>
                      <a:tailEnd/>
                    </a:ln>
                  </pic:spPr>
                </pic:pic>
              </a:graphicData>
            </a:graphic>
          </wp:inline>
        </w:drawing>
      </w:r>
    </w:p>
    <w:p w:rsidR="00FE0D40" w:rsidRDefault="00FE0D40" w:rsidP="00EB7408">
      <w:pPr>
        <w:spacing w:after="0"/>
      </w:pPr>
    </w:p>
    <w:p w:rsidR="00464711" w:rsidRDefault="00FE0D40" w:rsidP="00FE0D40">
      <w:pPr>
        <w:tabs>
          <w:tab w:val="left" w:pos="720"/>
          <w:tab w:val="left" w:pos="1440"/>
          <w:tab w:val="left" w:pos="7620"/>
        </w:tabs>
        <w:spacing w:after="0"/>
        <w:jc w:val="center"/>
        <w:rPr>
          <w:b/>
          <w:sz w:val="28"/>
          <w:szCs w:val="28"/>
        </w:rPr>
      </w:pPr>
      <w:r w:rsidRPr="00FE0D40">
        <w:rPr>
          <w:b/>
          <w:sz w:val="28"/>
          <w:szCs w:val="28"/>
        </w:rPr>
        <w:t>i-Vancomycin</w:t>
      </w:r>
    </w:p>
    <w:p w:rsidR="00FE0D40" w:rsidRPr="00FE0D40" w:rsidRDefault="00FE0D40" w:rsidP="00FE0D40">
      <w:pPr>
        <w:tabs>
          <w:tab w:val="left" w:pos="720"/>
          <w:tab w:val="left" w:pos="1440"/>
          <w:tab w:val="left" w:pos="7620"/>
        </w:tabs>
        <w:spacing w:after="0"/>
        <w:jc w:val="center"/>
        <w:rPr>
          <w:b/>
          <w:sz w:val="28"/>
          <w:szCs w:val="28"/>
        </w:rPr>
      </w:pPr>
      <w:r>
        <w:rPr>
          <w:b/>
          <w:sz w:val="28"/>
          <w:szCs w:val="28"/>
        </w:rPr>
        <w:t>Serum/Plasma</w:t>
      </w:r>
    </w:p>
    <w:p w:rsidR="00FE0D40" w:rsidRPr="00FE0D40" w:rsidRDefault="00FE0D40" w:rsidP="00FE0D40">
      <w:pPr>
        <w:tabs>
          <w:tab w:val="left" w:pos="720"/>
          <w:tab w:val="left" w:pos="1440"/>
          <w:tab w:val="left" w:pos="7620"/>
        </w:tabs>
        <w:spacing w:after="0"/>
        <w:jc w:val="center"/>
        <w:rPr>
          <w:b/>
          <w:sz w:val="28"/>
          <w:szCs w:val="28"/>
        </w:rPr>
      </w:pPr>
      <w:r w:rsidRPr="00FE0D40">
        <w:rPr>
          <w:b/>
          <w:sz w:val="28"/>
          <w:szCs w:val="28"/>
        </w:rPr>
        <w:t>Abbott Architect</w:t>
      </w:r>
    </w:p>
    <w:p w:rsidR="00B80A3F" w:rsidRDefault="00B80A3F" w:rsidP="00B80A3F">
      <w:pPr>
        <w:tabs>
          <w:tab w:val="left" w:pos="720"/>
          <w:tab w:val="left" w:pos="1440"/>
          <w:tab w:val="left" w:pos="7620"/>
        </w:tabs>
        <w:jc w:val="both"/>
      </w:pPr>
    </w:p>
    <w:p w:rsidR="00087FE9" w:rsidRPr="00610487" w:rsidRDefault="00087FE9" w:rsidP="00087FE9">
      <w:pPr>
        <w:pStyle w:val="Heading1"/>
        <w:rPr>
          <w:rFonts w:eastAsiaTheme="minorEastAsia"/>
          <w:b w:val="0"/>
          <w:bCs w:val="0"/>
          <w:sz w:val="28"/>
          <w:szCs w:val="28"/>
          <w:lang w:eastAsia="en-US"/>
        </w:rPr>
      </w:pPr>
      <w:r w:rsidRPr="00610487">
        <w:rPr>
          <w:sz w:val="28"/>
          <w:szCs w:val="28"/>
        </w:rPr>
        <w:t>Intended Use</w:t>
      </w:r>
    </w:p>
    <w:p w:rsidR="00087FE9" w:rsidRDefault="00087FE9" w:rsidP="00087FE9">
      <w:pPr>
        <w:spacing w:before="60" w:after="120"/>
      </w:pPr>
      <w:r>
        <w:t xml:space="preserve">The ARCHITECT iVancomycin assay is an </w:t>
      </w:r>
      <w:r>
        <w:rPr>
          <w:i/>
        </w:rPr>
        <w:t>in vitro</w:t>
      </w:r>
      <w:r>
        <w:t xml:space="preserve"> chemiluminescent microparticle immunoassay (CMIA) for the quantitative measurement of vancomycin in human serum or plasma on the ARCHITECT iSystem with STAT protocol capability. The ARCHITECT iVancomycin assay is used in the diagnosis and treatment of vancomycin overdose and in monitoring levels of vancomycin to help ensure appropriate therapy.</w:t>
      </w:r>
      <w:bookmarkStart w:id="1" w:name="unique_5"/>
      <w:bookmarkEnd w:id="1"/>
    </w:p>
    <w:p w:rsidR="00087FE9" w:rsidRPr="00610487" w:rsidRDefault="00087FE9" w:rsidP="00087FE9">
      <w:pPr>
        <w:spacing w:before="60" w:after="60"/>
        <w:rPr>
          <w:rFonts w:ascii="Times New Roman" w:hAnsi="Times New Roman" w:cs="Times New Roman"/>
          <w:b/>
          <w:sz w:val="28"/>
          <w:szCs w:val="28"/>
        </w:rPr>
      </w:pPr>
      <w:r w:rsidRPr="00610487">
        <w:rPr>
          <w:rFonts w:ascii="Times New Roman" w:hAnsi="Times New Roman" w:cs="Times New Roman"/>
          <w:b/>
          <w:sz w:val="28"/>
          <w:szCs w:val="28"/>
        </w:rPr>
        <w:t>Clinical Significance</w:t>
      </w:r>
    </w:p>
    <w:p w:rsidR="00087FE9" w:rsidRDefault="00087FE9" w:rsidP="00087FE9">
      <w:pPr>
        <w:spacing w:before="60" w:after="60"/>
      </w:pPr>
      <w:r>
        <w:t xml:space="preserve">Vancomycin hydrochloride is a tricyclic glycopeptide derived from </w:t>
      </w:r>
      <w:r>
        <w:rPr>
          <w:i/>
        </w:rPr>
        <w:t>Amycolatopsis orientalis</w:t>
      </w:r>
      <w:r>
        <w:t>.</w:t>
      </w:r>
      <w:hyperlink w:anchor="unique_6_Connect_42_li_tv3_rft_dp" w:history="1">
        <w:r>
          <w:rPr>
            <w:i/>
            <w:color w:val="0000FF"/>
            <w:u w:val="single"/>
          </w:rPr>
          <w:t>1</w:t>
        </w:r>
      </w:hyperlink>
      <w:r>
        <w:t xml:space="preserve"> It is commonly used in the treatment of methicillin-resistant </w:t>
      </w:r>
      <w:r>
        <w:rPr>
          <w:i/>
        </w:rPr>
        <w:t>Staphylococcus aureus</w:t>
      </w:r>
      <w:r>
        <w:t xml:space="preserve"> infections.</w:t>
      </w:r>
      <w:hyperlink w:anchor="unique_6_Connect_42_li_e2l_wft_dp" w:history="1">
        <w:r>
          <w:rPr>
            <w:i/>
            <w:color w:val="0000FF"/>
            <w:u w:val="single"/>
          </w:rPr>
          <w:t>2</w:t>
        </w:r>
      </w:hyperlink>
      <w:r>
        <w:t xml:space="preserve"> This glycopeptide inhibits the growth of the bacterium by intervening in the cell wall synthesis, thereby killing the bacterium. Extensive review articles have been published which fully examine vancomycin’s effectiveness and pharmacokinetics.</w:t>
      </w:r>
      <w:hyperlink w:anchor="unique_6_Connect_42_li_tv3_rft_dp" w:history="1">
        <w:r>
          <w:rPr>
            <w:i/>
            <w:color w:val="0000FF"/>
            <w:u w:val="single"/>
          </w:rPr>
          <w:t>1</w:t>
        </w:r>
      </w:hyperlink>
      <w:r>
        <w:rPr>
          <w:i/>
        </w:rPr>
        <w:t xml:space="preserve">, </w:t>
      </w:r>
      <w:hyperlink w:anchor="unique_6_Connect_42_li_ewy_xft_dp" w:history="1">
        <w:r>
          <w:rPr>
            <w:i/>
            <w:color w:val="0000FF"/>
            <w:u w:val="single"/>
          </w:rPr>
          <w:t>3</w:t>
        </w:r>
      </w:hyperlink>
    </w:p>
    <w:p w:rsidR="00087FE9" w:rsidRDefault="00087FE9" w:rsidP="00087FE9">
      <w:pPr>
        <w:spacing w:before="60" w:after="120"/>
      </w:pPr>
      <w:r>
        <w:t>Vancomycin is absorbed minimally from the gastrointestinal tract. In the first 24 hours after intravenous dosing, the usual route of administration, about 90% of the vancomycin is excreted unchanged by the kidneys. The average half-life in patients with normal renal function is about 6 hours. Vancomycin is approximately 55% bound to plasma proteins. Therapeutic serum levels vary depending on the microorganism involved and the patient’s tolerance to the drug.</w:t>
      </w:r>
      <w:hyperlink w:anchor="unique_6_Connect_42_li_jy4_yft_dp" w:history="1">
        <w:r>
          <w:rPr>
            <w:i/>
            <w:color w:val="0000FF"/>
            <w:u w:val="single"/>
          </w:rPr>
          <w:t>4</w:t>
        </w:r>
      </w:hyperlink>
      <w:r>
        <w:rPr>
          <w:i/>
        </w:rPr>
        <w:t xml:space="preserve">, </w:t>
      </w:r>
      <w:hyperlink w:anchor="unique_6_Connect_42_li_e55_yft_dp" w:history="1">
        <w:r>
          <w:rPr>
            <w:i/>
            <w:color w:val="0000FF"/>
            <w:u w:val="single"/>
          </w:rPr>
          <w:t>5</w:t>
        </w:r>
      </w:hyperlink>
      <w:r>
        <w:t xml:space="preserve"> Vancomycin serum or plasma concentrations are monitored to guide therapy, since individual patient differences require dose changes that are difficult to predict. Monitoring serum or plasma levels of vancomycin decreases the frequency of serious toxic effects.</w:t>
      </w:r>
      <w:bookmarkStart w:id="2" w:name="unique_7"/>
      <w:bookmarkEnd w:id="2"/>
    </w:p>
    <w:p w:rsidR="00087FE9" w:rsidRPr="00610487" w:rsidRDefault="00087FE9" w:rsidP="00087FE9">
      <w:pPr>
        <w:pStyle w:val="Heading1"/>
        <w:rPr>
          <w:rFonts w:eastAsiaTheme="minorEastAsia"/>
          <w:b w:val="0"/>
          <w:bCs w:val="0"/>
          <w:sz w:val="28"/>
          <w:szCs w:val="28"/>
          <w:lang w:eastAsia="en-US"/>
        </w:rPr>
      </w:pPr>
      <w:r w:rsidRPr="00610487">
        <w:rPr>
          <w:sz w:val="28"/>
          <w:szCs w:val="28"/>
        </w:rPr>
        <w:t>Principle</w:t>
      </w:r>
    </w:p>
    <w:p w:rsidR="00087FE9" w:rsidRDefault="00087FE9" w:rsidP="00087FE9">
      <w:pPr>
        <w:spacing w:before="60" w:after="60"/>
      </w:pPr>
      <w:r>
        <w:t>The ARCHITECT iVancomycin assay is a one-step STAT immunoassay for the quantitative measurement of vancomycin in human serum or plasma using CMIA technology with flexible assay protocols, referred to as Chemiflex.</w:t>
      </w:r>
    </w:p>
    <w:p w:rsidR="00087FE9" w:rsidRDefault="00087FE9" w:rsidP="00087FE9">
      <w:pPr>
        <w:widowControl w:val="0"/>
        <w:numPr>
          <w:ilvl w:val="0"/>
          <w:numId w:val="1"/>
        </w:numPr>
        <w:tabs>
          <w:tab w:val="clear" w:pos="360"/>
        </w:tabs>
        <w:autoSpaceDE w:val="0"/>
        <w:autoSpaceDN w:val="0"/>
        <w:adjustRightInd w:val="0"/>
        <w:spacing w:before="60" w:after="120" w:line="240" w:lineRule="auto"/>
      </w:pPr>
      <w:r>
        <w:t>Sample, anti-vancomycin coated paramagnetic microparticles, and vancomycin acridinium-labeled conjugate are combined to create a reaction mixture. The anti-vancomycin coated microparticles bind to vancomycin present in the sample and to the vancomycin acridinium-labeled conjugate.</w:t>
      </w:r>
    </w:p>
    <w:p w:rsidR="00087FE9" w:rsidRDefault="00087FE9" w:rsidP="00087FE9">
      <w:pPr>
        <w:widowControl w:val="0"/>
        <w:numPr>
          <w:ilvl w:val="0"/>
          <w:numId w:val="1"/>
        </w:numPr>
        <w:tabs>
          <w:tab w:val="clear" w:pos="360"/>
        </w:tabs>
        <w:autoSpaceDE w:val="0"/>
        <w:autoSpaceDN w:val="0"/>
        <w:adjustRightInd w:val="0"/>
        <w:spacing w:before="60" w:after="120" w:line="240" w:lineRule="auto"/>
      </w:pPr>
      <w:r>
        <w:t>After washing, Pre-Trigger and Trigger Solutions are added to the reaction mixture.</w:t>
      </w:r>
    </w:p>
    <w:p w:rsidR="00087FE9" w:rsidRDefault="00087FE9" w:rsidP="00087FE9">
      <w:pPr>
        <w:widowControl w:val="0"/>
        <w:numPr>
          <w:ilvl w:val="0"/>
          <w:numId w:val="1"/>
        </w:numPr>
        <w:tabs>
          <w:tab w:val="clear" w:pos="360"/>
        </w:tabs>
        <w:autoSpaceDE w:val="0"/>
        <w:autoSpaceDN w:val="0"/>
        <w:adjustRightInd w:val="0"/>
        <w:spacing w:before="60" w:after="120" w:line="240" w:lineRule="auto"/>
      </w:pPr>
      <w:r>
        <w:t>The resulting chemiluminescent reaction is measured as relative light units (RLUs). There is an indirect relationship between the amount of vancomycin in the sample and the RLUs detected by the ARCHITECT iSystem optics.</w:t>
      </w:r>
    </w:p>
    <w:p w:rsidR="00087FE9" w:rsidRPr="00610487" w:rsidRDefault="00087FE9" w:rsidP="00087FE9">
      <w:pPr>
        <w:pStyle w:val="Heading1"/>
        <w:rPr>
          <w:rFonts w:eastAsiaTheme="minorEastAsia"/>
          <w:b w:val="0"/>
          <w:bCs w:val="0"/>
          <w:sz w:val="28"/>
          <w:szCs w:val="28"/>
          <w:lang w:eastAsia="en-US"/>
        </w:rPr>
      </w:pPr>
      <w:r w:rsidRPr="00610487">
        <w:rPr>
          <w:sz w:val="28"/>
          <w:szCs w:val="28"/>
        </w:rPr>
        <w:t>REAGENTS</w:t>
      </w:r>
      <w:bookmarkStart w:id="3" w:name="unique_9"/>
      <w:bookmarkEnd w:id="3"/>
    </w:p>
    <w:p w:rsidR="00087FE9" w:rsidRDefault="00087FE9" w:rsidP="00087FE9">
      <w:pPr>
        <w:pStyle w:val="Heading2"/>
        <w:rPr>
          <w:rFonts w:eastAsiaTheme="minorEastAsia"/>
          <w:b w:val="0"/>
          <w:bCs w:val="0"/>
          <w:sz w:val="24"/>
          <w:szCs w:val="24"/>
        </w:rPr>
      </w:pPr>
      <w:r>
        <w:lastRenderedPageBreak/>
        <w:t>Kit Contents</w:t>
      </w:r>
    </w:p>
    <w:p w:rsidR="00087FE9" w:rsidRDefault="00087FE9" w:rsidP="00087FE9">
      <w:pPr>
        <w:spacing w:before="6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6065"/>
      </w:tblGrid>
      <w:tr w:rsidR="00087FE9" w:rsidTr="007D4600">
        <w:trPr>
          <w:trHeight w:val="129"/>
          <w:tblHeader/>
        </w:trPr>
        <w:tc>
          <w:tcPr>
            <w:tcW w:w="2319" w:type="dxa"/>
            <w:tcBorders>
              <w:bottom w:val="nil"/>
              <w:right w:val="nil"/>
            </w:tcBorders>
          </w:tcPr>
          <w:p w:rsidR="00087FE9" w:rsidRDefault="00087FE9" w:rsidP="00595DB0">
            <w:pPr>
              <w:pStyle w:val="tableheader"/>
              <w:autoSpaceDE/>
              <w:autoSpaceDN/>
              <w:adjustRightInd/>
              <w:spacing w:before="60" w:after="60"/>
            </w:pPr>
            <w:bookmarkStart w:id="4" w:name="unique_9_Connect_42_table_kj1_1sr_4k"/>
            <w:bookmarkStart w:id="5" w:name="unique_9_Connect_42_image_dqr_rsr_4k"/>
            <w:bookmarkEnd w:id="4"/>
            <w:bookmarkEnd w:id="5"/>
            <w:r>
              <w:rPr>
                <w:noProof/>
              </w:rPr>
              <w:drawing>
                <wp:inline distT="0" distB="0" distL="0" distR="0" wp14:anchorId="11CC171F" wp14:editId="5D9FC57E">
                  <wp:extent cx="189230" cy="10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30" cy="105410"/>
                          </a:xfrm>
                          <a:prstGeom prst="rect">
                            <a:avLst/>
                          </a:prstGeom>
                          <a:noFill/>
                          <a:ln>
                            <a:noFill/>
                          </a:ln>
                        </pic:spPr>
                      </pic:pic>
                    </a:graphicData>
                  </a:graphic>
                </wp:inline>
              </w:drawing>
            </w:r>
          </w:p>
        </w:tc>
        <w:tc>
          <w:tcPr>
            <w:tcW w:w="6065" w:type="dxa"/>
            <w:tcBorders>
              <w:left w:val="nil"/>
              <w:bottom w:val="nil"/>
            </w:tcBorders>
          </w:tcPr>
          <w:p w:rsidR="00087FE9" w:rsidRPr="004C4A21" w:rsidRDefault="00087FE9" w:rsidP="00595DB0">
            <w:pPr>
              <w:pStyle w:val="tableheader"/>
              <w:autoSpaceDE/>
              <w:autoSpaceDN/>
              <w:adjustRightInd/>
              <w:spacing w:before="60" w:after="60"/>
              <w:jc w:val="center"/>
              <w:rPr>
                <w:sz w:val="20"/>
                <w:szCs w:val="20"/>
              </w:rPr>
            </w:pPr>
            <w:r w:rsidRPr="004C4A21">
              <w:rPr>
                <w:sz w:val="20"/>
                <w:szCs w:val="20"/>
              </w:rPr>
              <w:t>1P30-28</w:t>
            </w:r>
          </w:p>
        </w:tc>
      </w:tr>
      <w:tr w:rsidR="00087FE9" w:rsidTr="007D4600">
        <w:trPr>
          <w:trHeight w:val="153"/>
          <w:tblHeader/>
        </w:trPr>
        <w:tc>
          <w:tcPr>
            <w:tcW w:w="2319" w:type="dxa"/>
            <w:tcBorders>
              <w:right w:val="nil"/>
            </w:tcBorders>
            <w:vAlign w:val="center"/>
          </w:tcPr>
          <w:p w:rsidR="00087FE9" w:rsidRDefault="00087FE9" w:rsidP="00595DB0">
            <w:pPr>
              <w:pStyle w:val="tableheader"/>
              <w:autoSpaceDE/>
              <w:autoSpaceDN/>
              <w:adjustRightInd/>
              <w:spacing w:before="60" w:after="60"/>
            </w:pPr>
            <w:bookmarkStart w:id="6" w:name="unique_9_Connect_42_image_gnq_ktr_4k"/>
            <w:bookmarkEnd w:id="6"/>
            <w:r>
              <w:rPr>
                <w:noProof/>
              </w:rPr>
              <w:drawing>
                <wp:inline distT="0" distB="0" distL="0" distR="0" wp14:anchorId="55686CAE" wp14:editId="221E3D5C">
                  <wp:extent cx="252095" cy="220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95" cy="220980"/>
                          </a:xfrm>
                          <a:prstGeom prst="rect">
                            <a:avLst/>
                          </a:prstGeom>
                          <a:noFill/>
                          <a:ln>
                            <a:noFill/>
                          </a:ln>
                        </pic:spPr>
                      </pic:pic>
                    </a:graphicData>
                  </a:graphic>
                </wp:inline>
              </w:drawing>
            </w:r>
          </w:p>
        </w:tc>
        <w:tc>
          <w:tcPr>
            <w:tcW w:w="6065" w:type="dxa"/>
            <w:tcBorders>
              <w:left w:val="nil"/>
            </w:tcBorders>
            <w:vAlign w:val="center"/>
          </w:tcPr>
          <w:p w:rsidR="00087FE9" w:rsidRPr="004C4A21" w:rsidRDefault="00087FE9" w:rsidP="00595DB0">
            <w:pPr>
              <w:pStyle w:val="tableheader"/>
              <w:autoSpaceDE/>
              <w:autoSpaceDN/>
              <w:adjustRightInd/>
              <w:spacing w:before="60" w:after="60"/>
              <w:jc w:val="center"/>
              <w:rPr>
                <w:sz w:val="20"/>
                <w:szCs w:val="20"/>
              </w:rPr>
            </w:pPr>
            <w:r w:rsidRPr="004C4A21">
              <w:rPr>
                <w:sz w:val="20"/>
                <w:szCs w:val="20"/>
              </w:rPr>
              <w:t>100</w:t>
            </w:r>
          </w:p>
        </w:tc>
      </w:tr>
      <w:tr w:rsidR="00087FE9" w:rsidTr="007D4600">
        <w:trPr>
          <w:trHeight w:val="158"/>
        </w:trPr>
        <w:tc>
          <w:tcPr>
            <w:tcW w:w="2319" w:type="dxa"/>
            <w:tcBorders>
              <w:bottom w:val="nil"/>
              <w:right w:val="nil"/>
            </w:tcBorders>
          </w:tcPr>
          <w:p w:rsidR="00087FE9" w:rsidRDefault="00087FE9" w:rsidP="00595DB0">
            <w:pPr>
              <w:spacing w:before="60" w:after="120"/>
            </w:pPr>
            <w:bookmarkStart w:id="7" w:name="unique_9_Connect_42_d10e883"/>
            <w:bookmarkEnd w:id="7"/>
            <w:r>
              <w:rPr>
                <w:noProof/>
              </w:rPr>
              <w:drawing>
                <wp:inline distT="0" distB="0" distL="0" distR="0" wp14:anchorId="71846CAE" wp14:editId="004A4610">
                  <wp:extent cx="683260" cy="105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260" cy="105410"/>
                          </a:xfrm>
                          <a:prstGeom prst="rect">
                            <a:avLst/>
                          </a:prstGeom>
                          <a:noFill/>
                          <a:ln>
                            <a:noFill/>
                          </a:ln>
                        </pic:spPr>
                      </pic:pic>
                    </a:graphicData>
                  </a:graphic>
                </wp:inline>
              </w:drawing>
            </w:r>
          </w:p>
        </w:tc>
        <w:tc>
          <w:tcPr>
            <w:tcW w:w="6065" w:type="dxa"/>
            <w:tcBorders>
              <w:left w:val="nil"/>
              <w:bottom w:val="nil"/>
            </w:tcBorders>
          </w:tcPr>
          <w:p w:rsidR="00087FE9" w:rsidRDefault="00087FE9" w:rsidP="00595DB0">
            <w:pPr>
              <w:spacing w:before="60" w:after="120"/>
              <w:jc w:val="center"/>
            </w:pPr>
            <w:r>
              <w:t>1 x 6.6 mL</w:t>
            </w:r>
          </w:p>
        </w:tc>
      </w:tr>
      <w:tr w:rsidR="00087FE9" w:rsidTr="007D4600">
        <w:trPr>
          <w:trHeight w:val="163"/>
        </w:trPr>
        <w:tc>
          <w:tcPr>
            <w:tcW w:w="2319" w:type="dxa"/>
            <w:tcBorders>
              <w:top w:val="nil"/>
              <w:bottom w:val="nil"/>
              <w:right w:val="nil"/>
            </w:tcBorders>
          </w:tcPr>
          <w:p w:rsidR="00087FE9" w:rsidRDefault="00087FE9" w:rsidP="00595DB0">
            <w:pPr>
              <w:spacing w:before="60" w:after="120"/>
            </w:pPr>
            <w:bookmarkStart w:id="8" w:name="unique_9_Connect_42_d10e922"/>
            <w:bookmarkEnd w:id="8"/>
            <w:r>
              <w:rPr>
                <w:noProof/>
              </w:rPr>
              <w:drawing>
                <wp:inline distT="0" distB="0" distL="0" distR="0" wp14:anchorId="3EF20AD6" wp14:editId="6696985E">
                  <wp:extent cx="483235" cy="105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105410"/>
                          </a:xfrm>
                          <a:prstGeom prst="rect">
                            <a:avLst/>
                          </a:prstGeom>
                          <a:noFill/>
                          <a:ln>
                            <a:noFill/>
                          </a:ln>
                        </pic:spPr>
                      </pic:pic>
                    </a:graphicData>
                  </a:graphic>
                </wp:inline>
              </w:drawing>
            </w:r>
          </w:p>
        </w:tc>
        <w:tc>
          <w:tcPr>
            <w:tcW w:w="6065" w:type="dxa"/>
            <w:tcBorders>
              <w:top w:val="nil"/>
              <w:left w:val="nil"/>
              <w:bottom w:val="nil"/>
            </w:tcBorders>
          </w:tcPr>
          <w:p w:rsidR="00087FE9" w:rsidRDefault="00087FE9" w:rsidP="00595DB0">
            <w:pPr>
              <w:spacing w:before="60" w:after="120"/>
              <w:jc w:val="center"/>
            </w:pPr>
            <w:r>
              <w:t>1 x 5.9 mL</w:t>
            </w:r>
          </w:p>
        </w:tc>
      </w:tr>
      <w:tr w:rsidR="00087FE9" w:rsidTr="007D4600">
        <w:trPr>
          <w:trHeight w:val="367"/>
        </w:trPr>
        <w:tc>
          <w:tcPr>
            <w:tcW w:w="8384" w:type="dxa"/>
            <w:gridSpan w:val="2"/>
            <w:tcBorders>
              <w:top w:val="nil"/>
              <w:bottom w:val="nil"/>
            </w:tcBorders>
          </w:tcPr>
          <w:p w:rsidR="00087FE9" w:rsidRPr="004C4A21" w:rsidRDefault="00087FE9" w:rsidP="00595DB0">
            <w:pPr>
              <w:spacing w:before="60" w:after="120"/>
              <w:rPr>
                <w:sz w:val="20"/>
                <w:szCs w:val="20"/>
              </w:rPr>
            </w:pPr>
            <w:bookmarkStart w:id="9" w:name="unique_9_Connect_42_image_k5r_lny_vl"/>
            <w:bookmarkEnd w:id="9"/>
            <w:r w:rsidRPr="004C4A21">
              <w:rPr>
                <w:noProof/>
                <w:sz w:val="20"/>
                <w:szCs w:val="20"/>
              </w:rPr>
              <w:drawing>
                <wp:inline distT="0" distB="0" distL="0" distR="0" wp14:anchorId="3082168D" wp14:editId="09A7E1EA">
                  <wp:extent cx="683260" cy="105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260" cy="105410"/>
                          </a:xfrm>
                          <a:prstGeom prst="rect">
                            <a:avLst/>
                          </a:prstGeom>
                          <a:noFill/>
                          <a:ln>
                            <a:noFill/>
                          </a:ln>
                        </pic:spPr>
                      </pic:pic>
                    </a:graphicData>
                  </a:graphic>
                </wp:inline>
              </w:drawing>
            </w:r>
            <w:r w:rsidRPr="004C4A21">
              <w:rPr>
                <w:sz w:val="20"/>
                <w:szCs w:val="20"/>
              </w:rPr>
              <w:t> Anti-vancomycin (mouse, monoclonal) coated goat anti-mouse (GAM) microparticles in TRIS buffer with protein (bovine) stabilizer. Minimum concentration: 0.05% solids. Preservative: ProClin 300.</w:t>
            </w:r>
          </w:p>
        </w:tc>
      </w:tr>
      <w:tr w:rsidR="00087FE9" w:rsidTr="007D4600">
        <w:trPr>
          <w:trHeight w:val="390"/>
        </w:trPr>
        <w:tc>
          <w:tcPr>
            <w:tcW w:w="8384" w:type="dxa"/>
            <w:gridSpan w:val="2"/>
            <w:tcBorders>
              <w:top w:val="nil"/>
            </w:tcBorders>
          </w:tcPr>
          <w:p w:rsidR="00087FE9" w:rsidRPr="004C4A21" w:rsidRDefault="00087FE9" w:rsidP="00595DB0">
            <w:pPr>
              <w:spacing w:before="60" w:after="120"/>
              <w:rPr>
                <w:sz w:val="20"/>
                <w:szCs w:val="20"/>
              </w:rPr>
            </w:pPr>
            <w:bookmarkStart w:id="10" w:name="unique_9_Connect_42_image_avr_lny_vl"/>
            <w:bookmarkEnd w:id="10"/>
            <w:r w:rsidRPr="004C4A21">
              <w:rPr>
                <w:noProof/>
                <w:sz w:val="20"/>
                <w:szCs w:val="20"/>
              </w:rPr>
              <w:drawing>
                <wp:inline distT="0" distB="0" distL="0" distR="0" wp14:anchorId="41881FD1" wp14:editId="1E39669A">
                  <wp:extent cx="483235" cy="105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105410"/>
                          </a:xfrm>
                          <a:prstGeom prst="rect">
                            <a:avLst/>
                          </a:prstGeom>
                          <a:noFill/>
                          <a:ln>
                            <a:noFill/>
                          </a:ln>
                        </pic:spPr>
                      </pic:pic>
                    </a:graphicData>
                  </a:graphic>
                </wp:inline>
              </w:drawing>
            </w:r>
            <w:r w:rsidRPr="004C4A21">
              <w:rPr>
                <w:sz w:val="20"/>
                <w:szCs w:val="20"/>
              </w:rPr>
              <w:t> Vancomycin acridinium-labeled conjugate in MES buffer with surfactant. Minimum concentration: 50 ng/mL. Preservative: ProClin 300.</w:t>
            </w:r>
          </w:p>
        </w:tc>
      </w:tr>
    </w:tbl>
    <w:p w:rsidR="00087FE9" w:rsidRDefault="00087FE9" w:rsidP="00087FE9">
      <w:pPr>
        <w:pStyle w:val="Heading2"/>
        <w:rPr>
          <w:rFonts w:eastAsiaTheme="minorEastAsia"/>
          <w:b w:val="0"/>
          <w:bCs w:val="0"/>
          <w:sz w:val="24"/>
          <w:szCs w:val="24"/>
        </w:rPr>
      </w:pPr>
      <w:bookmarkStart w:id="11" w:name="unique_10"/>
      <w:bookmarkEnd w:id="11"/>
      <w:r>
        <w:t>Other Reagents</w:t>
      </w:r>
    </w:p>
    <w:tbl>
      <w:tblPr>
        <w:tblW w:w="0" w:type="auto"/>
        <w:tblBorders>
          <w:top w:val="single" w:sz="4" w:space="0" w:color="auto"/>
          <w:bottom w:val="single" w:sz="4" w:space="0" w:color="auto"/>
        </w:tblBorders>
        <w:tblLook w:val="0000" w:firstRow="0" w:lastRow="0" w:firstColumn="0" w:lastColumn="0" w:noHBand="0" w:noVBand="0"/>
      </w:tblPr>
      <w:tblGrid>
        <w:gridCol w:w="8669"/>
      </w:tblGrid>
      <w:tr w:rsidR="00087FE9" w:rsidTr="007D4600">
        <w:trPr>
          <w:trHeight w:val="256"/>
        </w:trPr>
        <w:tc>
          <w:tcPr>
            <w:tcW w:w="8669" w:type="dxa"/>
          </w:tcPr>
          <w:p w:rsidR="00087FE9" w:rsidRPr="004C4A21" w:rsidRDefault="00087FE9" w:rsidP="00595DB0">
            <w:pPr>
              <w:spacing w:before="60" w:after="120"/>
              <w:rPr>
                <w:sz w:val="20"/>
                <w:szCs w:val="20"/>
              </w:rPr>
            </w:pPr>
            <w:bookmarkStart w:id="12" w:name="unique_10_Connect_42_table_gqq_dzv_3m"/>
            <w:bookmarkStart w:id="13" w:name="unique_10_Connect_42_d153e35"/>
            <w:bookmarkEnd w:id="12"/>
            <w:bookmarkEnd w:id="13"/>
            <w:r w:rsidRPr="004C4A21">
              <w:rPr>
                <w:noProof/>
                <w:sz w:val="20"/>
                <w:szCs w:val="20"/>
              </w:rPr>
              <w:drawing>
                <wp:inline distT="0" distB="0" distL="0" distR="0" wp14:anchorId="0B453D0D" wp14:editId="7A43CAB3">
                  <wp:extent cx="1145540" cy="105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105410"/>
                          </a:xfrm>
                          <a:prstGeom prst="rect">
                            <a:avLst/>
                          </a:prstGeom>
                          <a:noFill/>
                          <a:ln>
                            <a:noFill/>
                          </a:ln>
                        </pic:spPr>
                      </pic:pic>
                    </a:graphicData>
                  </a:graphic>
                </wp:inline>
              </w:drawing>
            </w:r>
            <w:r w:rsidRPr="004C4A21">
              <w:rPr>
                <w:sz w:val="20"/>
                <w:szCs w:val="20"/>
              </w:rPr>
              <w:t xml:space="preserve"> 1 x 100 mL ARCHITECT Multi-Assay Manual Diluent, </w:t>
            </w:r>
            <w:bookmarkStart w:id="14" w:name="unique_10_Connect_42_d153e37"/>
            <w:bookmarkEnd w:id="14"/>
            <w:r w:rsidRPr="004C4A21">
              <w:rPr>
                <w:noProof/>
                <w:sz w:val="20"/>
                <w:szCs w:val="20"/>
              </w:rPr>
              <w:drawing>
                <wp:inline distT="0" distB="0" distL="0" distR="0" wp14:anchorId="15C430F6" wp14:editId="229711A1">
                  <wp:extent cx="189230" cy="105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30" cy="105410"/>
                          </a:xfrm>
                          <a:prstGeom prst="rect">
                            <a:avLst/>
                          </a:prstGeom>
                          <a:noFill/>
                          <a:ln>
                            <a:noFill/>
                          </a:ln>
                        </pic:spPr>
                      </pic:pic>
                    </a:graphicData>
                  </a:graphic>
                </wp:inline>
              </w:drawing>
            </w:r>
            <w:r w:rsidRPr="004C4A21">
              <w:rPr>
                <w:sz w:val="20"/>
                <w:szCs w:val="20"/>
              </w:rPr>
              <w:t xml:space="preserve"> 7D82-50, containing phosphate buffered saline solution. Preservative: antimicrobial agent.</w:t>
            </w:r>
          </w:p>
        </w:tc>
      </w:tr>
      <w:tr w:rsidR="00087FE9" w:rsidTr="007D4600">
        <w:trPr>
          <w:trHeight w:val="161"/>
        </w:trPr>
        <w:tc>
          <w:tcPr>
            <w:tcW w:w="8669" w:type="dxa"/>
          </w:tcPr>
          <w:p w:rsidR="00087FE9" w:rsidRPr="004C4A21" w:rsidRDefault="00087FE9" w:rsidP="00595DB0">
            <w:pPr>
              <w:spacing w:before="60" w:after="120"/>
              <w:rPr>
                <w:sz w:val="20"/>
                <w:szCs w:val="20"/>
              </w:rPr>
            </w:pPr>
            <w:bookmarkStart w:id="15" w:name="unique_10_Connect_42_d156e35"/>
            <w:bookmarkEnd w:id="15"/>
            <w:r w:rsidRPr="004C4A21">
              <w:rPr>
                <w:noProof/>
                <w:sz w:val="20"/>
                <w:szCs w:val="20"/>
              </w:rPr>
              <w:drawing>
                <wp:inline distT="0" distB="0" distL="0" distR="0" wp14:anchorId="188C132D" wp14:editId="50C855FA">
                  <wp:extent cx="925195" cy="10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195" cy="105410"/>
                          </a:xfrm>
                          <a:prstGeom prst="rect">
                            <a:avLst/>
                          </a:prstGeom>
                          <a:noFill/>
                          <a:ln>
                            <a:noFill/>
                          </a:ln>
                        </pic:spPr>
                      </pic:pic>
                    </a:graphicData>
                  </a:graphic>
                </wp:inline>
              </w:drawing>
            </w:r>
            <w:r w:rsidRPr="004C4A21">
              <w:rPr>
                <w:sz w:val="20"/>
                <w:szCs w:val="20"/>
              </w:rPr>
              <w:t xml:space="preserve"> ARCHITECT Pre-Trigger Solution containing 1.32% (w/v) hydrogen peroxide.</w:t>
            </w:r>
          </w:p>
        </w:tc>
      </w:tr>
      <w:tr w:rsidR="001834CB" w:rsidTr="007D4600">
        <w:trPr>
          <w:trHeight w:val="274"/>
        </w:trPr>
        <w:tc>
          <w:tcPr>
            <w:tcW w:w="8669" w:type="dxa"/>
          </w:tcPr>
          <w:p w:rsidR="001834CB" w:rsidRPr="004C4A21" w:rsidRDefault="001834CB" w:rsidP="00CF4008">
            <w:pPr>
              <w:spacing w:before="60" w:after="120"/>
              <w:rPr>
                <w:sz w:val="20"/>
                <w:szCs w:val="20"/>
              </w:rPr>
            </w:pPr>
            <w:r w:rsidRPr="004C4A21">
              <w:rPr>
                <w:noProof/>
                <w:sz w:val="20"/>
                <w:szCs w:val="20"/>
              </w:rPr>
              <w:drawing>
                <wp:inline distT="0" distB="0" distL="0" distR="0" wp14:anchorId="5C199EFB" wp14:editId="5DF4E8B6">
                  <wp:extent cx="756920" cy="105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6920" cy="105410"/>
                          </a:xfrm>
                          <a:prstGeom prst="rect">
                            <a:avLst/>
                          </a:prstGeom>
                          <a:noFill/>
                          <a:ln>
                            <a:noFill/>
                          </a:ln>
                        </pic:spPr>
                      </pic:pic>
                    </a:graphicData>
                  </a:graphic>
                </wp:inline>
              </w:drawing>
            </w:r>
            <w:r w:rsidRPr="004C4A21">
              <w:rPr>
                <w:sz w:val="20"/>
                <w:szCs w:val="20"/>
              </w:rPr>
              <w:t xml:space="preserve"> ARCHITECT Trigger Solution containing 0.35 N sodium hydroxide.</w:t>
            </w:r>
          </w:p>
        </w:tc>
      </w:tr>
      <w:tr w:rsidR="001834CB" w:rsidTr="007D4600">
        <w:trPr>
          <w:trHeight w:val="260"/>
        </w:trPr>
        <w:tc>
          <w:tcPr>
            <w:tcW w:w="8669" w:type="dxa"/>
          </w:tcPr>
          <w:p w:rsidR="001834CB" w:rsidRPr="004C4A21" w:rsidRDefault="001834CB" w:rsidP="00CF4008">
            <w:pPr>
              <w:spacing w:before="60" w:after="120"/>
              <w:rPr>
                <w:sz w:val="20"/>
                <w:szCs w:val="20"/>
              </w:rPr>
            </w:pPr>
            <w:bookmarkStart w:id="16" w:name="unique_10_Connect_42_d162e35"/>
            <w:bookmarkEnd w:id="16"/>
            <w:r w:rsidRPr="004C4A21">
              <w:rPr>
                <w:noProof/>
                <w:sz w:val="20"/>
                <w:szCs w:val="20"/>
              </w:rPr>
              <w:drawing>
                <wp:inline distT="0" distB="0" distL="0" distR="0" wp14:anchorId="17906CAE" wp14:editId="1AA60B88">
                  <wp:extent cx="567690" cy="105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690" cy="105410"/>
                          </a:xfrm>
                          <a:prstGeom prst="rect">
                            <a:avLst/>
                          </a:prstGeom>
                          <a:noFill/>
                          <a:ln>
                            <a:noFill/>
                          </a:ln>
                        </pic:spPr>
                      </pic:pic>
                    </a:graphicData>
                  </a:graphic>
                </wp:inline>
              </w:drawing>
            </w:r>
            <w:r w:rsidRPr="004C4A21">
              <w:rPr>
                <w:sz w:val="20"/>
                <w:szCs w:val="20"/>
              </w:rPr>
              <w:t xml:space="preserve"> ARCHITECT Wash Buffer containing phosphate buffered saline solution. Preservatives: antimicrobial agents.</w:t>
            </w:r>
          </w:p>
        </w:tc>
      </w:tr>
    </w:tbl>
    <w:p w:rsidR="001834CB" w:rsidRDefault="001834CB" w:rsidP="001834CB">
      <w:pPr>
        <w:pStyle w:val="Heading2"/>
        <w:rPr>
          <w:rFonts w:eastAsiaTheme="minorEastAsia"/>
          <w:b w:val="0"/>
          <w:bCs w:val="0"/>
          <w:sz w:val="24"/>
          <w:szCs w:val="24"/>
        </w:rPr>
      </w:pPr>
      <w:bookmarkStart w:id="17" w:name="unique_11"/>
      <w:bookmarkEnd w:id="17"/>
      <w:r>
        <w:t>Warnings and Precautions</w:t>
      </w:r>
      <w:bookmarkStart w:id="18" w:name="unique_11_Connect_42_ul_b3p_3jp_lm"/>
      <w:bookmarkEnd w:id="18"/>
    </w:p>
    <w:p w:rsidR="001834CB" w:rsidRDefault="001834CB" w:rsidP="001834CB">
      <w:pPr>
        <w:widowControl w:val="0"/>
        <w:numPr>
          <w:ilvl w:val="0"/>
          <w:numId w:val="2"/>
        </w:numPr>
        <w:autoSpaceDE w:val="0"/>
        <w:autoSpaceDN w:val="0"/>
        <w:adjustRightInd w:val="0"/>
        <w:spacing w:before="60" w:after="120" w:line="240" w:lineRule="auto"/>
      </w:pPr>
      <w:bookmarkStart w:id="19" w:name="unique_11_Connect_42_d316e45"/>
      <w:bookmarkEnd w:id="19"/>
      <w:r>
        <w:rPr>
          <w:noProof/>
        </w:rPr>
        <w:drawing>
          <wp:inline distT="0" distB="0" distL="0" distR="0" wp14:anchorId="3B90B311" wp14:editId="39326FDD">
            <wp:extent cx="157480" cy="105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 cy="105410"/>
                    </a:xfrm>
                    <a:prstGeom prst="rect">
                      <a:avLst/>
                    </a:prstGeom>
                    <a:noFill/>
                    <a:ln>
                      <a:noFill/>
                    </a:ln>
                  </pic:spPr>
                </pic:pic>
              </a:graphicData>
            </a:graphic>
          </wp:inline>
        </w:drawing>
      </w:r>
    </w:p>
    <w:p w:rsidR="001834CB" w:rsidRDefault="001834CB" w:rsidP="001834CB">
      <w:pPr>
        <w:widowControl w:val="0"/>
        <w:numPr>
          <w:ilvl w:val="0"/>
          <w:numId w:val="2"/>
        </w:numPr>
        <w:autoSpaceDE w:val="0"/>
        <w:autoSpaceDN w:val="0"/>
        <w:adjustRightInd w:val="0"/>
        <w:spacing w:before="60" w:after="120" w:line="240" w:lineRule="auto"/>
      </w:pPr>
      <w:r>
        <w:t xml:space="preserve">For </w:t>
      </w:r>
      <w:r>
        <w:rPr>
          <w:i/>
        </w:rPr>
        <w:t>In Vitro</w:t>
      </w:r>
      <w:r>
        <w:t xml:space="preserve"> Diagnostic Use</w:t>
      </w:r>
    </w:p>
    <w:p w:rsidR="001834CB" w:rsidRDefault="001834CB" w:rsidP="001834CB">
      <w:pPr>
        <w:pStyle w:val="Heading3"/>
        <w:rPr>
          <w:rFonts w:eastAsiaTheme="minorEastAsia"/>
          <w:b w:val="0"/>
          <w:bCs w:val="0"/>
        </w:rPr>
      </w:pPr>
      <w:bookmarkStart w:id="20" w:name="unique_12"/>
      <w:bookmarkEnd w:id="20"/>
      <w:r>
        <w:t>Safety Precautions</w:t>
      </w:r>
    </w:p>
    <w:p w:rsidR="001834CB" w:rsidRDefault="001834CB" w:rsidP="001834CB">
      <w:pPr>
        <w:spacing w:before="60" w:after="120"/>
      </w:pPr>
      <w:bookmarkStart w:id="21" w:name="unique_13"/>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5907"/>
      </w:tblGrid>
      <w:tr w:rsidR="001834CB" w:rsidTr="005D7E3A">
        <w:trPr>
          <w:trHeight w:val="272"/>
        </w:trPr>
        <w:tc>
          <w:tcPr>
            <w:tcW w:w="9238" w:type="dxa"/>
            <w:gridSpan w:val="2"/>
          </w:tcPr>
          <w:p w:rsidR="001834CB" w:rsidRPr="004C4A21" w:rsidRDefault="001834CB" w:rsidP="00CF4008">
            <w:pPr>
              <w:spacing w:before="60" w:after="120"/>
              <w:rPr>
                <w:sz w:val="18"/>
                <w:szCs w:val="18"/>
              </w:rPr>
            </w:pPr>
            <w:bookmarkStart w:id="22" w:name="unique_13_Connect_42_table_haa_cok_ce"/>
            <w:bookmarkEnd w:id="22"/>
            <w:r w:rsidRPr="004C4A21">
              <w:rPr>
                <w:sz w:val="18"/>
                <w:szCs w:val="18"/>
              </w:rPr>
              <w:t xml:space="preserve">The following warnings and precautions apply to: </w:t>
            </w:r>
            <w:bookmarkStart w:id="23" w:name="unique_13_Connect_42_image_svk_wpt_dp"/>
            <w:bookmarkEnd w:id="23"/>
            <w:r w:rsidRPr="004C4A21">
              <w:rPr>
                <w:noProof/>
                <w:sz w:val="18"/>
                <w:szCs w:val="18"/>
              </w:rPr>
              <w:drawing>
                <wp:inline distT="0" distB="0" distL="0" distR="0" wp14:anchorId="2D612AE5" wp14:editId="03B75C07">
                  <wp:extent cx="683260" cy="1054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260" cy="105410"/>
                          </a:xfrm>
                          <a:prstGeom prst="rect">
                            <a:avLst/>
                          </a:prstGeom>
                          <a:noFill/>
                          <a:ln>
                            <a:noFill/>
                          </a:ln>
                        </pic:spPr>
                      </pic:pic>
                    </a:graphicData>
                  </a:graphic>
                </wp:inline>
              </w:drawing>
            </w:r>
            <w:r w:rsidRPr="004C4A21">
              <w:rPr>
                <w:sz w:val="18"/>
                <w:szCs w:val="18"/>
              </w:rPr>
              <w:t xml:space="preserve"> / </w:t>
            </w:r>
            <w:bookmarkStart w:id="24" w:name="unique_13_Connect_42_image_s3l_ypt_dp"/>
            <w:bookmarkEnd w:id="24"/>
            <w:r w:rsidRPr="004C4A21">
              <w:rPr>
                <w:noProof/>
                <w:sz w:val="18"/>
                <w:szCs w:val="18"/>
              </w:rPr>
              <w:drawing>
                <wp:inline distT="0" distB="0" distL="0" distR="0" wp14:anchorId="2C521AF0" wp14:editId="64E02AF9">
                  <wp:extent cx="483235" cy="1054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105410"/>
                          </a:xfrm>
                          <a:prstGeom prst="rect">
                            <a:avLst/>
                          </a:prstGeom>
                          <a:noFill/>
                          <a:ln>
                            <a:noFill/>
                          </a:ln>
                        </pic:spPr>
                      </pic:pic>
                    </a:graphicData>
                  </a:graphic>
                </wp:inline>
              </w:drawing>
            </w:r>
          </w:p>
        </w:tc>
      </w:tr>
      <w:tr w:rsidR="001834CB" w:rsidTr="005D7E3A">
        <w:trPr>
          <w:trHeight w:val="526"/>
        </w:trPr>
        <w:tc>
          <w:tcPr>
            <w:tcW w:w="9238" w:type="dxa"/>
            <w:gridSpan w:val="2"/>
          </w:tcPr>
          <w:p w:rsidR="001834CB" w:rsidRPr="004C4A21" w:rsidRDefault="001834CB" w:rsidP="00CF4008">
            <w:pPr>
              <w:spacing w:before="60" w:after="120"/>
              <w:rPr>
                <w:sz w:val="18"/>
                <w:szCs w:val="18"/>
              </w:rPr>
            </w:pPr>
            <w:bookmarkStart w:id="25" w:name="unique_13_Connect_42_image_dvg_3dr_h3"/>
            <w:bookmarkEnd w:id="25"/>
            <w:r w:rsidRPr="004C4A21">
              <w:rPr>
                <w:noProof/>
                <w:sz w:val="18"/>
                <w:szCs w:val="18"/>
              </w:rPr>
              <w:drawing>
                <wp:inline distT="0" distB="0" distL="0" distR="0" wp14:anchorId="06DD7EBB" wp14:editId="7A539177">
                  <wp:extent cx="39941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415" cy="399415"/>
                          </a:xfrm>
                          <a:prstGeom prst="rect">
                            <a:avLst/>
                          </a:prstGeom>
                          <a:noFill/>
                          <a:ln>
                            <a:noFill/>
                          </a:ln>
                        </pic:spPr>
                      </pic:pic>
                    </a:graphicData>
                  </a:graphic>
                </wp:inline>
              </w:drawing>
            </w:r>
          </w:p>
        </w:tc>
      </w:tr>
      <w:tr w:rsidR="001834CB" w:rsidTr="005D7E3A">
        <w:trPr>
          <w:trHeight w:val="263"/>
        </w:trPr>
        <w:tc>
          <w:tcPr>
            <w:tcW w:w="3331" w:type="dxa"/>
          </w:tcPr>
          <w:p w:rsidR="001834CB" w:rsidRPr="004C4A21" w:rsidRDefault="001834CB" w:rsidP="00CF4008">
            <w:pPr>
              <w:spacing w:before="60" w:after="120"/>
              <w:rPr>
                <w:sz w:val="18"/>
                <w:szCs w:val="18"/>
              </w:rPr>
            </w:pPr>
            <w:r w:rsidRPr="004C4A21">
              <w:rPr>
                <w:b/>
                <w:sz w:val="18"/>
                <w:szCs w:val="18"/>
              </w:rPr>
              <w:t>WARNING</w:t>
            </w:r>
          </w:p>
        </w:tc>
        <w:tc>
          <w:tcPr>
            <w:tcW w:w="5907" w:type="dxa"/>
            <w:tcBorders>
              <w:left w:val="nil"/>
            </w:tcBorders>
          </w:tcPr>
          <w:p w:rsidR="001834CB" w:rsidRPr="004C4A21" w:rsidRDefault="001834CB" w:rsidP="00CF4008">
            <w:pPr>
              <w:spacing w:before="60" w:after="120"/>
              <w:rPr>
                <w:sz w:val="18"/>
                <w:szCs w:val="18"/>
              </w:rPr>
            </w:pPr>
            <w:r w:rsidRPr="004C4A21">
              <w:rPr>
                <w:sz w:val="18"/>
                <w:szCs w:val="18"/>
              </w:rPr>
              <w:t>Contains methylisothiazolones.</w:t>
            </w:r>
          </w:p>
        </w:tc>
      </w:tr>
      <w:tr w:rsidR="001834CB" w:rsidTr="005D7E3A">
        <w:trPr>
          <w:trHeight w:val="272"/>
        </w:trPr>
        <w:tc>
          <w:tcPr>
            <w:tcW w:w="3331" w:type="dxa"/>
            <w:tcBorders>
              <w:bottom w:val="nil"/>
              <w:right w:val="nil"/>
            </w:tcBorders>
          </w:tcPr>
          <w:p w:rsidR="001834CB" w:rsidRPr="004C4A21" w:rsidRDefault="001834CB" w:rsidP="00CF4008">
            <w:pPr>
              <w:spacing w:before="60" w:after="120"/>
              <w:rPr>
                <w:sz w:val="18"/>
                <w:szCs w:val="18"/>
              </w:rPr>
            </w:pPr>
            <w:r w:rsidRPr="004C4A21">
              <w:rPr>
                <w:sz w:val="18"/>
                <w:szCs w:val="18"/>
              </w:rPr>
              <w:t>H317</w:t>
            </w:r>
          </w:p>
        </w:tc>
        <w:tc>
          <w:tcPr>
            <w:tcW w:w="5907" w:type="dxa"/>
            <w:tcBorders>
              <w:left w:val="nil"/>
              <w:bottom w:val="nil"/>
            </w:tcBorders>
          </w:tcPr>
          <w:p w:rsidR="001834CB" w:rsidRPr="004C4A21" w:rsidRDefault="001834CB" w:rsidP="00CF4008">
            <w:pPr>
              <w:spacing w:before="60" w:after="120"/>
              <w:rPr>
                <w:sz w:val="18"/>
                <w:szCs w:val="18"/>
              </w:rPr>
            </w:pPr>
            <w:r w:rsidRPr="004C4A21">
              <w:rPr>
                <w:sz w:val="18"/>
                <w:szCs w:val="18"/>
              </w:rPr>
              <w:t>May cause an allergic skin reaction.</w:t>
            </w:r>
          </w:p>
        </w:tc>
      </w:tr>
      <w:tr w:rsidR="001834CB" w:rsidTr="005D7E3A">
        <w:trPr>
          <w:trHeight w:val="263"/>
        </w:trPr>
        <w:tc>
          <w:tcPr>
            <w:tcW w:w="9238" w:type="dxa"/>
            <w:gridSpan w:val="2"/>
            <w:tcBorders>
              <w:top w:val="nil"/>
            </w:tcBorders>
          </w:tcPr>
          <w:p w:rsidR="001834CB" w:rsidRPr="004C4A21" w:rsidRDefault="001834CB" w:rsidP="00CF4008">
            <w:pPr>
              <w:spacing w:before="60" w:after="120"/>
              <w:rPr>
                <w:sz w:val="18"/>
                <w:szCs w:val="18"/>
              </w:rPr>
            </w:pPr>
            <w:r w:rsidRPr="004C4A21">
              <w:rPr>
                <w:b/>
                <w:sz w:val="18"/>
                <w:szCs w:val="18"/>
              </w:rPr>
              <w:t>Prevention</w:t>
            </w:r>
          </w:p>
        </w:tc>
      </w:tr>
      <w:tr w:rsidR="001834CB" w:rsidTr="005D7E3A">
        <w:trPr>
          <w:trHeight w:val="272"/>
        </w:trPr>
        <w:tc>
          <w:tcPr>
            <w:tcW w:w="3331" w:type="dxa"/>
            <w:tcBorders>
              <w:bottom w:val="nil"/>
              <w:right w:val="nil"/>
            </w:tcBorders>
          </w:tcPr>
          <w:p w:rsidR="001834CB" w:rsidRPr="004C4A21" w:rsidRDefault="001834CB" w:rsidP="00CF4008">
            <w:pPr>
              <w:spacing w:before="60" w:after="120"/>
              <w:rPr>
                <w:sz w:val="18"/>
                <w:szCs w:val="18"/>
              </w:rPr>
            </w:pPr>
            <w:r w:rsidRPr="004C4A21">
              <w:rPr>
                <w:sz w:val="18"/>
                <w:szCs w:val="18"/>
              </w:rPr>
              <w:t>P261</w:t>
            </w:r>
          </w:p>
        </w:tc>
        <w:tc>
          <w:tcPr>
            <w:tcW w:w="5907" w:type="dxa"/>
            <w:tcBorders>
              <w:left w:val="nil"/>
              <w:bottom w:val="nil"/>
            </w:tcBorders>
          </w:tcPr>
          <w:p w:rsidR="001834CB" w:rsidRPr="004C4A21" w:rsidRDefault="001834CB" w:rsidP="00CF4008">
            <w:pPr>
              <w:spacing w:before="60" w:after="120"/>
              <w:rPr>
                <w:sz w:val="18"/>
                <w:szCs w:val="18"/>
              </w:rPr>
            </w:pPr>
            <w:r w:rsidRPr="004C4A21">
              <w:rPr>
                <w:sz w:val="18"/>
                <w:szCs w:val="18"/>
              </w:rPr>
              <w:t>Avoid breathing mist / vapors / spray.</w:t>
            </w:r>
          </w:p>
        </w:tc>
      </w:tr>
      <w:tr w:rsidR="001834CB" w:rsidTr="005D7E3A">
        <w:trPr>
          <w:trHeight w:val="310"/>
        </w:trPr>
        <w:tc>
          <w:tcPr>
            <w:tcW w:w="3331" w:type="dxa"/>
            <w:tcBorders>
              <w:top w:val="nil"/>
              <w:bottom w:val="nil"/>
              <w:right w:val="nil"/>
            </w:tcBorders>
          </w:tcPr>
          <w:p w:rsidR="001834CB" w:rsidRDefault="001834CB" w:rsidP="00CF4008">
            <w:pPr>
              <w:spacing w:before="60" w:after="120"/>
            </w:pPr>
            <w:r>
              <w:t>P272</w:t>
            </w:r>
          </w:p>
        </w:tc>
        <w:tc>
          <w:tcPr>
            <w:tcW w:w="5907" w:type="dxa"/>
            <w:tcBorders>
              <w:top w:val="nil"/>
              <w:left w:val="nil"/>
              <w:bottom w:val="nil"/>
            </w:tcBorders>
          </w:tcPr>
          <w:p w:rsidR="001834CB" w:rsidRPr="004C4A21" w:rsidRDefault="001834CB" w:rsidP="00CF4008">
            <w:pPr>
              <w:spacing w:before="60" w:after="120"/>
              <w:rPr>
                <w:sz w:val="18"/>
                <w:szCs w:val="18"/>
              </w:rPr>
            </w:pPr>
            <w:r w:rsidRPr="004C4A21">
              <w:rPr>
                <w:sz w:val="18"/>
                <w:szCs w:val="18"/>
              </w:rPr>
              <w:t>Contaminated work clothing should not be allowed out of the workplace.</w:t>
            </w:r>
          </w:p>
        </w:tc>
      </w:tr>
      <w:tr w:rsidR="001834CB" w:rsidTr="005D7E3A">
        <w:trPr>
          <w:trHeight w:val="301"/>
        </w:trPr>
        <w:tc>
          <w:tcPr>
            <w:tcW w:w="3331" w:type="dxa"/>
            <w:tcBorders>
              <w:top w:val="nil"/>
              <w:bottom w:val="nil"/>
              <w:right w:val="nil"/>
            </w:tcBorders>
          </w:tcPr>
          <w:p w:rsidR="001834CB" w:rsidRDefault="001834CB" w:rsidP="00CF4008">
            <w:pPr>
              <w:spacing w:before="60" w:after="120"/>
            </w:pPr>
            <w:r>
              <w:t>P280</w:t>
            </w:r>
          </w:p>
        </w:tc>
        <w:tc>
          <w:tcPr>
            <w:tcW w:w="5907" w:type="dxa"/>
            <w:tcBorders>
              <w:top w:val="nil"/>
              <w:left w:val="nil"/>
              <w:bottom w:val="nil"/>
            </w:tcBorders>
          </w:tcPr>
          <w:p w:rsidR="001834CB" w:rsidRPr="004C4A21" w:rsidRDefault="001834CB" w:rsidP="00CF4008">
            <w:pPr>
              <w:spacing w:before="60" w:after="120"/>
              <w:rPr>
                <w:sz w:val="18"/>
                <w:szCs w:val="18"/>
              </w:rPr>
            </w:pPr>
            <w:r w:rsidRPr="004C4A21">
              <w:rPr>
                <w:sz w:val="18"/>
                <w:szCs w:val="18"/>
              </w:rPr>
              <w:t>Wear protective gloves / protective clothing / eye protection.</w:t>
            </w:r>
          </w:p>
        </w:tc>
      </w:tr>
      <w:tr w:rsidR="001834CB" w:rsidTr="005D7E3A">
        <w:trPr>
          <w:trHeight w:val="282"/>
        </w:trPr>
        <w:tc>
          <w:tcPr>
            <w:tcW w:w="9238" w:type="dxa"/>
            <w:gridSpan w:val="2"/>
            <w:tcBorders>
              <w:top w:val="nil"/>
            </w:tcBorders>
          </w:tcPr>
          <w:p w:rsidR="001834CB" w:rsidRPr="004C4A21" w:rsidRDefault="001834CB" w:rsidP="00CF4008">
            <w:pPr>
              <w:spacing w:before="60" w:after="120"/>
              <w:rPr>
                <w:sz w:val="18"/>
                <w:szCs w:val="18"/>
              </w:rPr>
            </w:pPr>
            <w:r w:rsidRPr="004C4A21">
              <w:rPr>
                <w:b/>
                <w:sz w:val="18"/>
                <w:szCs w:val="18"/>
              </w:rPr>
              <w:lastRenderedPageBreak/>
              <w:t>Response</w:t>
            </w:r>
          </w:p>
        </w:tc>
      </w:tr>
      <w:tr w:rsidR="001834CB" w:rsidTr="005D7E3A">
        <w:trPr>
          <w:trHeight w:val="301"/>
        </w:trPr>
        <w:tc>
          <w:tcPr>
            <w:tcW w:w="3331" w:type="dxa"/>
            <w:tcBorders>
              <w:bottom w:val="nil"/>
              <w:right w:val="nil"/>
            </w:tcBorders>
          </w:tcPr>
          <w:p w:rsidR="001834CB" w:rsidRDefault="001834CB" w:rsidP="00CF4008">
            <w:pPr>
              <w:spacing w:before="60" w:after="120"/>
            </w:pPr>
            <w:r>
              <w:t>P302+P352</w:t>
            </w:r>
          </w:p>
        </w:tc>
        <w:tc>
          <w:tcPr>
            <w:tcW w:w="5907" w:type="dxa"/>
            <w:tcBorders>
              <w:left w:val="nil"/>
              <w:bottom w:val="nil"/>
            </w:tcBorders>
          </w:tcPr>
          <w:p w:rsidR="001834CB" w:rsidRPr="004C4A21" w:rsidRDefault="001834CB" w:rsidP="00CF4008">
            <w:pPr>
              <w:spacing w:before="60" w:after="120"/>
              <w:rPr>
                <w:sz w:val="18"/>
                <w:szCs w:val="18"/>
              </w:rPr>
            </w:pPr>
            <w:r w:rsidRPr="004C4A21">
              <w:rPr>
                <w:sz w:val="18"/>
                <w:szCs w:val="18"/>
              </w:rPr>
              <w:t>IF ON SKIN: Wash with plenty of water.</w:t>
            </w:r>
          </w:p>
        </w:tc>
      </w:tr>
      <w:tr w:rsidR="001834CB" w:rsidTr="005D7E3A">
        <w:trPr>
          <w:trHeight w:val="310"/>
        </w:trPr>
        <w:tc>
          <w:tcPr>
            <w:tcW w:w="3331" w:type="dxa"/>
            <w:tcBorders>
              <w:top w:val="nil"/>
              <w:bottom w:val="nil"/>
              <w:right w:val="nil"/>
            </w:tcBorders>
          </w:tcPr>
          <w:p w:rsidR="001834CB" w:rsidRDefault="001834CB" w:rsidP="00CF4008">
            <w:pPr>
              <w:spacing w:before="60" w:after="120"/>
            </w:pPr>
            <w:r>
              <w:t>P333+P313</w:t>
            </w:r>
          </w:p>
        </w:tc>
        <w:tc>
          <w:tcPr>
            <w:tcW w:w="5907" w:type="dxa"/>
            <w:tcBorders>
              <w:top w:val="nil"/>
              <w:left w:val="nil"/>
              <w:bottom w:val="nil"/>
            </w:tcBorders>
          </w:tcPr>
          <w:p w:rsidR="001834CB" w:rsidRPr="004C4A21" w:rsidRDefault="001834CB" w:rsidP="00CF4008">
            <w:pPr>
              <w:spacing w:before="60" w:after="120"/>
              <w:rPr>
                <w:sz w:val="18"/>
                <w:szCs w:val="18"/>
              </w:rPr>
            </w:pPr>
            <w:r w:rsidRPr="004C4A21">
              <w:rPr>
                <w:sz w:val="18"/>
                <w:szCs w:val="18"/>
              </w:rPr>
              <w:t>If skin irritation or rash occurs: Get medical advice / attention.</w:t>
            </w:r>
          </w:p>
        </w:tc>
      </w:tr>
      <w:tr w:rsidR="001834CB" w:rsidTr="005D7E3A">
        <w:trPr>
          <w:trHeight w:val="301"/>
        </w:trPr>
        <w:tc>
          <w:tcPr>
            <w:tcW w:w="3331" w:type="dxa"/>
            <w:tcBorders>
              <w:top w:val="nil"/>
              <w:bottom w:val="nil"/>
              <w:right w:val="nil"/>
            </w:tcBorders>
          </w:tcPr>
          <w:p w:rsidR="001834CB" w:rsidRDefault="001834CB" w:rsidP="00CF4008">
            <w:pPr>
              <w:spacing w:before="60" w:after="120"/>
            </w:pPr>
            <w:r>
              <w:t>P362+P364</w:t>
            </w:r>
          </w:p>
        </w:tc>
        <w:tc>
          <w:tcPr>
            <w:tcW w:w="5907" w:type="dxa"/>
            <w:tcBorders>
              <w:top w:val="nil"/>
              <w:left w:val="nil"/>
              <w:bottom w:val="nil"/>
            </w:tcBorders>
          </w:tcPr>
          <w:p w:rsidR="001834CB" w:rsidRPr="004C4A21" w:rsidRDefault="001834CB" w:rsidP="00CF4008">
            <w:pPr>
              <w:spacing w:before="60" w:after="120"/>
              <w:rPr>
                <w:sz w:val="18"/>
                <w:szCs w:val="18"/>
              </w:rPr>
            </w:pPr>
            <w:r w:rsidRPr="004C4A21">
              <w:rPr>
                <w:sz w:val="18"/>
                <w:szCs w:val="18"/>
              </w:rPr>
              <w:t>Take off contaminated clothing and wash it before reuse.</w:t>
            </w:r>
          </w:p>
        </w:tc>
      </w:tr>
      <w:tr w:rsidR="001834CB" w:rsidTr="005D7E3A">
        <w:trPr>
          <w:trHeight w:val="272"/>
        </w:trPr>
        <w:tc>
          <w:tcPr>
            <w:tcW w:w="9238" w:type="dxa"/>
            <w:gridSpan w:val="2"/>
            <w:tcBorders>
              <w:top w:val="nil"/>
            </w:tcBorders>
          </w:tcPr>
          <w:p w:rsidR="001834CB" w:rsidRPr="004C4A21" w:rsidRDefault="001834CB" w:rsidP="00CF4008">
            <w:pPr>
              <w:spacing w:before="60" w:after="120"/>
              <w:rPr>
                <w:sz w:val="18"/>
                <w:szCs w:val="18"/>
              </w:rPr>
            </w:pPr>
            <w:r w:rsidRPr="004C4A21">
              <w:rPr>
                <w:b/>
                <w:sz w:val="18"/>
                <w:szCs w:val="18"/>
              </w:rPr>
              <w:t>Disposal</w:t>
            </w:r>
          </w:p>
        </w:tc>
      </w:tr>
      <w:tr w:rsidR="001834CB" w:rsidTr="005D7E3A">
        <w:trPr>
          <w:trHeight w:val="272"/>
        </w:trPr>
        <w:tc>
          <w:tcPr>
            <w:tcW w:w="3331" w:type="dxa"/>
            <w:tcBorders>
              <w:right w:val="nil"/>
            </w:tcBorders>
          </w:tcPr>
          <w:p w:rsidR="001834CB" w:rsidRDefault="001834CB" w:rsidP="00CF4008">
            <w:pPr>
              <w:spacing w:before="60" w:after="60"/>
            </w:pPr>
            <w:r>
              <w:t>P501</w:t>
            </w:r>
          </w:p>
        </w:tc>
        <w:tc>
          <w:tcPr>
            <w:tcW w:w="5907" w:type="dxa"/>
            <w:tcBorders>
              <w:left w:val="nil"/>
            </w:tcBorders>
          </w:tcPr>
          <w:p w:rsidR="001834CB" w:rsidRPr="004C4A21" w:rsidRDefault="001834CB" w:rsidP="00CF4008">
            <w:pPr>
              <w:spacing w:before="60" w:after="60"/>
              <w:rPr>
                <w:sz w:val="18"/>
                <w:szCs w:val="18"/>
              </w:rPr>
            </w:pPr>
            <w:r w:rsidRPr="004C4A21">
              <w:rPr>
                <w:sz w:val="18"/>
                <w:szCs w:val="18"/>
              </w:rPr>
              <w:t>Dispose of contents / container in accordance with local regulations.</w:t>
            </w:r>
          </w:p>
        </w:tc>
      </w:tr>
    </w:tbl>
    <w:p w:rsidR="001834CB" w:rsidRDefault="001834CB" w:rsidP="001834CB">
      <w:pPr>
        <w:spacing w:before="60" w:after="60"/>
      </w:pPr>
      <w:r>
        <w:t>Safety Data Sheets are available at www.abbottdiagnostics.com or contact your local representative.</w:t>
      </w:r>
    </w:p>
    <w:p w:rsidR="001834CB" w:rsidRDefault="001834CB" w:rsidP="001834CB">
      <w:pPr>
        <w:spacing w:before="60" w:after="60"/>
      </w:pPr>
      <w:r>
        <w:t>For a detailed discussion of safety precautions during system operation, refer to the ARCHITECT System Operations Manual, Section 8.</w:t>
      </w:r>
      <w:bookmarkStart w:id="26" w:name="unique_14"/>
      <w:bookmarkEnd w:id="26"/>
    </w:p>
    <w:p w:rsidR="001834CB" w:rsidRDefault="001834CB" w:rsidP="001834CB">
      <w:pPr>
        <w:pStyle w:val="Heading3"/>
        <w:rPr>
          <w:rFonts w:eastAsiaTheme="minorEastAsia"/>
          <w:b w:val="0"/>
          <w:bCs w:val="0"/>
        </w:rPr>
      </w:pPr>
      <w:r>
        <w:t>Reagent Handling</w:t>
      </w:r>
      <w:bookmarkStart w:id="27" w:name="unique_14_Connect_42_ul_yhd_xjp_lm"/>
      <w:bookmarkEnd w:id="27"/>
    </w:p>
    <w:p w:rsidR="001834CB" w:rsidRDefault="001834CB" w:rsidP="001834CB">
      <w:pPr>
        <w:widowControl w:val="0"/>
        <w:numPr>
          <w:ilvl w:val="0"/>
          <w:numId w:val="2"/>
        </w:numPr>
        <w:autoSpaceDE w:val="0"/>
        <w:autoSpaceDN w:val="0"/>
        <w:adjustRightInd w:val="0"/>
        <w:spacing w:before="60" w:after="120" w:line="240" w:lineRule="auto"/>
      </w:pPr>
      <w:r>
        <w:t>Do not use reagent kits beyond the expiration date.</w:t>
      </w:r>
    </w:p>
    <w:p w:rsidR="001834CB" w:rsidRDefault="001834CB" w:rsidP="001834CB">
      <w:pPr>
        <w:widowControl w:val="0"/>
        <w:numPr>
          <w:ilvl w:val="0"/>
          <w:numId w:val="2"/>
        </w:numPr>
        <w:autoSpaceDE w:val="0"/>
        <w:autoSpaceDN w:val="0"/>
        <w:adjustRightInd w:val="0"/>
        <w:spacing w:before="60" w:after="120" w:line="240" w:lineRule="auto"/>
      </w:pPr>
      <w:r>
        <w:rPr>
          <w:b/>
        </w:rPr>
        <w:t>Do not pool reagents within a kit or between kits.</w:t>
      </w:r>
    </w:p>
    <w:p w:rsidR="001834CB" w:rsidRDefault="001834CB" w:rsidP="001834CB">
      <w:pPr>
        <w:widowControl w:val="0"/>
        <w:numPr>
          <w:ilvl w:val="0"/>
          <w:numId w:val="2"/>
        </w:numPr>
        <w:autoSpaceDE w:val="0"/>
        <w:autoSpaceDN w:val="0"/>
        <w:adjustRightInd w:val="0"/>
        <w:spacing w:before="60" w:after="120" w:line="240" w:lineRule="auto"/>
      </w:pPr>
      <w:r>
        <w:t xml:space="preserve">Before loading the reagent kit on the system for the first time, the microparticle bottle requires mixing to resuspend microparticles that may have settled during shipment. For microparticle mixing instructions, refer to the </w:t>
      </w:r>
      <w:r>
        <w:rPr>
          <w:b/>
        </w:rPr>
        <w:t>PROCEDURE, Assay Procedure</w:t>
      </w:r>
      <w:r>
        <w:t xml:space="preserve"> section of this package insert.</w:t>
      </w:r>
    </w:p>
    <w:p w:rsidR="001834CB" w:rsidRDefault="001834CB" w:rsidP="001834CB">
      <w:pPr>
        <w:widowControl w:val="0"/>
        <w:numPr>
          <w:ilvl w:val="0"/>
          <w:numId w:val="2"/>
        </w:numPr>
        <w:autoSpaceDE w:val="0"/>
        <w:autoSpaceDN w:val="0"/>
        <w:adjustRightInd w:val="0"/>
        <w:spacing w:before="60" w:after="120" w:line="240" w:lineRule="auto"/>
      </w:pPr>
      <w:r>
        <w:rPr>
          <w:b/>
        </w:rPr>
        <w:t>Septums MUST be used to prevent reagent evaporation and contamination and to ensure reagent integrity. Reliability of assay results cannot be guaranteed if septums are not used according to the instructions in this package insert.</w:t>
      </w:r>
    </w:p>
    <w:p w:rsidR="001834CB" w:rsidRDefault="001834CB" w:rsidP="001834CB">
      <w:pPr>
        <w:pStyle w:val="ListParagraph"/>
        <w:numPr>
          <w:ilvl w:val="0"/>
          <w:numId w:val="2"/>
        </w:numPr>
        <w:spacing w:before="60" w:after="120"/>
      </w:pPr>
      <w:bookmarkStart w:id="28" w:name="unique_14_Connect_42_d374e71"/>
      <w:bookmarkEnd w:id="28"/>
      <w:r>
        <w:t>To avoid contamination, wear clean gloves when placing a septum on an uncapped reagent bottle.</w:t>
      </w:r>
    </w:p>
    <w:p w:rsidR="001834CB" w:rsidRDefault="001834CB" w:rsidP="001834CB">
      <w:pPr>
        <w:widowControl w:val="0"/>
        <w:numPr>
          <w:ilvl w:val="0"/>
          <w:numId w:val="3"/>
        </w:numPr>
        <w:autoSpaceDE w:val="0"/>
        <w:autoSpaceDN w:val="0"/>
        <w:adjustRightInd w:val="0"/>
        <w:spacing w:before="60" w:after="120" w:line="240" w:lineRule="auto"/>
        <w:ind w:left="360"/>
      </w:pPr>
      <w:r>
        <w:t xml:space="preserve">Once a septum has been placed on an open reagent bottle, </w:t>
      </w:r>
      <w:r>
        <w:rPr>
          <w:b/>
        </w:rPr>
        <w:t>do not invert the bottle</w:t>
      </w:r>
      <w:r>
        <w:t xml:space="preserve"> as this</w:t>
      </w:r>
      <w:r>
        <w:br/>
      </w:r>
      <w:r w:rsidRPr="003223AA">
        <w:rPr>
          <w:sz w:val="28"/>
          <w:szCs w:val="28"/>
        </w:rPr>
        <w:t xml:space="preserve">   </w:t>
      </w:r>
      <w:r>
        <w:t>will result in reagent leakage and may compromise assay results.</w:t>
      </w:r>
    </w:p>
    <w:p w:rsidR="001834CB" w:rsidRDefault="001834CB" w:rsidP="001834CB">
      <w:pPr>
        <w:widowControl w:val="0"/>
        <w:numPr>
          <w:ilvl w:val="0"/>
          <w:numId w:val="3"/>
        </w:numPr>
        <w:tabs>
          <w:tab w:val="left" w:pos="360"/>
        </w:tabs>
        <w:autoSpaceDE w:val="0"/>
        <w:autoSpaceDN w:val="0"/>
        <w:adjustRightInd w:val="0"/>
        <w:spacing w:before="60" w:after="120" w:line="240" w:lineRule="auto"/>
        <w:ind w:left="360"/>
      </w:pPr>
      <w:r>
        <w:t>Over time, residual liquids may dry on the septum surface. These are typically dried salts</w:t>
      </w:r>
      <w:r>
        <w:br/>
      </w:r>
      <w:r w:rsidRPr="003223AA">
        <w:rPr>
          <w:sz w:val="28"/>
          <w:szCs w:val="28"/>
        </w:rPr>
        <w:t xml:space="preserve">   </w:t>
      </w:r>
      <w:r>
        <w:t>and have no effect on assay efficacy.</w:t>
      </w:r>
    </w:p>
    <w:p w:rsidR="001834CB" w:rsidRDefault="001834CB" w:rsidP="001834CB">
      <w:pPr>
        <w:spacing w:before="60" w:after="120"/>
      </w:pPr>
      <w:r>
        <w:t>For a detailed discussion of handling precautions during system operation, refer to the ARCHITECT System Operations Manual, Section 7.</w:t>
      </w:r>
      <w:bookmarkStart w:id="29" w:name="unique_15"/>
      <w:bookmarkEnd w:id="29"/>
    </w:p>
    <w:p w:rsidR="001834CB" w:rsidRDefault="001834CB" w:rsidP="001834CB">
      <w:pPr>
        <w:pStyle w:val="Heading2"/>
        <w:rPr>
          <w:rFonts w:eastAsiaTheme="minorEastAsia"/>
          <w:b w:val="0"/>
          <w:bCs w:val="0"/>
          <w:sz w:val="24"/>
          <w:szCs w:val="24"/>
        </w:rPr>
      </w:pPr>
      <w:r>
        <w:t>Reagent Storage</w:t>
      </w:r>
    </w:p>
    <w:p w:rsidR="001834CB" w:rsidRDefault="001834CB" w:rsidP="001834CB">
      <w:pPr>
        <w:spacing w:before="60" w:after="120"/>
      </w:pPr>
      <w:r>
        <w:t xml:space="preserve">When stored and handled as directed, reagents are stable until the expiration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2065"/>
        <w:gridCol w:w="1846"/>
        <w:gridCol w:w="2772"/>
      </w:tblGrid>
      <w:tr w:rsidR="001834CB" w:rsidTr="00995A0E">
        <w:trPr>
          <w:tblHeader/>
        </w:trPr>
        <w:tc>
          <w:tcPr>
            <w:tcW w:w="2245" w:type="dxa"/>
            <w:tcBorders>
              <w:left w:val="nil"/>
              <w:right w:val="nil"/>
            </w:tcBorders>
          </w:tcPr>
          <w:p w:rsidR="001834CB" w:rsidRDefault="001834CB" w:rsidP="00CF4008">
            <w:pPr>
              <w:pStyle w:val="tableheader"/>
              <w:autoSpaceDE/>
              <w:autoSpaceDN/>
              <w:adjustRightInd/>
              <w:spacing w:before="60" w:after="60"/>
            </w:pPr>
            <w:bookmarkStart w:id="30" w:name="unique_15_Connect_42_table_org_1f3_vl"/>
            <w:bookmarkEnd w:id="30"/>
          </w:p>
        </w:tc>
        <w:tc>
          <w:tcPr>
            <w:tcW w:w="2065" w:type="dxa"/>
            <w:tcBorders>
              <w:left w:val="nil"/>
              <w:right w:val="nil"/>
            </w:tcBorders>
            <w:vAlign w:val="bottom"/>
          </w:tcPr>
          <w:p w:rsidR="001834CB" w:rsidRDefault="001834CB" w:rsidP="00CF4008">
            <w:pPr>
              <w:pStyle w:val="tableheader"/>
              <w:autoSpaceDE/>
              <w:autoSpaceDN/>
              <w:adjustRightInd/>
              <w:spacing w:before="60" w:after="60"/>
            </w:pPr>
            <w:r>
              <w:t>Storage Temperature</w:t>
            </w:r>
          </w:p>
        </w:tc>
        <w:tc>
          <w:tcPr>
            <w:tcW w:w="1846" w:type="dxa"/>
            <w:tcBorders>
              <w:left w:val="nil"/>
              <w:right w:val="nil"/>
            </w:tcBorders>
            <w:vAlign w:val="bottom"/>
          </w:tcPr>
          <w:p w:rsidR="001834CB" w:rsidRDefault="001834CB" w:rsidP="00CF4008">
            <w:pPr>
              <w:pStyle w:val="tableheader"/>
              <w:autoSpaceDE/>
              <w:autoSpaceDN/>
              <w:adjustRightInd/>
              <w:spacing w:before="60" w:after="60"/>
            </w:pPr>
            <w:r>
              <w:t>Maximum Storage Time</w:t>
            </w:r>
          </w:p>
        </w:tc>
        <w:tc>
          <w:tcPr>
            <w:tcW w:w="2772" w:type="dxa"/>
            <w:tcBorders>
              <w:left w:val="nil"/>
              <w:right w:val="nil"/>
            </w:tcBorders>
            <w:vAlign w:val="bottom"/>
          </w:tcPr>
          <w:p w:rsidR="001834CB" w:rsidRDefault="001834CB" w:rsidP="00CF4008">
            <w:pPr>
              <w:pStyle w:val="tableheader"/>
              <w:autoSpaceDE/>
              <w:autoSpaceDN/>
              <w:adjustRightInd/>
              <w:spacing w:before="60" w:after="60"/>
            </w:pPr>
            <w:r>
              <w:t>Additional Storage Instructions</w:t>
            </w:r>
          </w:p>
        </w:tc>
      </w:tr>
      <w:tr w:rsidR="001834CB" w:rsidTr="00995A0E">
        <w:tc>
          <w:tcPr>
            <w:tcW w:w="2245" w:type="dxa"/>
            <w:tcBorders>
              <w:left w:val="nil"/>
              <w:bottom w:val="nil"/>
              <w:right w:val="nil"/>
            </w:tcBorders>
          </w:tcPr>
          <w:p w:rsidR="001834CB" w:rsidRPr="00A76549" w:rsidRDefault="001834CB" w:rsidP="00CF4008">
            <w:pPr>
              <w:spacing w:before="60" w:after="120"/>
              <w:rPr>
                <w:sz w:val="18"/>
                <w:szCs w:val="18"/>
              </w:rPr>
            </w:pPr>
            <w:r w:rsidRPr="00A76549">
              <w:rPr>
                <w:b/>
                <w:sz w:val="18"/>
                <w:szCs w:val="18"/>
              </w:rPr>
              <w:t>Unopened/Opened*</w:t>
            </w:r>
          </w:p>
        </w:tc>
        <w:tc>
          <w:tcPr>
            <w:tcW w:w="2065" w:type="dxa"/>
            <w:tcBorders>
              <w:left w:val="nil"/>
              <w:bottom w:val="nil"/>
              <w:right w:val="nil"/>
            </w:tcBorders>
          </w:tcPr>
          <w:p w:rsidR="001834CB" w:rsidRPr="00A76549" w:rsidRDefault="001834CB" w:rsidP="00CF4008">
            <w:pPr>
              <w:spacing w:before="60" w:after="120"/>
              <w:rPr>
                <w:sz w:val="18"/>
                <w:szCs w:val="18"/>
              </w:rPr>
            </w:pPr>
            <w:r w:rsidRPr="00A76549">
              <w:rPr>
                <w:sz w:val="18"/>
                <w:szCs w:val="18"/>
              </w:rPr>
              <w:t>2-8°C</w:t>
            </w:r>
          </w:p>
        </w:tc>
        <w:tc>
          <w:tcPr>
            <w:tcW w:w="1846" w:type="dxa"/>
            <w:tcBorders>
              <w:left w:val="nil"/>
              <w:bottom w:val="nil"/>
              <w:right w:val="nil"/>
            </w:tcBorders>
          </w:tcPr>
          <w:p w:rsidR="001834CB" w:rsidRPr="00A76549" w:rsidRDefault="001834CB" w:rsidP="00CF4008">
            <w:pPr>
              <w:spacing w:before="60" w:after="120"/>
              <w:rPr>
                <w:sz w:val="18"/>
                <w:szCs w:val="18"/>
              </w:rPr>
            </w:pPr>
            <w:r w:rsidRPr="00A76549">
              <w:rPr>
                <w:sz w:val="18"/>
                <w:szCs w:val="18"/>
              </w:rPr>
              <w:t>Until expiration date</w:t>
            </w:r>
          </w:p>
        </w:tc>
        <w:tc>
          <w:tcPr>
            <w:tcW w:w="2772" w:type="dxa"/>
            <w:tcBorders>
              <w:left w:val="nil"/>
              <w:bottom w:val="nil"/>
              <w:right w:val="nil"/>
            </w:tcBorders>
          </w:tcPr>
          <w:p w:rsidR="001834CB" w:rsidRPr="00A76549" w:rsidRDefault="001834CB" w:rsidP="00CF4008">
            <w:pPr>
              <w:spacing w:before="60" w:after="120"/>
              <w:rPr>
                <w:sz w:val="18"/>
                <w:szCs w:val="18"/>
              </w:rPr>
            </w:pPr>
            <w:r w:rsidRPr="00A76549">
              <w:rPr>
                <w:sz w:val="18"/>
                <w:szCs w:val="18"/>
              </w:rPr>
              <w:t>May be used immediately after removal from 2-8°C storage.</w:t>
            </w:r>
          </w:p>
          <w:p w:rsidR="001834CB" w:rsidRPr="00A76549" w:rsidRDefault="001834CB" w:rsidP="00CF4008">
            <w:pPr>
              <w:spacing w:before="60" w:after="120"/>
              <w:rPr>
                <w:sz w:val="18"/>
                <w:szCs w:val="18"/>
              </w:rPr>
            </w:pPr>
            <w:r w:rsidRPr="00A76549">
              <w:rPr>
                <w:sz w:val="18"/>
                <w:szCs w:val="18"/>
              </w:rPr>
              <w:t>Store in upright position.</w:t>
            </w:r>
          </w:p>
        </w:tc>
      </w:tr>
      <w:tr w:rsidR="00995A0E" w:rsidTr="00995A0E">
        <w:tc>
          <w:tcPr>
            <w:tcW w:w="2245" w:type="dxa"/>
            <w:tcBorders>
              <w:top w:val="nil"/>
              <w:left w:val="nil"/>
              <w:right w:val="nil"/>
            </w:tcBorders>
          </w:tcPr>
          <w:p w:rsidR="00995A0E" w:rsidRPr="00A76549" w:rsidRDefault="00995A0E" w:rsidP="00CF4008">
            <w:pPr>
              <w:spacing w:before="60" w:after="120"/>
              <w:rPr>
                <w:sz w:val="18"/>
                <w:szCs w:val="18"/>
              </w:rPr>
            </w:pPr>
            <w:r w:rsidRPr="00A76549">
              <w:rPr>
                <w:b/>
                <w:sz w:val="18"/>
                <w:szCs w:val="18"/>
              </w:rPr>
              <w:t>On board</w:t>
            </w:r>
          </w:p>
        </w:tc>
        <w:tc>
          <w:tcPr>
            <w:tcW w:w="2065" w:type="dxa"/>
            <w:tcBorders>
              <w:top w:val="nil"/>
              <w:left w:val="nil"/>
              <w:right w:val="nil"/>
            </w:tcBorders>
          </w:tcPr>
          <w:p w:rsidR="00995A0E" w:rsidRPr="00A76549" w:rsidRDefault="00995A0E" w:rsidP="00CF4008">
            <w:pPr>
              <w:spacing w:before="60" w:after="120"/>
              <w:rPr>
                <w:sz w:val="18"/>
                <w:szCs w:val="18"/>
              </w:rPr>
            </w:pPr>
            <w:r w:rsidRPr="00A76549">
              <w:rPr>
                <w:sz w:val="18"/>
                <w:szCs w:val="18"/>
              </w:rPr>
              <w:t>System temperature</w:t>
            </w:r>
          </w:p>
        </w:tc>
        <w:tc>
          <w:tcPr>
            <w:tcW w:w="1846" w:type="dxa"/>
            <w:tcBorders>
              <w:top w:val="nil"/>
              <w:left w:val="nil"/>
              <w:right w:val="nil"/>
            </w:tcBorders>
          </w:tcPr>
          <w:p w:rsidR="00995A0E" w:rsidRPr="00A76549" w:rsidRDefault="00995A0E" w:rsidP="00CF4008">
            <w:pPr>
              <w:spacing w:before="60" w:after="120"/>
              <w:rPr>
                <w:sz w:val="18"/>
                <w:szCs w:val="18"/>
              </w:rPr>
            </w:pPr>
            <w:r w:rsidRPr="00A76549">
              <w:rPr>
                <w:sz w:val="18"/>
                <w:szCs w:val="18"/>
              </w:rPr>
              <w:t>30 days</w:t>
            </w:r>
          </w:p>
        </w:tc>
        <w:tc>
          <w:tcPr>
            <w:tcW w:w="2772" w:type="dxa"/>
            <w:tcBorders>
              <w:top w:val="nil"/>
              <w:left w:val="nil"/>
              <w:right w:val="nil"/>
            </w:tcBorders>
          </w:tcPr>
          <w:p w:rsidR="00995A0E" w:rsidRPr="00A76549" w:rsidRDefault="00995A0E" w:rsidP="00CF4008">
            <w:pPr>
              <w:spacing w:before="60" w:after="120"/>
              <w:rPr>
                <w:sz w:val="18"/>
                <w:szCs w:val="18"/>
              </w:rPr>
            </w:pPr>
            <w:r w:rsidRPr="00A76549">
              <w:rPr>
                <w:sz w:val="18"/>
                <w:szCs w:val="18"/>
              </w:rPr>
              <w:t>Discard after 30 days.</w:t>
            </w:r>
          </w:p>
          <w:p w:rsidR="00995A0E" w:rsidRPr="00A76549" w:rsidRDefault="00995A0E" w:rsidP="007D4600">
            <w:pPr>
              <w:spacing w:before="60" w:after="120"/>
              <w:rPr>
                <w:sz w:val="18"/>
                <w:szCs w:val="18"/>
              </w:rPr>
            </w:pPr>
          </w:p>
        </w:tc>
      </w:tr>
    </w:tbl>
    <w:p w:rsidR="00995A0E" w:rsidRDefault="00995A0E" w:rsidP="00995A0E">
      <w:pPr>
        <w:spacing w:before="60" w:after="60"/>
      </w:pPr>
      <w:r>
        <w:t xml:space="preserve">* Reagents may be stored on or off the ARCHITECT iSystem. If reagents are removed from the system, store them at 2-8°C (with septums and replacement caps) in an upright position. For reagents stored off the system, it is recommended </w:t>
      </w:r>
      <w:r>
        <w:lastRenderedPageBreak/>
        <w:t xml:space="preserve">that they be stored in their original trays and boxes to ensure they remain upright. </w:t>
      </w:r>
      <w:r>
        <w:rPr>
          <w:b/>
        </w:rPr>
        <w:t>If the microparticle bottle does not remain upright (with a septum installed) while in refrigerated storage off the system, the reagent kit must be discarded.</w:t>
      </w:r>
      <w:r>
        <w:t xml:space="preserve"> For information on unloading reagents, refer to the ARCHITECT System Operations Manual, Section 5.</w:t>
      </w:r>
      <w:bookmarkStart w:id="31" w:name="unique_16"/>
      <w:bookmarkEnd w:id="31"/>
    </w:p>
    <w:p w:rsidR="00995A0E" w:rsidRDefault="00995A0E" w:rsidP="00995A0E">
      <w:pPr>
        <w:pStyle w:val="Heading2"/>
        <w:spacing w:after="60"/>
        <w:rPr>
          <w:rFonts w:eastAsiaTheme="minorEastAsia"/>
          <w:b w:val="0"/>
          <w:bCs w:val="0"/>
          <w:sz w:val="24"/>
          <w:szCs w:val="24"/>
        </w:rPr>
      </w:pPr>
      <w:r>
        <w:t>Indications of Reagent Deterioration</w:t>
      </w:r>
    </w:p>
    <w:p w:rsidR="00995A0E" w:rsidRDefault="00995A0E" w:rsidP="00995A0E">
      <w:pPr>
        <w:spacing w:before="60" w:after="120"/>
      </w:pPr>
      <w:r>
        <w:t>When a control value is out of the specified range, it may indicate deterioration of the reagents or errors in technique. Associated test results are invalid, and samples must be retested. Assay recalibration may be necessary. For troubleshooting information, refer to the ARCHITECT System Operations Manual, Section 10.</w:t>
      </w:r>
      <w:bookmarkStart w:id="32" w:name="unique_17"/>
      <w:bookmarkEnd w:id="32"/>
    </w:p>
    <w:p w:rsidR="00995A0E" w:rsidRDefault="00995A0E" w:rsidP="00995A0E">
      <w:pPr>
        <w:pStyle w:val="Heading1"/>
        <w:rPr>
          <w:rFonts w:eastAsiaTheme="minorEastAsia"/>
          <w:b w:val="0"/>
          <w:bCs w:val="0"/>
          <w:sz w:val="24"/>
          <w:szCs w:val="24"/>
          <w:lang w:eastAsia="en-US"/>
        </w:rPr>
      </w:pPr>
      <w:r>
        <w:t>INSTRUMENT PROCEDURE</w:t>
      </w:r>
    </w:p>
    <w:p w:rsidR="00995A0E" w:rsidRDefault="00995A0E" w:rsidP="00995A0E">
      <w:pPr>
        <w:spacing w:before="60" w:after="120"/>
      </w:pPr>
      <w:r>
        <w:t>The ARCHITECT iVancomycin assay file must be installed on the ARCHITECT iSystem with STAT protocol capability from an ARCHITECT iSystem Assay CD-ROM prior to performing the assay.</w:t>
      </w:r>
    </w:p>
    <w:p w:rsidR="00995A0E" w:rsidRDefault="00995A0E" w:rsidP="00995A0E">
      <w:pPr>
        <w:spacing w:before="60" w:after="120"/>
      </w:pPr>
      <w:r>
        <w:t>For a detailed description of system procedures, refer to the ARCHITECT System Operations Manual.</w:t>
      </w:r>
      <w:bookmarkStart w:id="33" w:name="unique_18"/>
      <w:bookmarkEnd w:id="33"/>
    </w:p>
    <w:p w:rsidR="00A74F37" w:rsidRDefault="00A74F37" w:rsidP="00A74F37">
      <w:pPr>
        <w:pStyle w:val="Heading1"/>
        <w:autoSpaceDE/>
        <w:autoSpaceDN/>
        <w:adjustRightInd/>
        <w:rPr>
          <w:rFonts w:eastAsiaTheme="minorEastAsia"/>
          <w:b w:val="0"/>
          <w:bCs w:val="0"/>
          <w:sz w:val="24"/>
          <w:szCs w:val="24"/>
          <w:lang w:eastAsia="en-US"/>
        </w:rPr>
      </w:pPr>
      <w:r>
        <w:t>SPECIMEN COLLECTION AND PREPARATION FOR ANALYSIS</w:t>
      </w:r>
    </w:p>
    <w:p w:rsidR="00A74F37" w:rsidRDefault="00A74F37" w:rsidP="00A74F37">
      <w:pPr>
        <w:pStyle w:val="Heading2"/>
        <w:rPr>
          <w:rFonts w:eastAsiaTheme="minorEastAsia"/>
          <w:b w:val="0"/>
          <w:bCs w:val="0"/>
          <w:sz w:val="24"/>
          <w:szCs w:val="24"/>
        </w:rPr>
      </w:pPr>
      <w:bookmarkStart w:id="34" w:name="unique_20"/>
      <w:bookmarkEnd w:id="34"/>
      <w:r>
        <w:t>Specimen Types</w:t>
      </w:r>
    </w:p>
    <w:p w:rsidR="00A74F37" w:rsidRDefault="00A74F37" w:rsidP="00A74F37">
      <w:pPr>
        <w:spacing w:before="60" w:after="120"/>
      </w:pPr>
      <w:r>
        <w:t xml:space="preserve">Verified specimen types to be used with this assay: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1"/>
        <w:gridCol w:w="4799"/>
      </w:tblGrid>
      <w:tr w:rsidR="00A74F37" w:rsidTr="00CF4008">
        <w:trPr>
          <w:tblHeader/>
        </w:trPr>
        <w:tc>
          <w:tcPr>
            <w:tcW w:w="4561" w:type="dxa"/>
            <w:tcBorders>
              <w:left w:val="nil"/>
              <w:right w:val="nil"/>
            </w:tcBorders>
          </w:tcPr>
          <w:p w:rsidR="00A74F37" w:rsidRDefault="00A74F37" w:rsidP="00CF4008">
            <w:pPr>
              <w:pStyle w:val="tableheader"/>
              <w:autoSpaceDE/>
              <w:autoSpaceDN/>
              <w:adjustRightInd/>
              <w:spacing w:before="60" w:after="60"/>
            </w:pPr>
            <w:bookmarkStart w:id="35" w:name="unique_20_Connect_42_table_al4_xgs_vk"/>
            <w:bookmarkEnd w:id="35"/>
            <w:r>
              <w:t>Specimen Types</w:t>
            </w:r>
          </w:p>
        </w:tc>
        <w:tc>
          <w:tcPr>
            <w:tcW w:w="4799" w:type="dxa"/>
            <w:tcBorders>
              <w:left w:val="nil"/>
              <w:right w:val="nil"/>
            </w:tcBorders>
          </w:tcPr>
          <w:p w:rsidR="00A74F37" w:rsidRDefault="00A74F37" w:rsidP="00CF4008">
            <w:pPr>
              <w:pStyle w:val="tableheader"/>
              <w:autoSpaceDE/>
              <w:autoSpaceDN/>
              <w:adjustRightInd/>
              <w:spacing w:before="60" w:after="60"/>
            </w:pPr>
            <w:r>
              <w:t>Collection Tubes</w:t>
            </w:r>
          </w:p>
        </w:tc>
      </w:tr>
      <w:tr w:rsidR="00A74F37" w:rsidTr="00CF4008">
        <w:tc>
          <w:tcPr>
            <w:tcW w:w="4561" w:type="dxa"/>
            <w:tcBorders>
              <w:left w:val="nil"/>
              <w:bottom w:val="nil"/>
              <w:right w:val="nil"/>
            </w:tcBorders>
          </w:tcPr>
          <w:p w:rsidR="00A74F37" w:rsidRDefault="00A74F37" w:rsidP="00CF4008">
            <w:pPr>
              <w:spacing w:before="60" w:after="120"/>
            </w:pPr>
            <w:r>
              <w:t>Human serum</w:t>
            </w:r>
          </w:p>
        </w:tc>
        <w:tc>
          <w:tcPr>
            <w:tcW w:w="4799" w:type="dxa"/>
            <w:tcBorders>
              <w:left w:val="nil"/>
              <w:bottom w:val="nil"/>
              <w:right w:val="nil"/>
            </w:tcBorders>
          </w:tcPr>
          <w:p w:rsidR="00A74F37" w:rsidRDefault="00A74F37" w:rsidP="00CF4008">
            <w:pPr>
              <w:spacing w:before="60" w:after="120"/>
            </w:pPr>
            <w:r>
              <w:t>Serum</w:t>
            </w:r>
          </w:p>
        </w:tc>
      </w:tr>
      <w:tr w:rsidR="00A74F37" w:rsidTr="00CF4008">
        <w:tc>
          <w:tcPr>
            <w:tcW w:w="4561" w:type="dxa"/>
            <w:tcBorders>
              <w:top w:val="nil"/>
              <w:left w:val="nil"/>
              <w:right w:val="nil"/>
            </w:tcBorders>
          </w:tcPr>
          <w:p w:rsidR="00A74F37" w:rsidRDefault="00A74F37" w:rsidP="00CF4008">
            <w:pPr>
              <w:spacing w:before="60" w:after="120"/>
            </w:pPr>
            <w:r>
              <w:t>Human plasma</w:t>
            </w:r>
          </w:p>
        </w:tc>
        <w:tc>
          <w:tcPr>
            <w:tcW w:w="4799" w:type="dxa"/>
            <w:tcBorders>
              <w:top w:val="nil"/>
              <w:left w:val="nil"/>
              <w:right w:val="nil"/>
            </w:tcBorders>
          </w:tcPr>
          <w:p w:rsidR="00A74F37" w:rsidRDefault="00A74F37" w:rsidP="00CF4008">
            <w:pPr>
              <w:spacing w:before="60" w:after="120"/>
            </w:pPr>
            <w:r>
              <w:t>Lithium heparin</w:t>
            </w:r>
          </w:p>
          <w:p w:rsidR="00A74F37" w:rsidRDefault="00A74F37" w:rsidP="00CF4008">
            <w:pPr>
              <w:spacing w:before="60" w:after="120"/>
            </w:pPr>
          </w:p>
        </w:tc>
      </w:tr>
    </w:tbl>
    <w:p w:rsidR="00A74F37" w:rsidRDefault="00A74F37" w:rsidP="00A74F37">
      <w:pPr>
        <w:widowControl w:val="0"/>
        <w:numPr>
          <w:ilvl w:val="0"/>
          <w:numId w:val="2"/>
        </w:numPr>
        <w:autoSpaceDE w:val="0"/>
        <w:autoSpaceDN w:val="0"/>
        <w:adjustRightInd w:val="0"/>
        <w:spacing w:before="60" w:after="120" w:line="240" w:lineRule="auto"/>
      </w:pPr>
      <w:bookmarkStart w:id="36" w:name="unique_20_Connect_42_ul_udy_kkx_cn"/>
      <w:bookmarkEnd w:id="36"/>
      <w:r>
        <w:t>Other specimen collection tubes, including gel separation tubes, have not been tested with this assay.</w:t>
      </w:r>
    </w:p>
    <w:p w:rsidR="00A74F37" w:rsidRDefault="00A74F37" w:rsidP="00A74F37">
      <w:pPr>
        <w:widowControl w:val="0"/>
        <w:numPr>
          <w:ilvl w:val="0"/>
          <w:numId w:val="2"/>
        </w:numPr>
        <w:autoSpaceDE w:val="0"/>
        <w:autoSpaceDN w:val="0"/>
        <w:adjustRightInd w:val="0"/>
        <w:spacing w:before="60" w:after="120" w:line="240" w:lineRule="auto"/>
      </w:pPr>
      <w:r>
        <w:t>Plasma samples from different anticoagulant tube types should not be used interchangeably for monitoring vancomycin. Use of citrate should be performed only when the blood is collected in a full tube so as not to incur a dilution effect.</w:t>
      </w:r>
    </w:p>
    <w:p w:rsidR="00A74F37" w:rsidRDefault="00A74F37" w:rsidP="00A74F37">
      <w:pPr>
        <w:widowControl w:val="0"/>
        <w:numPr>
          <w:ilvl w:val="0"/>
          <w:numId w:val="2"/>
        </w:numPr>
        <w:autoSpaceDE w:val="0"/>
        <w:autoSpaceDN w:val="0"/>
        <w:adjustRightInd w:val="0"/>
        <w:spacing w:before="60" w:after="120" w:line="240" w:lineRule="auto"/>
      </w:pPr>
      <w:r>
        <w:t>Performance has not been established for the use of cadaveric specimens or the use of body fluids other than human serum or plasma.</w:t>
      </w:r>
    </w:p>
    <w:p w:rsidR="00A74F37" w:rsidRDefault="00A74F37" w:rsidP="00A74F37">
      <w:pPr>
        <w:widowControl w:val="0"/>
        <w:numPr>
          <w:ilvl w:val="0"/>
          <w:numId w:val="2"/>
        </w:numPr>
        <w:autoSpaceDE w:val="0"/>
        <w:autoSpaceDN w:val="0"/>
        <w:adjustRightInd w:val="0"/>
        <w:spacing w:before="60" w:after="120" w:line="240" w:lineRule="auto"/>
      </w:pPr>
      <w:r>
        <w:t>Liquid anticoagulants may have a dilution effect resulting in lower concentrations for individual patient specimens.</w:t>
      </w:r>
    </w:p>
    <w:p w:rsidR="00A74F37" w:rsidRDefault="00A74F37" w:rsidP="00A74F37">
      <w:pPr>
        <w:widowControl w:val="0"/>
        <w:numPr>
          <w:ilvl w:val="0"/>
          <w:numId w:val="2"/>
        </w:numPr>
        <w:autoSpaceDE w:val="0"/>
        <w:autoSpaceDN w:val="0"/>
        <w:adjustRightInd w:val="0"/>
        <w:spacing w:before="60" w:after="120" w:line="240" w:lineRule="auto"/>
      </w:pPr>
      <w:r>
        <w:t>The instrument does not provide the capability to verify specimen type. It is the responsibility of the operator to verify that the correct specimen types are used in the assay.</w:t>
      </w:r>
    </w:p>
    <w:p w:rsidR="00A74F37" w:rsidRDefault="00A74F37" w:rsidP="00A74F37">
      <w:pPr>
        <w:pStyle w:val="Heading2"/>
        <w:rPr>
          <w:rFonts w:eastAsiaTheme="minorEastAsia"/>
          <w:b w:val="0"/>
          <w:bCs w:val="0"/>
          <w:sz w:val="24"/>
          <w:szCs w:val="24"/>
        </w:rPr>
      </w:pPr>
      <w:bookmarkStart w:id="37" w:name="unique_21"/>
      <w:bookmarkEnd w:id="37"/>
      <w:r>
        <w:t>Specimen Conditions</w:t>
      </w:r>
      <w:bookmarkStart w:id="38" w:name="unique_21_Connect_42_ul_up5_jlx_cn"/>
      <w:bookmarkEnd w:id="38"/>
    </w:p>
    <w:p w:rsidR="00A74F37" w:rsidRDefault="00A74F37" w:rsidP="00A74F37">
      <w:pPr>
        <w:pStyle w:val="ListParagraph"/>
        <w:numPr>
          <w:ilvl w:val="0"/>
          <w:numId w:val="7"/>
        </w:numPr>
        <w:spacing w:before="60" w:after="120"/>
        <w:ind w:left="360"/>
      </w:pPr>
      <w:r>
        <w:t>Do not use specimens with the following conditions:</w:t>
      </w:r>
      <w:bookmarkStart w:id="39" w:name="unique_21_Connect_42_ul_cry_llx_cn"/>
      <w:bookmarkEnd w:id="39"/>
    </w:p>
    <w:p w:rsidR="00A74F37" w:rsidRDefault="00A74F37" w:rsidP="00F73D4A">
      <w:pPr>
        <w:widowControl w:val="0"/>
        <w:numPr>
          <w:ilvl w:val="0"/>
          <w:numId w:val="6"/>
        </w:numPr>
        <w:autoSpaceDE w:val="0"/>
        <w:autoSpaceDN w:val="0"/>
        <w:adjustRightInd w:val="0"/>
        <w:spacing w:before="60" w:after="0" w:line="240" w:lineRule="auto"/>
        <w:ind w:left="1170" w:hanging="450"/>
      </w:pPr>
      <w:r>
        <w:t>heat-inactivated</w:t>
      </w:r>
    </w:p>
    <w:p w:rsidR="00A74F37" w:rsidRDefault="00A74F37" w:rsidP="00F73D4A">
      <w:pPr>
        <w:widowControl w:val="0"/>
        <w:numPr>
          <w:ilvl w:val="0"/>
          <w:numId w:val="6"/>
        </w:numPr>
        <w:autoSpaceDE w:val="0"/>
        <w:autoSpaceDN w:val="0"/>
        <w:adjustRightInd w:val="0"/>
        <w:spacing w:before="60" w:after="0" w:line="240" w:lineRule="auto"/>
        <w:ind w:left="1170" w:hanging="450"/>
      </w:pPr>
      <w:r>
        <w:t>grossly hemolyzed</w:t>
      </w:r>
    </w:p>
    <w:p w:rsidR="00A74F37" w:rsidRDefault="00A74F37" w:rsidP="00F73D4A">
      <w:pPr>
        <w:widowControl w:val="0"/>
        <w:numPr>
          <w:ilvl w:val="0"/>
          <w:numId w:val="6"/>
        </w:numPr>
        <w:autoSpaceDE w:val="0"/>
        <w:autoSpaceDN w:val="0"/>
        <w:adjustRightInd w:val="0"/>
        <w:spacing w:before="60" w:after="0" w:line="240" w:lineRule="auto"/>
        <w:ind w:left="1170" w:hanging="450"/>
      </w:pPr>
      <w:r>
        <w:t>obvious microbial contamination</w:t>
      </w:r>
    </w:p>
    <w:p w:rsidR="00A74F37" w:rsidRDefault="00A74F37" w:rsidP="00A74F37">
      <w:pPr>
        <w:widowControl w:val="0"/>
        <w:numPr>
          <w:ilvl w:val="0"/>
          <w:numId w:val="2"/>
        </w:numPr>
        <w:autoSpaceDE w:val="0"/>
        <w:autoSpaceDN w:val="0"/>
        <w:adjustRightInd w:val="0"/>
        <w:spacing w:before="60" w:after="120" w:line="240" w:lineRule="auto"/>
      </w:pPr>
      <w:r>
        <w:t>For accurate results, serum and plasma specimens should be free of fibrin, red blood cells, and other particulate matter. Serum specimens from patients receiving anticoagulant or thrombolytic therapy may contain fibrin due to incomplete clot formation.</w:t>
      </w:r>
    </w:p>
    <w:p w:rsidR="00A74F37" w:rsidRDefault="00A74F37" w:rsidP="00A74F37">
      <w:pPr>
        <w:widowControl w:val="0"/>
        <w:numPr>
          <w:ilvl w:val="0"/>
          <w:numId w:val="2"/>
        </w:numPr>
        <w:autoSpaceDE w:val="0"/>
        <w:autoSpaceDN w:val="0"/>
        <w:adjustRightInd w:val="0"/>
        <w:spacing w:before="60" w:after="120" w:line="240" w:lineRule="auto"/>
      </w:pPr>
      <w:r>
        <w:lastRenderedPageBreak/>
        <w:t>To prevent cross contamination, use of disposable pipettes or pipette tips is recommended.</w:t>
      </w:r>
    </w:p>
    <w:p w:rsidR="00A74F37" w:rsidRDefault="00A74F37" w:rsidP="00A74F37">
      <w:pPr>
        <w:pStyle w:val="Heading2"/>
        <w:rPr>
          <w:rFonts w:eastAsiaTheme="minorEastAsia"/>
          <w:b w:val="0"/>
          <w:bCs w:val="0"/>
          <w:sz w:val="24"/>
          <w:szCs w:val="24"/>
        </w:rPr>
      </w:pPr>
      <w:bookmarkStart w:id="40" w:name="unique_22"/>
      <w:bookmarkEnd w:id="40"/>
      <w:r>
        <w:t>Preparation for Analysis</w:t>
      </w:r>
    </w:p>
    <w:p w:rsidR="00A74F37" w:rsidRDefault="00A74F37" w:rsidP="00A74F37">
      <w:pPr>
        <w:widowControl w:val="0"/>
        <w:numPr>
          <w:ilvl w:val="0"/>
          <w:numId w:val="2"/>
        </w:numPr>
        <w:autoSpaceDE w:val="0"/>
        <w:autoSpaceDN w:val="0"/>
        <w:adjustRightInd w:val="0"/>
        <w:spacing w:before="60" w:after="120" w:line="240" w:lineRule="auto"/>
      </w:pPr>
      <w:bookmarkStart w:id="41" w:name="unique_22_Connect_42_ol_j23_l5m_kk"/>
      <w:bookmarkEnd w:id="41"/>
      <w:r>
        <w:t>Follow the tube manufacturer’s processing instructions for collection tubes. Gravity separation is not sufficient for specimen preparation.</w:t>
      </w:r>
    </w:p>
    <w:p w:rsidR="00A74F37" w:rsidRDefault="00A74F37" w:rsidP="00A74F37">
      <w:pPr>
        <w:widowControl w:val="0"/>
        <w:numPr>
          <w:ilvl w:val="0"/>
          <w:numId w:val="2"/>
        </w:numPr>
        <w:autoSpaceDE w:val="0"/>
        <w:autoSpaceDN w:val="0"/>
        <w:adjustRightInd w:val="0"/>
        <w:spacing w:before="60" w:after="120" w:line="240" w:lineRule="auto"/>
      </w:pPr>
      <w:r>
        <w:t>Mix thawed specimens thoroughly by low speed vortexing or by inverting 10 times. Visually inspect the specimens. If layering or stratification is observed, continue mixing until specimens are visibly homogeneous.</w:t>
      </w:r>
    </w:p>
    <w:p w:rsidR="00A74F37" w:rsidRDefault="00A74F37" w:rsidP="00A74F37">
      <w:pPr>
        <w:pStyle w:val="ListParagraph"/>
        <w:numPr>
          <w:ilvl w:val="0"/>
          <w:numId w:val="2"/>
        </w:numPr>
        <w:spacing w:before="60" w:after="120"/>
      </w:pPr>
      <w:r>
        <w:t>To ensure consistency in results, centrifuge specimens before testing if</w:t>
      </w:r>
      <w:bookmarkStart w:id="42" w:name="unique_22_Connect_42_d405e44"/>
      <w:bookmarkEnd w:id="42"/>
    </w:p>
    <w:p w:rsidR="00A74F37" w:rsidRDefault="00A74F37" w:rsidP="00A74F37">
      <w:pPr>
        <w:widowControl w:val="0"/>
        <w:numPr>
          <w:ilvl w:val="0"/>
          <w:numId w:val="8"/>
        </w:numPr>
        <w:autoSpaceDE w:val="0"/>
        <w:autoSpaceDN w:val="0"/>
        <w:adjustRightInd w:val="0"/>
        <w:spacing w:before="60" w:after="120" w:line="240" w:lineRule="auto"/>
        <w:ind w:left="1170" w:hanging="450"/>
      </w:pPr>
      <w:r>
        <w:t>they contain fibrin, red blood cells, or other particulate matter or</w:t>
      </w:r>
    </w:p>
    <w:p w:rsidR="00A74F37" w:rsidRDefault="00A74F37" w:rsidP="00A74F37">
      <w:pPr>
        <w:widowControl w:val="0"/>
        <w:numPr>
          <w:ilvl w:val="0"/>
          <w:numId w:val="8"/>
        </w:numPr>
        <w:autoSpaceDE w:val="0"/>
        <w:autoSpaceDN w:val="0"/>
        <w:adjustRightInd w:val="0"/>
        <w:spacing w:before="60" w:after="120" w:line="240" w:lineRule="auto"/>
        <w:ind w:left="1170" w:hanging="450"/>
      </w:pPr>
      <w:r>
        <w:t xml:space="preserve">they were frozen and thawed. </w:t>
      </w:r>
    </w:p>
    <w:p w:rsidR="00A74F37" w:rsidRDefault="00A74F37" w:rsidP="00A74F37">
      <w:pPr>
        <w:widowControl w:val="0"/>
        <w:numPr>
          <w:ilvl w:val="0"/>
          <w:numId w:val="2"/>
        </w:numPr>
        <w:autoSpaceDE w:val="0"/>
        <w:autoSpaceDN w:val="0"/>
        <w:adjustRightInd w:val="0"/>
        <w:spacing w:before="60" w:after="120" w:line="240" w:lineRule="auto"/>
      </w:pPr>
      <w:r>
        <w:t xml:space="preserve">Transfer clarified specimen to a sample cup or secondary tube for testing. For centrifuged specimens with a lipid layer, transfer only the clarified specimen and not the lipemic material. </w:t>
      </w:r>
    </w:p>
    <w:p w:rsidR="00A74F37" w:rsidRDefault="00A74F37" w:rsidP="00A74F37">
      <w:pPr>
        <w:widowControl w:val="0"/>
        <w:numPr>
          <w:ilvl w:val="0"/>
          <w:numId w:val="2"/>
        </w:numPr>
        <w:autoSpaceDE w:val="0"/>
        <w:autoSpaceDN w:val="0"/>
        <w:adjustRightInd w:val="0"/>
        <w:spacing w:before="60" w:after="120" w:line="240" w:lineRule="auto"/>
      </w:pPr>
      <w:r>
        <w:t>Inspect all specimens for bubbles. Remove bubbles with an applicator stick before analysis. Use a new applicator stick for each specimen to prevent cross contamination.</w:t>
      </w:r>
    </w:p>
    <w:p w:rsidR="00A74F37" w:rsidRDefault="00A74F37" w:rsidP="00A74F37">
      <w:pPr>
        <w:pStyle w:val="Heading2"/>
        <w:rPr>
          <w:rFonts w:eastAsiaTheme="minorEastAsia"/>
          <w:b w:val="0"/>
          <w:bCs w:val="0"/>
          <w:sz w:val="24"/>
          <w:szCs w:val="24"/>
        </w:rPr>
      </w:pPr>
      <w:bookmarkStart w:id="43" w:name="unique_23"/>
      <w:bookmarkEnd w:id="43"/>
      <w:r>
        <w:t>Specimen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3150"/>
        <w:gridCol w:w="3050"/>
      </w:tblGrid>
      <w:tr w:rsidR="00A74F37" w:rsidTr="00CF4008">
        <w:trPr>
          <w:tblHeader/>
        </w:trPr>
        <w:tc>
          <w:tcPr>
            <w:tcW w:w="3160" w:type="dxa"/>
            <w:tcBorders>
              <w:left w:val="nil"/>
              <w:right w:val="nil"/>
            </w:tcBorders>
          </w:tcPr>
          <w:p w:rsidR="00A74F37" w:rsidRDefault="00A74F37" w:rsidP="00CF4008">
            <w:pPr>
              <w:pStyle w:val="tableheader"/>
              <w:autoSpaceDE/>
              <w:autoSpaceDN/>
              <w:adjustRightInd/>
              <w:spacing w:before="60" w:after="120"/>
            </w:pPr>
            <w:bookmarkStart w:id="44" w:name="unique_23_Connect_42_table_ygx_y2m_tp"/>
            <w:bookmarkEnd w:id="44"/>
            <w:r>
              <w:t>Specimen Type</w:t>
            </w:r>
          </w:p>
        </w:tc>
        <w:tc>
          <w:tcPr>
            <w:tcW w:w="3150" w:type="dxa"/>
            <w:tcBorders>
              <w:left w:val="nil"/>
              <w:right w:val="nil"/>
            </w:tcBorders>
          </w:tcPr>
          <w:p w:rsidR="00A74F37" w:rsidRDefault="00A74F37" w:rsidP="00CF4008">
            <w:pPr>
              <w:pStyle w:val="tableheader"/>
              <w:autoSpaceDE/>
              <w:autoSpaceDN/>
              <w:adjustRightInd/>
              <w:spacing w:before="60" w:after="120"/>
            </w:pPr>
            <w:r>
              <w:t>Storage Temperature</w:t>
            </w:r>
          </w:p>
        </w:tc>
        <w:tc>
          <w:tcPr>
            <w:tcW w:w="3050" w:type="dxa"/>
            <w:tcBorders>
              <w:left w:val="nil"/>
              <w:right w:val="nil"/>
            </w:tcBorders>
          </w:tcPr>
          <w:p w:rsidR="00A74F37" w:rsidRDefault="00A74F37" w:rsidP="00CF4008">
            <w:pPr>
              <w:pStyle w:val="tableheader"/>
              <w:autoSpaceDE/>
              <w:autoSpaceDN/>
              <w:adjustRightInd/>
              <w:spacing w:before="60" w:after="120"/>
            </w:pPr>
            <w:r>
              <w:t xml:space="preserve">Maximum Storage Time </w:t>
            </w:r>
          </w:p>
        </w:tc>
      </w:tr>
      <w:tr w:rsidR="00A74F37" w:rsidTr="00CF4008">
        <w:tc>
          <w:tcPr>
            <w:tcW w:w="3160" w:type="dxa"/>
            <w:vMerge w:val="restart"/>
            <w:tcBorders>
              <w:left w:val="nil"/>
              <w:right w:val="nil"/>
            </w:tcBorders>
          </w:tcPr>
          <w:p w:rsidR="00A74F37" w:rsidRDefault="00A74F37" w:rsidP="00CF4008">
            <w:pPr>
              <w:spacing w:before="60" w:after="120"/>
            </w:pPr>
            <w:r>
              <w:t>Serum/Plasma</w:t>
            </w:r>
          </w:p>
        </w:tc>
        <w:tc>
          <w:tcPr>
            <w:tcW w:w="3150" w:type="dxa"/>
            <w:tcBorders>
              <w:left w:val="nil"/>
              <w:bottom w:val="nil"/>
              <w:right w:val="nil"/>
            </w:tcBorders>
          </w:tcPr>
          <w:p w:rsidR="00A74F37" w:rsidRDefault="00A74F37" w:rsidP="00CF4008">
            <w:pPr>
              <w:spacing w:before="60" w:after="120"/>
            </w:pPr>
            <w:r>
              <w:t>Room temperature</w:t>
            </w:r>
          </w:p>
        </w:tc>
        <w:tc>
          <w:tcPr>
            <w:tcW w:w="3050" w:type="dxa"/>
            <w:tcBorders>
              <w:left w:val="nil"/>
              <w:bottom w:val="nil"/>
              <w:right w:val="nil"/>
            </w:tcBorders>
          </w:tcPr>
          <w:p w:rsidR="00A74F37" w:rsidRDefault="00A74F37" w:rsidP="00CF4008">
            <w:pPr>
              <w:spacing w:before="60" w:after="120"/>
            </w:pPr>
            <w:r>
              <w:t>≤ 3 days</w:t>
            </w:r>
          </w:p>
        </w:tc>
      </w:tr>
      <w:tr w:rsidR="00A74F37" w:rsidTr="00CF4008">
        <w:tc>
          <w:tcPr>
            <w:tcW w:w="3160" w:type="dxa"/>
            <w:vMerge/>
            <w:tcBorders>
              <w:left w:val="nil"/>
              <w:right w:val="nil"/>
            </w:tcBorders>
          </w:tcPr>
          <w:p w:rsidR="00A74F37" w:rsidRDefault="00A74F37" w:rsidP="00CF4008">
            <w:pPr>
              <w:spacing w:before="60" w:after="120"/>
            </w:pPr>
          </w:p>
        </w:tc>
        <w:tc>
          <w:tcPr>
            <w:tcW w:w="3150" w:type="dxa"/>
            <w:tcBorders>
              <w:top w:val="nil"/>
              <w:left w:val="nil"/>
              <w:bottom w:val="nil"/>
              <w:right w:val="nil"/>
            </w:tcBorders>
          </w:tcPr>
          <w:p w:rsidR="00A74F37" w:rsidRDefault="00A74F37" w:rsidP="00CF4008">
            <w:pPr>
              <w:spacing w:before="60" w:after="120"/>
            </w:pPr>
            <w:r>
              <w:t>2-8°C</w:t>
            </w:r>
          </w:p>
        </w:tc>
        <w:tc>
          <w:tcPr>
            <w:tcW w:w="3050" w:type="dxa"/>
            <w:tcBorders>
              <w:top w:val="nil"/>
              <w:left w:val="nil"/>
              <w:bottom w:val="nil"/>
              <w:right w:val="nil"/>
            </w:tcBorders>
          </w:tcPr>
          <w:p w:rsidR="00A74F37" w:rsidRDefault="00A74F37" w:rsidP="00CF4008">
            <w:pPr>
              <w:spacing w:before="60" w:after="120"/>
            </w:pPr>
            <w:r>
              <w:t>≤ 8 days</w:t>
            </w:r>
          </w:p>
        </w:tc>
      </w:tr>
      <w:tr w:rsidR="00A74F37" w:rsidTr="00CF4008">
        <w:tc>
          <w:tcPr>
            <w:tcW w:w="3160" w:type="dxa"/>
            <w:vMerge/>
            <w:tcBorders>
              <w:left w:val="nil"/>
              <w:right w:val="nil"/>
            </w:tcBorders>
          </w:tcPr>
          <w:p w:rsidR="00A74F37" w:rsidRDefault="00A74F37" w:rsidP="00CF4008">
            <w:pPr>
              <w:spacing w:before="60" w:after="120"/>
            </w:pPr>
          </w:p>
        </w:tc>
        <w:tc>
          <w:tcPr>
            <w:tcW w:w="3150" w:type="dxa"/>
            <w:tcBorders>
              <w:top w:val="nil"/>
              <w:left w:val="nil"/>
              <w:right w:val="nil"/>
            </w:tcBorders>
          </w:tcPr>
          <w:p w:rsidR="00A74F37" w:rsidRDefault="00A74F37" w:rsidP="00CF4008">
            <w:pPr>
              <w:spacing w:before="60" w:after="120"/>
            </w:pPr>
            <w:r>
              <w:t>-20°C or colder</w:t>
            </w:r>
          </w:p>
        </w:tc>
        <w:tc>
          <w:tcPr>
            <w:tcW w:w="3050" w:type="dxa"/>
            <w:tcBorders>
              <w:top w:val="nil"/>
              <w:left w:val="nil"/>
              <w:right w:val="nil"/>
            </w:tcBorders>
          </w:tcPr>
          <w:p w:rsidR="00A74F37" w:rsidRDefault="00A74F37" w:rsidP="00CF4008">
            <w:pPr>
              <w:spacing w:before="60" w:after="120"/>
            </w:pPr>
            <w:r>
              <w:t>≤ 3 months</w:t>
            </w:r>
          </w:p>
        </w:tc>
      </w:tr>
    </w:tbl>
    <w:p w:rsidR="00A74F37" w:rsidRDefault="00A74F37" w:rsidP="00A74F37">
      <w:pPr>
        <w:spacing w:before="60" w:after="120"/>
      </w:pPr>
      <w:r>
        <w:t>Specimens may be stored on or off the clot or red blood cells for up to three days at room temperature.</w:t>
      </w:r>
    </w:p>
    <w:p w:rsidR="00A74F37" w:rsidRDefault="00A74F37" w:rsidP="00A74F37">
      <w:pPr>
        <w:spacing w:before="60" w:after="120"/>
      </w:pPr>
      <w:r>
        <w:t>Specimens removed from the clot or red blood cells may be stored up to eight days at 2-8°C.</w:t>
      </w:r>
      <w:bookmarkStart w:id="45" w:name="unique_24"/>
      <w:bookmarkEnd w:id="45"/>
    </w:p>
    <w:p w:rsidR="00A74F37" w:rsidRDefault="00A74F37" w:rsidP="00A74F37">
      <w:pPr>
        <w:pStyle w:val="Heading2"/>
        <w:spacing w:after="60"/>
        <w:rPr>
          <w:rFonts w:eastAsiaTheme="minorEastAsia"/>
          <w:b w:val="0"/>
          <w:bCs w:val="0"/>
          <w:sz w:val="24"/>
          <w:szCs w:val="24"/>
        </w:rPr>
      </w:pPr>
      <w:r>
        <w:t>Specimen Shipping</w:t>
      </w:r>
    </w:p>
    <w:p w:rsidR="00A74F37" w:rsidRDefault="00A74F37" w:rsidP="00A74F37">
      <w:pPr>
        <w:widowControl w:val="0"/>
        <w:numPr>
          <w:ilvl w:val="0"/>
          <w:numId w:val="2"/>
        </w:numPr>
        <w:autoSpaceDE w:val="0"/>
        <w:autoSpaceDN w:val="0"/>
        <w:adjustRightInd w:val="0"/>
        <w:spacing w:before="60" w:after="120" w:line="240" w:lineRule="auto"/>
      </w:pPr>
      <w:bookmarkStart w:id="46" w:name="unique_24_Connect_42_ul_zt4_kls_vk"/>
      <w:bookmarkEnd w:id="46"/>
      <w:r>
        <w:t>Package and label specimens in compliance with applicable state, federal, and international regulations covering the transport of clinical specimens and infectious substances.</w:t>
      </w:r>
    </w:p>
    <w:p w:rsidR="00A74F37" w:rsidRDefault="00A74F37" w:rsidP="00A74F37">
      <w:pPr>
        <w:widowControl w:val="0"/>
        <w:numPr>
          <w:ilvl w:val="0"/>
          <w:numId w:val="2"/>
        </w:numPr>
        <w:autoSpaceDE w:val="0"/>
        <w:autoSpaceDN w:val="0"/>
        <w:adjustRightInd w:val="0"/>
        <w:spacing w:before="60" w:after="120" w:line="240" w:lineRule="auto"/>
      </w:pPr>
      <w:r>
        <w:t>Do not exceed the storage limitations listed above.</w:t>
      </w:r>
    </w:p>
    <w:p w:rsidR="00A74F37" w:rsidRDefault="00A74F37" w:rsidP="00A74F37">
      <w:pPr>
        <w:pStyle w:val="Heading1"/>
        <w:spacing w:before="180" w:after="180"/>
        <w:rPr>
          <w:rFonts w:eastAsiaTheme="minorEastAsia"/>
          <w:b w:val="0"/>
          <w:bCs w:val="0"/>
          <w:sz w:val="24"/>
          <w:szCs w:val="24"/>
          <w:lang w:eastAsia="en-US"/>
        </w:rPr>
      </w:pPr>
      <w:bookmarkStart w:id="47" w:name="unique_25"/>
      <w:bookmarkEnd w:id="47"/>
      <w:r>
        <w:t>PROCEDURE</w:t>
      </w:r>
    </w:p>
    <w:p w:rsidR="00A74F37" w:rsidRDefault="00A74F37" w:rsidP="00A74F37">
      <w:pPr>
        <w:pStyle w:val="Heading2"/>
        <w:spacing w:after="60"/>
        <w:rPr>
          <w:rFonts w:eastAsiaTheme="minorEastAsia"/>
          <w:b w:val="0"/>
          <w:bCs w:val="0"/>
          <w:sz w:val="24"/>
          <w:szCs w:val="24"/>
        </w:rPr>
      </w:pPr>
      <w:bookmarkStart w:id="48" w:name="unique_26"/>
      <w:bookmarkEnd w:id="48"/>
      <w:r>
        <w:t>Materials Provided</w:t>
      </w:r>
    </w:p>
    <w:p w:rsidR="00A74F37" w:rsidRDefault="00A74F37" w:rsidP="00A74F37">
      <w:pPr>
        <w:spacing w:before="60" w:after="120"/>
      </w:pPr>
      <w:r>
        <w:t xml:space="preserve">1P30 ARCHITECT iVancomycin Reagent Kit </w:t>
      </w:r>
      <w:bookmarkStart w:id="49" w:name="unique_27"/>
      <w:bookmarkEnd w:id="49"/>
    </w:p>
    <w:p w:rsidR="00A74F37" w:rsidRDefault="00A74F37" w:rsidP="00A74F37">
      <w:pPr>
        <w:pStyle w:val="Heading2"/>
        <w:spacing w:after="60"/>
        <w:rPr>
          <w:rFonts w:eastAsiaTheme="minorEastAsia"/>
          <w:b w:val="0"/>
          <w:bCs w:val="0"/>
          <w:sz w:val="24"/>
          <w:szCs w:val="24"/>
        </w:rPr>
      </w:pPr>
      <w:r>
        <w:t>Materials Required but not Provided</w:t>
      </w:r>
    </w:p>
    <w:p w:rsidR="00A74F37" w:rsidRDefault="00A74F37" w:rsidP="00A74F37">
      <w:pPr>
        <w:widowControl w:val="0"/>
        <w:numPr>
          <w:ilvl w:val="0"/>
          <w:numId w:val="2"/>
        </w:numPr>
        <w:autoSpaceDE w:val="0"/>
        <w:autoSpaceDN w:val="0"/>
        <w:adjustRightInd w:val="0"/>
        <w:spacing w:before="60" w:after="120" w:line="240" w:lineRule="auto"/>
      </w:pPr>
      <w:bookmarkStart w:id="50" w:name="unique_27_Connect_42_ul_tvn_vms_qk"/>
      <w:bookmarkEnd w:id="50"/>
      <w:r>
        <w:t>ARCHITECT iVancomycin Assay file obtained from the ARCHITECT iSystem e-Assay CD-ROM found on www.abbottdiagnostics.com.</w:t>
      </w:r>
    </w:p>
    <w:p w:rsidR="00A74F37" w:rsidRDefault="00A74F37" w:rsidP="00A74F37">
      <w:pPr>
        <w:widowControl w:val="0"/>
        <w:numPr>
          <w:ilvl w:val="0"/>
          <w:numId w:val="2"/>
        </w:numPr>
        <w:autoSpaceDE w:val="0"/>
        <w:autoSpaceDN w:val="0"/>
        <w:adjustRightInd w:val="0"/>
        <w:spacing w:before="60" w:after="120" w:line="240" w:lineRule="auto"/>
      </w:pPr>
      <w:r>
        <w:t>1P30-01 ARCHITECT iVancomycin Calibrators</w:t>
      </w:r>
    </w:p>
    <w:p w:rsidR="00A74F37" w:rsidRDefault="005D7E3A" w:rsidP="00F73D4A">
      <w:pPr>
        <w:widowControl w:val="0"/>
        <w:numPr>
          <w:ilvl w:val="0"/>
          <w:numId w:val="2"/>
        </w:numPr>
        <w:autoSpaceDE w:val="0"/>
        <w:autoSpaceDN w:val="0"/>
        <w:adjustRightInd w:val="0"/>
        <w:spacing w:before="60" w:after="100" w:afterAutospacing="1" w:line="240" w:lineRule="auto"/>
      </w:pPr>
      <w:r>
        <w:t>Quality control products (Bio-Rad Immunoassay plus levels 1, 2 &amp;3)</w:t>
      </w:r>
    </w:p>
    <w:p w:rsidR="00A74F37" w:rsidRDefault="00A74F37" w:rsidP="00F73D4A">
      <w:pPr>
        <w:widowControl w:val="0"/>
        <w:numPr>
          <w:ilvl w:val="0"/>
          <w:numId w:val="2"/>
        </w:numPr>
        <w:autoSpaceDE w:val="0"/>
        <w:autoSpaceDN w:val="0"/>
        <w:adjustRightInd w:val="0"/>
        <w:spacing w:before="60" w:after="100" w:afterAutospacing="1" w:line="240" w:lineRule="auto"/>
      </w:pPr>
      <w:r>
        <w:t>7D82-50 ARCHITECT Multi-Assay Manual Diluent</w:t>
      </w:r>
    </w:p>
    <w:p w:rsidR="00A74F37" w:rsidRDefault="00A74F37" w:rsidP="00F73D4A">
      <w:pPr>
        <w:widowControl w:val="0"/>
        <w:numPr>
          <w:ilvl w:val="0"/>
          <w:numId w:val="2"/>
        </w:numPr>
        <w:autoSpaceDE w:val="0"/>
        <w:autoSpaceDN w:val="0"/>
        <w:adjustRightInd w:val="0"/>
        <w:spacing w:before="60" w:after="100" w:afterAutospacing="1" w:line="240" w:lineRule="auto"/>
      </w:pPr>
      <w:r>
        <w:t>ARCHITECT Pre-Trigger Solution</w:t>
      </w:r>
    </w:p>
    <w:p w:rsidR="00A74F37" w:rsidRDefault="00A74F37" w:rsidP="00F73D4A">
      <w:pPr>
        <w:widowControl w:val="0"/>
        <w:numPr>
          <w:ilvl w:val="0"/>
          <w:numId w:val="2"/>
        </w:numPr>
        <w:autoSpaceDE w:val="0"/>
        <w:autoSpaceDN w:val="0"/>
        <w:adjustRightInd w:val="0"/>
        <w:spacing w:before="60" w:after="100" w:afterAutospacing="1" w:line="240" w:lineRule="auto"/>
      </w:pPr>
      <w:r>
        <w:lastRenderedPageBreak/>
        <w:t>ARCHITECT Trigger Solution</w:t>
      </w:r>
    </w:p>
    <w:p w:rsidR="00A74F37" w:rsidRDefault="00A74F37" w:rsidP="00F73D4A">
      <w:pPr>
        <w:widowControl w:val="0"/>
        <w:numPr>
          <w:ilvl w:val="0"/>
          <w:numId w:val="2"/>
        </w:numPr>
        <w:autoSpaceDE w:val="0"/>
        <w:autoSpaceDN w:val="0"/>
        <w:adjustRightInd w:val="0"/>
        <w:spacing w:before="60" w:after="100" w:afterAutospacing="1" w:line="240" w:lineRule="auto"/>
      </w:pPr>
      <w:r>
        <w:t>ARCHITECT Wash Buffer</w:t>
      </w:r>
    </w:p>
    <w:p w:rsidR="00A74F37" w:rsidRDefault="00A74F37" w:rsidP="00F73D4A">
      <w:pPr>
        <w:widowControl w:val="0"/>
        <w:numPr>
          <w:ilvl w:val="0"/>
          <w:numId w:val="2"/>
        </w:numPr>
        <w:autoSpaceDE w:val="0"/>
        <w:autoSpaceDN w:val="0"/>
        <w:adjustRightInd w:val="0"/>
        <w:spacing w:before="60" w:after="100" w:afterAutospacing="1" w:line="240" w:lineRule="auto"/>
      </w:pPr>
      <w:r>
        <w:t>ARCHITECT Reaction Vessels</w:t>
      </w:r>
    </w:p>
    <w:p w:rsidR="00A74F37" w:rsidRDefault="00A74F37" w:rsidP="00F73D4A">
      <w:pPr>
        <w:widowControl w:val="0"/>
        <w:numPr>
          <w:ilvl w:val="0"/>
          <w:numId w:val="2"/>
        </w:numPr>
        <w:autoSpaceDE w:val="0"/>
        <w:autoSpaceDN w:val="0"/>
        <w:adjustRightInd w:val="0"/>
        <w:spacing w:before="60" w:after="100" w:afterAutospacing="1" w:line="240" w:lineRule="auto"/>
      </w:pPr>
      <w:r>
        <w:t>ARCHITECT Sample Cups</w:t>
      </w:r>
    </w:p>
    <w:p w:rsidR="00A74F37" w:rsidRDefault="00A74F37" w:rsidP="00F73D4A">
      <w:pPr>
        <w:widowControl w:val="0"/>
        <w:numPr>
          <w:ilvl w:val="0"/>
          <w:numId w:val="2"/>
        </w:numPr>
        <w:autoSpaceDE w:val="0"/>
        <w:autoSpaceDN w:val="0"/>
        <w:adjustRightInd w:val="0"/>
        <w:spacing w:before="60" w:after="100" w:afterAutospacing="1" w:line="240" w:lineRule="auto"/>
      </w:pPr>
      <w:r>
        <w:t>ARCHITECT Septum</w:t>
      </w:r>
    </w:p>
    <w:p w:rsidR="00A74F37" w:rsidRDefault="00A74F37" w:rsidP="00F73D4A">
      <w:pPr>
        <w:widowControl w:val="0"/>
        <w:numPr>
          <w:ilvl w:val="0"/>
          <w:numId w:val="2"/>
        </w:numPr>
        <w:autoSpaceDE w:val="0"/>
        <w:autoSpaceDN w:val="0"/>
        <w:adjustRightInd w:val="0"/>
        <w:spacing w:before="60" w:after="100" w:afterAutospacing="1" w:line="240" w:lineRule="auto"/>
      </w:pPr>
      <w:r>
        <w:t>ARCHITECT Replacement Caps</w:t>
      </w:r>
    </w:p>
    <w:p w:rsidR="00A74F37" w:rsidRDefault="00A74F37" w:rsidP="00F73D4A">
      <w:pPr>
        <w:widowControl w:val="0"/>
        <w:numPr>
          <w:ilvl w:val="0"/>
          <w:numId w:val="2"/>
        </w:numPr>
        <w:autoSpaceDE w:val="0"/>
        <w:autoSpaceDN w:val="0"/>
        <w:adjustRightInd w:val="0"/>
        <w:spacing w:before="60" w:after="100" w:afterAutospacing="1" w:line="240" w:lineRule="auto"/>
      </w:pPr>
      <w:r>
        <w:t>Pipettes or pipette tips (optional) to deliver the volumes specified on the patient or control order screen.</w:t>
      </w:r>
    </w:p>
    <w:p w:rsidR="00A74F37" w:rsidRDefault="00A74F37" w:rsidP="00A74F37">
      <w:pPr>
        <w:pStyle w:val="Heading2"/>
        <w:rPr>
          <w:rFonts w:eastAsiaTheme="minorEastAsia"/>
          <w:b w:val="0"/>
          <w:bCs w:val="0"/>
          <w:sz w:val="24"/>
          <w:szCs w:val="24"/>
        </w:rPr>
      </w:pPr>
      <w:r>
        <w:t>Assay Procedure</w:t>
      </w:r>
    </w:p>
    <w:p w:rsidR="00A74F37" w:rsidRDefault="00A74F37" w:rsidP="00F73D4A">
      <w:pPr>
        <w:pStyle w:val="ListParagraph"/>
        <w:numPr>
          <w:ilvl w:val="0"/>
          <w:numId w:val="9"/>
        </w:numPr>
        <w:spacing w:before="60"/>
        <w:ind w:left="360"/>
      </w:pPr>
      <w:bookmarkStart w:id="51" w:name="unique_28_Connect_42_ul_flm_zzl_rm"/>
      <w:bookmarkEnd w:id="51"/>
      <w:r>
        <w:t>Before loading the reagent kit on the system for the first time, the microparticle bottle requires mixing to resuspend microparticles that may have settled during shipment. After the first time the microparticles have been loaded, no further mixing is required.</w:t>
      </w:r>
      <w:bookmarkStart w:id="52" w:name="unique_28_Connect_42_ul_lzq_n1m_rm"/>
      <w:bookmarkEnd w:id="52"/>
    </w:p>
    <w:p w:rsidR="00A74F37" w:rsidRDefault="00A74F37" w:rsidP="00F73D4A">
      <w:pPr>
        <w:widowControl w:val="0"/>
        <w:numPr>
          <w:ilvl w:val="0"/>
          <w:numId w:val="10"/>
        </w:numPr>
        <w:autoSpaceDE w:val="0"/>
        <w:autoSpaceDN w:val="0"/>
        <w:adjustRightInd w:val="0"/>
        <w:spacing w:before="60" w:after="0" w:line="240" w:lineRule="auto"/>
      </w:pPr>
      <w:r>
        <w:rPr>
          <w:b/>
        </w:rPr>
        <w:t>Invert the microparticle bottle 30 times.</w:t>
      </w:r>
    </w:p>
    <w:p w:rsidR="00A74F37" w:rsidRDefault="00A74F37" w:rsidP="00F73D4A">
      <w:pPr>
        <w:widowControl w:val="0"/>
        <w:numPr>
          <w:ilvl w:val="0"/>
          <w:numId w:val="10"/>
        </w:numPr>
        <w:autoSpaceDE w:val="0"/>
        <w:autoSpaceDN w:val="0"/>
        <w:adjustRightInd w:val="0"/>
        <w:spacing w:before="60" w:after="0" w:line="240" w:lineRule="auto"/>
      </w:pPr>
      <w:r>
        <w:t>Visually inspect the bottle to ensure microparticles are resuspended. If microparticles are</w:t>
      </w:r>
      <w:r>
        <w:br/>
      </w:r>
      <w:r w:rsidRPr="00D02A4A">
        <w:rPr>
          <w:sz w:val="28"/>
          <w:szCs w:val="28"/>
        </w:rPr>
        <w:t xml:space="preserve">   </w:t>
      </w:r>
      <w:r>
        <w:t>still adhered to the bottle, continue to invert the bottle until the microparticles have been</w:t>
      </w:r>
      <w:r>
        <w:br/>
      </w:r>
      <w:r w:rsidRPr="00D02A4A">
        <w:rPr>
          <w:sz w:val="28"/>
          <w:szCs w:val="28"/>
        </w:rPr>
        <w:t xml:space="preserve">   </w:t>
      </w:r>
      <w:r>
        <w:t>completely resuspended.</w:t>
      </w:r>
    </w:p>
    <w:p w:rsidR="00A74F37" w:rsidRDefault="00A74F37" w:rsidP="00F73D4A">
      <w:pPr>
        <w:widowControl w:val="0"/>
        <w:numPr>
          <w:ilvl w:val="0"/>
          <w:numId w:val="10"/>
        </w:numPr>
        <w:autoSpaceDE w:val="0"/>
        <w:autoSpaceDN w:val="0"/>
        <w:adjustRightInd w:val="0"/>
        <w:spacing w:before="60" w:after="0" w:line="240" w:lineRule="auto"/>
      </w:pPr>
      <w:r>
        <w:rPr>
          <w:b/>
        </w:rPr>
        <w:t>If the microparticles do not resuspend, DO NOT USE. Contact your local Abbott</w:t>
      </w:r>
      <w:r>
        <w:rPr>
          <w:b/>
        </w:rPr>
        <w:br/>
      </w:r>
      <w:r w:rsidRPr="00D02A4A">
        <w:rPr>
          <w:b/>
          <w:sz w:val="28"/>
          <w:szCs w:val="28"/>
        </w:rPr>
        <w:t xml:space="preserve">   </w:t>
      </w:r>
      <w:r>
        <w:rPr>
          <w:b/>
        </w:rPr>
        <w:t>representative.</w:t>
      </w:r>
    </w:p>
    <w:p w:rsidR="00A74F37" w:rsidRDefault="00A74F37" w:rsidP="00F73D4A">
      <w:pPr>
        <w:widowControl w:val="0"/>
        <w:numPr>
          <w:ilvl w:val="0"/>
          <w:numId w:val="10"/>
        </w:numPr>
        <w:autoSpaceDE w:val="0"/>
        <w:autoSpaceDN w:val="0"/>
        <w:adjustRightInd w:val="0"/>
        <w:spacing w:before="60" w:after="0" w:line="240" w:lineRule="auto"/>
      </w:pPr>
      <w:r>
        <w:t>Once the microparticles have been resuspended, place a septum on the bottle. For</w:t>
      </w:r>
      <w:r>
        <w:br/>
      </w:r>
      <w:r w:rsidRPr="00D02A4A">
        <w:rPr>
          <w:sz w:val="28"/>
          <w:szCs w:val="28"/>
        </w:rPr>
        <w:t xml:space="preserve">   </w:t>
      </w:r>
      <w:r>
        <w:t xml:space="preserve">instructions about placing septums on bottles, refer to the </w:t>
      </w:r>
      <w:r>
        <w:rPr>
          <w:b/>
        </w:rPr>
        <w:t>Reagent Handling</w:t>
      </w:r>
      <w:r>
        <w:t xml:space="preserve"> section of</w:t>
      </w:r>
      <w:r>
        <w:br/>
      </w:r>
      <w:r w:rsidRPr="00D02A4A">
        <w:rPr>
          <w:sz w:val="28"/>
          <w:szCs w:val="28"/>
        </w:rPr>
        <w:t xml:space="preserve">   </w:t>
      </w:r>
      <w:r>
        <w:t>this package insert.</w:t>
      </w:r>
    </w:p>
    <w:p w:rsidR="00A74F37" w:rsidRDefault="00A74F37" w:rsidP="00F73D4A">
      <w:pPr>
        <w:pStyle w:val="ListParagraph"/>
        <w:numPr>
          <w:ilvl w:val="0"/>
          <w:numId w:val="9"/>
        </w:numPr>
        <w:tabs>
          <w:tab w:val="left" w:pos="450"/>
        </w:tabs>
        <w:spacing w:before="60"/>
        <w:ind w:hanging="720"/>
      </w:pPr>
      <w:r>
        <w:t>Load the reagent kit on the ARCHITECT iSystem.</w:t>
      </w:r>
      <w:bookmarkStart w:id="53" w:name="unique_28_Connect_42_ul_ikd_nrm_rm"/>
      <w:bookmarkEnd w:id="53"/>
    </w:p>
    <w:p w:rsidR="00A74F37" w:rsidRDefault="00A74F37" w:rsidP="00F73D4A">
      <w:pPr>
        <w:widowControl w:val="0"/>
        <w:numPr>
          <w:ilvl w:val="0"/>
          <w:numId w:val="11"/>
        </w:numPr>
        <w:autoSpaceDE w:val="0"/>
        <w:autoSpaceDN w:val="0"/>
        <w:adjustRightInd w:val="0"/>
        <w:spacing w:before="60" w:after="0" w:line="240" w:lineRule="auto"/>
      </w:pPr>
      <w:r>
        <w:t>Verify that all necessary reagents are present.</w:t>
      </w:r>
    </w:p>
    <w:p w:rsidR="00A74F37" w:rsidRDefault="00A74F37" w:rsidP="00F73D4A">
      <w:pPr>
        <w:widowControl w:val="0"/>
        <w:numPr>
          <w:ilvl w:val="0"/>
          <w:numId w:val="11"/>
        </w:numPr>
        <w:autoSpaceDE w:val="0"/>
        <w:autoSpaceDN w:val="0"/>
        <w:adjustRightInd w:val="0"/>
        <w:spacing w:before="60" w:after="0" w:line="240" w:lineRule="auto"/>
      </w:pPr>
      <w:r>
        <w:t>Ensure that septums are present on all reagent bottles.</w:t>
      </w:r>
    </w:p>
    <w:p w:rsidR="00A74F37" w:rsidRDefault="00A74F37" w:rsidP="00F73D4A">
      <w:pPr>
        <w:pStyle w:val="ListParagraph"/>
        <w:numPr>
          <w:ilvl w:val="0"/>
          <w:numId w:val="9"/>
        </w:numPr>
        <w:spacing w:before="60"/>
        <w:ind w:left="450" w:hanging="450"/>
      </w:pPr>
      <w:r>
        <w:t>Order calibration, if necessary.</w:t>
      </w:r>
      <w:bookmarkStart w:id="54" w:name="unique_28_Connect_42_ul_prp_tsm_rm"/>
      <w:bookmarkEnd w:id="54"/>
    </w:p>
    <w:p w:rsidR="00A74F37" w:rsidRDefault="00A74F37" w:rsidP="00F73D4A">
      <w:pPr>
        <w:widowControl w:val="0"/>
        <w:numPr>
          <w:ilvl w:val="0"/>
          <w:numId w:val="12"/>
        </w:numPr>
        <w:autoSpaceDE w:val="0"/>
        <w:autoSpaceDN w:val="0"/>
        <w:adjustRightInd w:val="0"/>
        <w:spacing w:before="60" w:after="0" w:line="240" w:lineRule="auto"/>
        <w:ind w:left="450"/>
      </w:pPr>
      <w:r>
        <w:t>For information on ordering calibrations, refer to the ARCHITECT System Operations</w:t>
      </w:r>
      <w:r>
        <w:br/>
      </w:r>
      <w:r w:rsidRPr="00D02A4A">
        <w:rPr>
          <w:sz w:val="30"/>
          <w:szCs w:val="30"/>
        </w:rPr>
        <w:t xml:space="preserve">  </w:t>
      </w:r>
      <w:r>
        <w:t>Manual, Section 6.</w:t>
      </w:r>
    </w:p>
    <w:p w:rsidR="00A74F37" w:rsidRDefault="00A74F37" w:rsidP="00F73D4A">
      <w:pPr>
        <w:pStyle w:val="ListParagraph"/>
        <w:numPr>
          <w:ilvl w:val="0"/>
          <w:numId w:val="9"/>
        </w:numPr>
        <w:spacing w:before="60"/>
        <w:ind w:left="360"/>
      </w:pPr>
      <w:r>
        <w:t>Order tests.</w:t>
      </w:r>
      <w:bookmarkStart w:id="55" w:name="unique_28_Connect_42_ul_q1x_1ds_rm"/>
      <w:bookmarkEnd w:id="55"/>
    </w:p>
    <w:p w:rsidR="00A74F37" w:rsidRDefault="00A74F37" w:rsidP="00F73D4A">
      <w:pPr>
        <w:widowControl w:val="0"/>
        <w:numPr>
          <w:ilvl w:val="1"/>
          <w:numId w:val="12"/>
        </w:numPr>
        <w:autoSpaceDE w:val="0"/>
        <w:autoSpaceDN w:val="0"/>
        <w:adjustRightInd w:val="0"/>
        <w:spacing w:before="60" w:after="0" w:line="240" w:lineRule="auto"/>
        <w:ind w:left="720" w:hanging="270"/>
      </w:pPr>
      <w:r>
        <w:t>For information on ordering patient specimens and controls and for general operating procedures, refer to the ARCHITECT System Operations Manual, Section 5.</w:t>
      </w:r>
    </w:p>
    <w:p w:rsidR="00A74F37" w:rsidRDefault="00A74F37" w:rsidP="00F73D4A">
      <w:pPr>
        <w:widowControl w:val="0"/>
        <w:numPr>
          <w:ilvl w:val="0"/>
          <w:numId w:val="2"/>
        </w:numPr>
        <w:autoSpaceDE w:val="0"/>
        <w:autoSpaceDN w:val="0"/>
        <w:adjustRightInd w:val="0"/>
        <w:spacing w:before="60" w:after="0" w:line="240" w:lineRule="auto"/>
      </w:pPr>
      <w:r>
        <w:t>Minimum sample cup volume is calculated by the system and printed on the Orderlist report. To minimize the effects of evaporation, verify adequate sample cup volume is present prior to running the test.</w:t>
      </w:r>
    </w:p>
    <w:p w:rsidR="00A74F37" w:rsidRDefault="00A74F37" w:rsidP="00F73D4A">
      <w:pPr>
        <w:spacing w:before="60" w:after="0"/>
        <w:ind w:firstLine="360"/>
      </w:pPr>
      <w:r>
        <w:t>Maximum number of replicates sampled from the same sample cup: 10</w:t>
      </w:r>
      <w:bookmarkStart w:id="56" w:name="unique_28_Connect_42_ul_mzx_mfs_rm"/>
      <w:bookmarkEnd w:id="56"/>
    </w:p>
    <w:p w:rsidR="00A74F37" w:rsidRDefault="00A74F37" w:rsidP="00D4461D">
      <w:pPr>
        <w:widowControl w:val="0"/>
        <w:numPr>
          <w:ilvl w:val="0"/>
          <w:numId w:val="12"/>
        </w:numPr>
        <w:autoSpaceDE w:val="0"/>
        <w:autoSpaceDN w:val="0"/>
        <w:adjustRightInd w:val="0"/>
        <w:spacing w:before="60" w:after="0" w:line="240" w:lineRule="auto"/>
      </w:pPr>
      <w:r>
        <w:t>Priority:</w:t>
      </w:r>
    </w:p>
    <w:p w:rsidR="00A74F37" w:rsidRDefault="00A74F37" w:rsidP="00D4461D">
      <w:pPr>
        <w:spacing w:before="60" w:after="0"/>
        <w:ind w:left="720"/>
      </w:pPr>
      <w:r>
        <w:t>Sample volume for first test: 70 μL</w:t>
      </w:r>
    </w:p>
    <w:p w:rsidR="00A74F37" w:rsidRDefault="00A74F37" w:rsidP="00D4461D">
      <w:pPr>
        <w:spacing w:before="60" w:after="0"/>
        <w:ind w:left="720"/>
      </w:pPr>
      <w:r>
        <w:t>Sample volume for each additional test from same sample cup: 20 μL</w:t>
      </w:r>
    </w:p>
    <w:p w:rsidR="00A74F37" w:rsidRDefault="00A74F37" w:rsidP="00D4461D">
      <w:pPr>
        <w:widowControl w:val="0"/>
        <w:numPr>
          <w:ilvl w:val="0"/>
          <w:numId w:val="12"/>
        </w:numPr>
        <w:autoSpaceDE w:val="0"/>
        <w:autoSpaceDN w:val="0"/>
        <w:adjustRightInd w:val="0"/>
        <w:spacing w:before="60" w:after="0" w:line="240" w:lineRule="auto"/>
      </w:pPr>
      <w:r>
        <w:t xml:space="preserve">≤ 3 hours on board: </w:t>
      </w:r>
    </w:p>
    <w:p w:rsidR="00A74F37" w:rsidRDefault="00A74F37" w:rsidP="00D4461D">
      <w:pPr>
        <w:spacing w:before="60" w:after="0"/>
        <w:ind w:left="720"/>
      </w:pPr>
      <w:r>
        <w:t>Sample volume for first test: 150 μL</w:t>
      </w:r>
    </w:p>
    <w:p w:rsidR="00A74F37" w:rsidRDefault="00A74F37" w:rsidP="00D4461D">
      <w:pPr>
        <w:spacing w:before="60" w:after="0"/>
        <w:ind w:left="720"/>
      </w:pPr>
      <w:r>
        <w:t>Sample volume for each additional test from same sample cup: 20 μL</w:t>
      </w:r>
    </w:p>
    <w:p w:rsidR="00A74F37" w:rsidRDefault="00A74F37" w:rsidP="00D4461D">
      <w:pPr>
        <w:widowControl w:val="0"/>
        <w:numPr>
          <w:ilvl w:val="0"/>
          <w:numId w:val="12"/>
        </w:numPr>
        <w:tabs>
          <w:tab w:val="left" w:pos="360"/>
        </w:tabs>
        <w:autoSpaceDE w:val="0"/>
        <w:autoSpaceDN w:val="0"/>
        <w:adjustRightInd w:val="0"/>
        <w:spacing w:before="60" w:after="0" w:line="240" w:lineRule="auto"/>
      </w:pPr>
      <w:r>
        <w:t>If using primary or aliquot tubes, use the sample gauge to ensure sufficient patient</w:t>
      </w:r>
      <w:r>
        <w:br/>
        <w:t xml:space="preserve">   specimen is present.</w:t>
      </w:r>
    </w:p>
    <w:p w:rsidR="00A74F37" w:rsidRDefault="00A74F37" w:rsidP="00F73D4A">
      <w:pPr>
        <w:widowControl w:val="0"/>
        <w:numPr>
          <w:ilvl w:val="0"/>
          <w:numId w:val="2"/>
        </w:numPr>
        <w:autoSpaceDE w:val="0"/>
        <w:autoSpaceDN w:val="0"/>
        <w:adjustRightInd w:val="0"/>
        <w:spacing w:before="60" w:after="0" w:line="240" w:lineRule="auto"/>
      </w:pPr>
      <w:r>
        <w:t>Prepare ARCHITECT iVancomycin Calibrators and controls.</w:t>
      </w:r>
    </w:p>
    <w:p w:rsidR="00A74F37" w:rsidRDefault="00A74F37" w:rsidP="00F73D4A">
      <w:pPr>
        <w:widowControl w:val="0"/>
        <w:numPr>
          <w:ilvl w:val="0"/>
          <w:numId w:val="12"/>
        </w:numPr>
        <w:autoSpaceDE w:val="0"/>
        <w:autoSpaceDN w:val="0"/>
        <w:adjustRightInd w:val="0"/>
        <w:spacing w:before="60" w:after="0" w:line="240" w:lineRule="auto"/>
      </w:pPr>
      <w:bookmarkStart w:id="57" w:name="unique_28_Connect_42_ul_cbm_2gs_rm"/>
      <w:bookmarkEnd w:id="57"/>
      <w:r>
        <w:lastRenderedPageBreak/>
        <w:t>Mix calibrator(s) by gentle inversion before use.</w:t>
      </w:r>
    </w:p>
    <w:p w:rsidR="00A74F37" w:rsidRDefault="00A74F37" w:rsidP="00F73D4A">
      <w:pPr>
        <w:widowControl w:val="0"/>
        <w:numPr>
          <w:ilvl w:val="0"/>
          <w:numId w:val="12"/>
        </w:numPr>
        <w:autoSpaceDE w:val="0"/>
        <w:autoSpaceDN w:val="0"/>
        <w:adjustRightInd w:val="0"/>
        <w:spacing w:before="60" w:after="0" w:line="240" w:lineRule="auto"/>
      </w:pPr>
      <w:r>
        <w:t xml:space="preserve">Hold bottles </w:t>
      </w:r>
      <w:r>
        <w:rPr>
          <w:b/>
        </w:rPr>
        <w:t>vertically</w:t>
      </w:r>
      <w:r>
        <w:t xml:space="preserve"> and dispense recommended volumes into each respective sample</w:t>
      </w:r>
      <w:r>
        <w:br/>
      </w:r>
      <w:r w:rsidRPr="00124441">
        <w:rPr>
          <w:sz w:val="28"/>
          <w:szCs w:val="28"/>
        </w:rPr>
        <w:t xml:space="preserve">   </w:t>
      </w:r>
      <w:r>
        <w:t>cup.</w:t>
      </w:r>
    </w:p>
    <w:p w:rsidR="00A74F37" w:rsidRDefault="00A74F37" w:rsidP="00F73D4A">
      <w:pPr>
        <w:widowControl w:val="0"/>
        <w:numPr>
          <w:ilvl w:val="0"/>
          <w:numId w:val="12"/>
        </w:numPr>
        <w:autoSpaceDE w:val="0"/>
        <w:autoSpaceDN w:val="0"/>
        <w:adjustRightInd w:val="0"/>
        <w:spacing w:before="60" w:after="0" w:line="240" w:lineRule="auto"/>
      </w:pPr>
      <w:r>
        <w:t>Recommended volumes:</w:t>
      </w:r>
    </w:p>
    <w:p w:rsidR="00A74F37" w:rsidRDefault="00A74F37" w:rsidP="00F73D4A">
      <w:pPr>
        <w:spacing w:before="60" w:after="0"/>
        <w:ind w:left="720"/>
      </w:pPr>
      <w:r>
        <w:t>for each calibrator: 5 drops</w:t>
      </w:r>
    </w:p>
    <w:p w:rsidR="00A74F37" w:rsidRDefault="00A74F37" w:rsidP="00F73D4A">
      <w:pPr>
        <w:spacing w:before="60" w:after="0"/>
        <w:ind w:left="720"/>
      </w:pPr>
      <w:r>
        <w:t>for each control: 150 μL</w:t>
      </w:r>
    </w:p>
    <w:p w:rsidR="00A74F37" w:rsidRDefault="00A74F37" w:rsidP="00F73D4A">
      <w:pPr>
        <w:widowControl w:val="0"/>
        <w:numPr>
          <w:ilvl w:val="0"/>
          <w:numId w:val="12"/>
        </w:numPr>
        <w:autoSpaceDE w:val="0"/>
        <w:autoSpaceDN w:val="0"/>
        <w:adjustRightInd w:val="0"/>
        <w:spacing w:before="60" w:after="0" w:line="240" w:lineRule="auto"/>
      </w:pPr>
      <w:r>
        <w:t>Follow the manufacturer’s instructions for preparation of commercially available control</w:t>
      </w:r>
      <w:r>
        <w:br/>
      </w:r>
      <w:r w:rsidRPr="00124441">
        <w:rPr>
          <w:sz w:val="28"/>
          <w:szCs w:val="28"/>
        </w:rPr>
        <w:t xml:space="preserve">   </w:t>
      </w:r>
      <w:r>
        <w:t>material.</w:t>
      </w:r>
    </w:p>
    <w:p w:rsidR="00A74F37" w:rsidRDefault="00A74F37" w:rsidP="00F73D4A">
      <w:pPr>
        <w:pStyle w:val="ListParagraph"/>
        <w:numPr>
          <w:ilvl w:val="0"/>
          <w:numId w:val="2"/>
        </w:numPr>
        <w:spacing w:before="60"/>
      </w:pPr>
      <w:r>
        <w:t>Load samples.</w:t>
      </w:r>
      <w:bookmarkStart w:id="58" w:name="unique_28_Connect_42_ul_qh2_mhs_rm"/>
      <w:bookmarkEnd w:id="58"/>
    </w:p>
    <w:p w:rsidR="00A74F37" w:rsidRDefault="00A74F37" w:rsidP="00F73D4A">
      <w:pPr>
        <w:widowControl w:val="0"/>
        <w:numPr>
          <w:ilvl w:val="0"/>
          <w:numId w:val="12"/>
        </w:numPr>
        <w:autoSpaceDE w:val="0"/>
        <w:autoSpaceDN w:val="0"/>
        <w:adjustRightInd w:val="0"/>
        <w:spacing w:before="60" w:after="0" w:line="240" w:lineRule="auto"/>
      </w:pPr>
      <w:r>
        <w:t>For information on loading samples, refer to the ARCHITECT System Operations</w:t>
      </w:r>
      <w:r>
        <w:br/>
      </w:r>
      <w:r w:rsidRPr="00124441">
        <w:rPr>
          <w:sz w:val="28"/>
          <w:szCs w:val="28"/>
        </w:rPr>
        <w:t xml:space="preserve">   </w:t>
      </w:r>
      <w:r>
        <w:t>Manual, Section 5.</w:t>
      </w:r>
    </w:p>
    <w:p w:rsidR="00A74F37" w:rsidRDefault="00A74F37" w:rsidP="00F73D4A">
      <w:pPr>
        <w:widowControl w:val="0"/>
        <w:numPr>
          <w:ilvl w:val="0"/>
          <w:numId w:val="2"/>
        </w:numPr>
        <w:autoSpaceDE w:val="0"/>
        <w:autoSpaceDN w:val="0"/>
        <w:adjustRightInd w:val="0"/>
        <w:spacing w:before="60" w:after="0" w:line="240" w:lineRule="auto"/>
      </w:pPr>
      <w:r>
        <w:t>Press RUN.</w:t>
      </w:r>
    </w:p>
    <w:p w:rsidR="00A74F37" w:rsidRDefault="00A74F37" w:rsidP="00F73D4A">
      <w:pPr>
        <w:widowControl w:val="0"/>
        <w:numPr>
          <w:ilvl w:val="0"/>
          <w:numId w:val="2"/>
        </w:numPr>
        <w:autoSpaceDE w:val="0"/>
        <w:autoSpaceDN w:val="0"/>
        <w:adjustRightInd w:val="0"/>
        <w:spacing w:before="60" w:after="0" w:line="240" w:lineRule="auto"/>
      </w:pPr>
      <w:r>
        <w:t>For additional information on principles of operation, refer to the ARCHITECT System Operations Manual, Section 3.</w:t>
      </w:r>
    </w:p>
    <w:p w:rsidR="00A74F37" w:rsidRDefault="00A74F37" w:rsidP="00F73D4A">
      <w:pPr>
        <w:widowControl w:val="0"/>
        <w:numPr>
          <w:ilvl w:val="0"/>
          <w:numId w:val="2"/>
        </w:numPr>
        <w:autoSpaceDE w:val="0"/>
        <w:autoSpaceDN w:val="0"/>
        <w:adjustRightInd w:val="0"/>
        <w:spacing w:before="60" w:after="0" w:line="240" w:lineRule="auto"/>
      </w:pPr>
      <w:r>
        <w:t>For optimal performance, it is important to perform routine maintenance as described in the ARCHITECT System Operations Manual, Section 9. Perform maintenance more frequently when required by laboratory procedures.</w:t>
      </w:r>
    </w:p>
    <w:p w:rsidR="00A74F37" w:rsidRDefault="00A74F37" w:rsidP="00F73D4A">
      <w:pPr>
        <w:pStyle w:val="Heading2"/>
        <w:rPr>
          <w:rFonts w:eastAsiaTheme="minorEastAsia"/>
          <w:b w:val="0"/>
          <w:bCs w:val="0"/>
          <w:sz w:val="24"/>
          <w:szCs w:val="24"/>
        </w:rPr>
      </w:pPr>
      <w:bookmarkStart w:id="59" w:name="unique_29"/>
      <w:bookmarkEnd w:id="59"/>
      <w:r>
        <w:t>Specimen Dilution Procedures</w:t>
      </w:r>
    </w:p>
    <w:p w:rsidR="00A74F37" w:rsidRDefault="00A74F37" w:rsidP="00A74F37">
      <w:pPr>
        <w:spacing w:before="60" w:after="120"/>
      </w:pPr>
      <w:r>
        <w:t>Specimens with a vancomycin value exceeding 50.00 μg/mL are flagged with the code “&gt;50.00” and may be diluted with the Manual Dilution Procedure.</w:t>
      </w:r>
    </w:p>
    <w:p w:rsidR="00A74F37" w:rsidRDefault="00A74F37" w:rsidP="00A74F37">
      <w:pPr>
        <w:spacing w:before="60" w:after="120"/>
      </w:pPr>
      <w:r>
        <w:rPr>
          <w:b/>
        </w:rPr>
        <w:t>Manual Dilution Procedure</w:t>
      </w:r>
    </w:p>
    <w:p w:rsidR="00A74F37" w:rsidRDefault="00A74F37" w:rsidP="00A74F37">
      <w:pPr>
        <w:spacing w:before="60" w:after="120"/>
      </w:pPr>
      <w:r>
        <w:t>Suggested dilution: 1:2.</w:t>
      </w:r>
    </w:p>
    <w:p w:rsidR="00A74F37" w:rsidRDefault="00A74F37" w:rsidP="00A74F37">
      <w:pPr>
        <w:widowControl w:val="0"/>
        <w:numPr>
          <w:ilvl w:val="0"/>
          <w:numId w:val="4"/>
        </w:numPr>
        <w:tabs>
          <w:tab w:val="clear" w:pos="360"/>
        </w:tabs>
        <w:autoSpaceDE w:val="0"/>
        <w:autoSpaceDN w:val="0"/>
        <w:adjustRightInd w:val="0"/>
        <w:spacing w:before="60" w:after="120" w:line="240" w:lineRule="auto"/>
      </w:pPr>
      <w:bookmarkStart w:id="60" w:name="unique_29_Connect_42_ol_pbd_wv1_zj"/>
      <w:bookmarkEnd w:id="60"/>
      <w:r>
        <w:t>Add 100.00 μL of the patient specimen to 100.00 μL of ARCHITECT iVancomycin Calibrator A or ARCHITECT Multi-Assay Manual Diluent.</w:t>
      </w:r>
    </w:p>
    <w:p w:rsidR="00A74F37" w:rsidRDefault="00A74F37" w:rsidP="00A74F37">
      <w:pPr>
        <w:widowControl w:val="0"/>
        <w:numPr>
          <w:ilvl w:val="0"/>
          <w:numId w:val="4"/>
        </w:numPr>
        <w:tabs>
          <w:tab w:val="clear" w:pos="360"/>
        </w:tabs>
        <w:autoSpaceDE w:val="0"/>
        <w:autoSpaceDN w:val="0"/>
        <w:adjustRightInd w:val="0"/>
        <w:spacing w:before="60" w:after="120" w:line="240" w:lineRule="auto"/>
      </w:pPr>
      <w:r>
        <w:t>The operator must enter the dilution factor in the Patient or Control order screen. The system will use this dilution factor to automatically calculate the concentration of the sample before dilution and report the result. The result should be &gt; 3.0 μg/mL before the dilution factor is applied.</w:t>
      </w:r>
    </w:p>
    <w:p w:rsidR="00A74F37" w:rsidRDefault="00A74F37" w:rsidP="00A74F37">
      <w:pPr>
        <w:spacing w:before="60" w:after="120"/>
      </w:pPr>
      <w:r>
        <w:t>For detailed information on ordering dilutions, refer to the ARCHITECT System Operations Manual, Section 5.</w:t>
      </w:r>
      <w:bookmarkStart w:id="61" w:name="unique_30"/>
      <w:bookmarkEnd w:id="61"/>
    </w:p>
    <w:p w:rsidR="00A74F37" w:rsidRDefault="00A74F37" w:rsidP="00A74F37">
      <w:pPr>
        <w:pStyle w:val="Heading2"/>
        <w:rPr>
          <w:rFonts w:eastAsiaTheme="minorEastAsia"/>
          <w:b w:val="0"/>
          <w:bCs w:val="0"/>
          <w:sz w:val="24"/>
          <w:szCs w:val="24"/>
        </w:rPr>
      </w:pPr>
      <w:r>
        <w:t>Calibration</w:t>
      </w:r>
    </w:p>
    <w:p w:rsidR="00A74F37" w:rsidRDefault="00A74F37" w:rsidP="00F73D4A">
      <w:pPr>
        <w:widowControl w:val="0"/>
        <w:numPr>
          <w:ilvl w:val="0"/>
          <w:numId w:val="2"/>
        </w:numPr>
        <w:autoSpaceDE w:val="0"/>
        <w:autoSpaceDN w:val="0"/>
        <w:adjustRightInd w:val="0"/>
        <w:spacing w:before="60" w:after="0" w:line="240" w:lineRule="auto"/>
      </w:pPr>
      <w:bookmarkStart w:id="62" w:name="unique_30_Connect_42_ul_qry_jqp_cn"/>
      <w:bookmarkEnd w:id="62"/>
      <w:r>
        <w:t>Test calibrators A, B, C, D, E, and F in duplicate. The calibrators should be priority loaded.</w:t>
      </w:r>
    </w:p>
    <w:p w:rsidR="00A74F37" w:rsidRDefault="00A74F37" w:rsidP="00F73D4A">
      <w:pPr>
        <w:spacing w:before="60" w:after="0"/>
        <w:ind w:left="360"/>
      </w:pPr>
      <w:r>
        <w:t>A single sample of each vancomycin control level must be tested to evaluate the assay calibration. Ensure that assay control values are within established ranges.</w:t>
      </w:r>
    </w:p>
    <w:p w:rsidR="00A74F37" w:rsidRDefault="00A74F37" w:rsidP="00F73D4A">
      <w:pPr>
        <w:widowControl w:val="0"/>
        <w:numPr>
          <w:ilvl w:val="0"/>
          <w:numId w:val="2"/>
        </w:numPr>
        <w:autoSpaceDE w:val="0"/>
        <w:autoSpaceDN w:val="0"/>
        <w:adjustRightInd w:val="0"/>
        <w:spacing w:before="60" w:after="0" w:line="240" w:lineRule="auto"/>
      </w:pPr>
      <w:r>
        <w:t>Calibration Range: 0.0 - 100.0 μg/mL.</w:t>
      </w:r>
    </w:p>
    <w:p w:rsidR="00A74F37" w:rsidRDefault="00A74F37" w:rsidP="00F73D4A">
      <w:pPr>
        <w:pStyle w:val="ListParagraph"/>
        <w:numPr>
          <w:ilvl w:val="0"/>
          <w:numId w:val="2"/>
        </w:numPr>
        <w:spacing w:before="60"/>
      </w:pPr>
      <w:r>
        <w:t>Once an ARCHITECT iVancomycin calibration is accepted and stored, all subsequent samples may be tested without further calibration unless:</w:t>
      </w:r>
      <w:bookmarkStart w:id="63" w:name="unique_30_Connect_42_d165e49"/>
      <w:bookmarkEnd w:id="63"/>
    </w:p>
    <w:p w:rsidR="00A74F37" w:rsidRDefault="00A74F37" w:rsidP="00F73D4A">
      <w:pPr>
        <w:widowControl w:val="0"/>
        <w:numPr>
          <w:ilvl w:val="0"/>
          <w:numId w:val="12"/>
        </w:numPr>
        <w:autoSpaceDE w:val="0"/>
        <w:autoSpaceDN w:val="0"/>
        <w:adjustRightInd w:val="0"/>
        <w:spacing w:before="60" w:after="0" w:line="240" w:lineRule="auto"/>
      </w:pPr>
      <w:r>
        <w:t>A reagent kit with a new lot number is used or</w:t>
      </w:r>
    </w:p>
    <w:p w:rsidR="00A74F37" w:rsidRDefault="00A74F37" w:rsidP="00F73D4A">
      <w:pPr>
        <w:widowControl w:val="0"/>
        <w:numPr>
          <w:ilvl w:val="0"/>
          <w:numId w:val="12"/>
        </w:numPr>
        <w:autoSpaceDE w:val="0"/>
        <w:autoSpaceDN w:val="0"/>
        <w:adjustRightInd w:val="0"/>
        <w:spacing w:before="60" w:after="0" w:line="240" w:lineRule="auto"/>
      </w:pPr>
      <w:r>
        <w:t>Controls are out of range.</w:t>
      </w:r>
    </w:p>
    <w:p w:rsidR="00A74F37" w:rsidRDefault="00A74F37" w:rsidP="00F73D4A">
      <w:pPr>
        <w:widowControl w:val="0"/>
        <w:numPr>
          <w:ilvl w:val="0"/>
          <w:numId w:val="2"/>
        </w:numPr>
        <w:autoSpaceDE w:val="0"/>
        <w:autoSpaceDN w:val="0"/>
        <w:adjustRightInd w:val="0"/>
        <w:spacing w:before="60" w:after="0" w:line="240" w:lineRule="auto"/>
      </w:pPr>
      <w:r>
        <w:t>For detailed information on how to perform an assay calibration, refer to the ARCHITECT System Operations Manual, Section 6.</w:t>
      </w:r>
    </w:p>
    <w:p w:rsidR="00A74F37" w:rsidRDefault="00A74F37" w:rsidP="00A74F37">
      <w:pPr>
        <w:pStyle w:val="Heading2"/>
        <w:rPr>
          <w:rFonts w:eastAsiaTheme="minorEastAsia"/>
          <w:b w:val="0"/>
          <w:bCs w:val="0"/>
          <w:sz w:val="24"/>
          <w:szCs w:val="24"/>
        </w:rPr>
      </w:pPr>
      <w:bookmarkStart w:id="64" w:name="unique_31"/>
      <w:bookmarkEnd w:id="64"/>
      <w:r>
        <w:lastRenderedPageBreak/>
        <w:t>Quality Control Procedures</w:t>
      </w:r>
    </w:p>
    <w:p w:rsidR="00A74F37" w:rsidRDefault="00A74F37" w:rsidP="00A74F37">
      <w:pPr>
        <w:spacing w:before="60" w:after="120"/>
      </w:pPr>
      <w:r>
        <w:t>The recommended control requirement for the ARCHITECT iVancomycin assay is that a single sample of each control level be tested once every 24 hours each day of use. If the quality control procedures in your laboratory require more frequent use of controls to verify test results, follow your laboratory-specific procedures.</w:t>
      </w:r>
    </w:p>
    <w:p w:rsidR="00A74F37" w:rsidRDefault="00A74F37" w:rsidP="00A74F37">
      <w:pPr>
        <w:spacing w:before="60" w:after="120"/>
      </w:pPr>
      <w:r>
        <w:t>Each laboratory should establish control ranges to monitor the acceptable performance of the assay. If a control is out of its specified range, the associated sample results are invalid and the samples must be retested. Recalibration may be indicated.</w:t>
      </w:r>
    </w:p>
    <w:p w:rsidR="00A74F37" w:rsidRDefault="00A74F37" w:rsidP="00A74F37">
      <w:pPr>
        <w:spacing w:before="60" w:after="120"/>
      </w:pPr>
      <w:r>
        <w:rPr>
          <w:b/>
        </w:rPr>
        <w:t>Verification of Assay Claims</w:t>
      </w:r>
    </w:p>
    <w:p w:rsidR="00A74F37" w:rsidRDefault="00A74F37" w:rsidP="00A74F37">
      <w:pPr>
        <w:spacing w:before="60" w:after="120"/>
      </w:pPr>
      <w:r>
        <w:t>For protocols to verify package insert claims, refer to the ARCHITECT System Operations Manual, Appendix B.</w:t>
      </w:r>
    </w:p>
    <w:p w:rsidR="00A74F37" w:rsidRDefault="00A74F37" w:rsidP="00A74F37">
      <w:pPr>
        <w:spacing w:before="60" w:after="120"/>
      </w:pPr>
      <w:r>
        <w:t>The ARCHITECT iVancomycin assay belongs to method group 1.</w:t>
      </w:r>
      <w:bookmarkStart w:id="65" w:name="unique_32"/>
      <w:bookmarkEnd w:id="65"/>
    </w:p>
    <w:p w:rsidR="00A74F37" w:rsidRDefault="00A74F37" w:rsidP="00A74F37">
      <w:pPr>
        <w:pStyle w:val="Heading1"/>
        <w:spacing w:before="180" w:after="180"/>
      </w:pPr>
      <w:r>
        <w:t>RESULTS</w:t>
      </w:r>
    </w:p>
    <w:p w:rsidR="009C38F2" w:rsidRPr="00CB3480" w:rsidRDefault="009C38F2" w:rsidP="009C38F2">
      <w:pPr>
        <w:rPr>
          <w:b/>
          <w:bCs/>
        </w:rPr>
      </w:pPr>
      <w:r w:rsidRPr="00CB3480">
        <w:rPr>
          <w:b/>
          <w:bCs/>
        </w:rPr>
        <w:t xml:space="preserve">Serum/Plasma: </w:t>
      </w:r>
    </w:p>
    <w:p w:rsidR="009C38F2" w:rsidRPr="00CB3480" w:rsidRDefault="009C38F2" w:rsidP="004A79C3">
      <w:pPr>
        <w:spacing w:after="0"/>
        <w:rPr>
          <w:rFonts w:eastAsia="HelenPro-Regular"/>
        </w:rPr>
      </w:pPr>
      <w:r w:rsidRPr="00CB3480">
        <w:rPr>
          <w:b/>
          <w:bCs/>
        </w:rPr>
        <w:tab/>
        <w:t>Peak:</w:t>
      </w:r>
      <w:r w:rsidRPr="00CB3480">
        <w:rPr>
          <w:b/>
          <w:bCs/>
        </w:rPr>
        <w:tab/>
      </w:r>
      <w:r>
        <w:rPr>
          <w:b/>
          <w:bCs/>
        </w:rPr>
        <w:tab/>
      </w:r>
      <w:r w:rsidRPr="00CB3480">
        <w:rPr>
          <w:bCs/>
        </w:rPr>
        <w:t xml:space="preserve">20 – 40 </w:t>
      </w:r>
      <w:r w:rsidRPr="00CB3480">
        <w:rPr>
          <w:rFonts w:eastAsia="HelenPro-Regular"/>
        </w:rPr>
        <w:t>μg/mL</w:t>
      </w:r>
      <w:r>
        <w:rPr>
          <w:rFonts w:eastAsia="HelenPro-Regular"/>
        </w:rPr>
        <w:t xml:space="preserve"> </w:t>
      </w:r>
    </w:p>
    <w:p w:rsidR="009C38F2" w:rsidRPr="00CB3480" w:rsidRDefault="009C38F2" w:rsidP="004A79C3">
      <w:pPr>
        <w:spacing w:after="0"/>
        <w:rPr>
          <w:bCs/>
        </w:rPr>
      </w:pPr>
      <w:r w:rsidRPr="00CB3480">
        <w:rPr>
          <w:rFonts w:eastAsia="HelenPro-Regular"/>
        </w:rPr>
        <w:tab/>
      </w:r>
      <w:r w:rsidRPr="00CB3480">
        <w:rPr>
          <w:rFonts w:eastAsia="HelenPro-Regular"/>
          <w:b/>
        </w:rPr>
        <w:t xml:space="preserve">Trough: </w:t>
      </w:r>
      <w:r>
        <w:rPr>
          <w:rFonts w:eastAsia="HelenPro-Regular"/>
          <w:b/>
        </w:rPr>
        <w:tab/>
      </w:r>
      <w:r>
        <w:rPr>
          <w:rFonts w:eastAsia="HelenPro-Regular"/>
        </w:rPr>
        <w:t>10 – 20</w:t>
      </w:r>
      <w:r w:rsidRPr="00CB3480">
        <w:rPr>
          <w:rFonts w:eastAsia="HelenPro-Regular"/>
        </w:rPr>
        <w:t xml:space="preserve"> μg/mL</w:t>
      </w:r>
      <w:r>
        <w:rPr>
          <w:rFonts w:eastAsia="HelenPro-Regular"/>
        </w:rPr>
        <w:t xml:space="preserve"> (range established by Pharmacy)</w:t>
      </w:r>
    </w:p>
    <w:p w:rsidR="004A79C3" w:rsidRDefault="004A79C3" w:rsidP="004A79C3">
      <w:pPr>
        <w:spacing w:after="0"/>
        <w:ind w:right="720"/>
        <w:jc w:val="both"/>
        <w:rPr>
          <w:b/>
        </w:rPr>
      </w:pPr>
      <w:r w:rsidRPr="00CB3480">
        <w:rPr>
          <w:b/>
        </w:rPr>
        <w:t>Critical Values</w:t>
      </w:r>
      <w:r>
        <w:rPr>
          <w:b/>
        </w:rPr>
        <w:t xml:space="preserve">: </w:t>
      </w:r>
    </w:p>
    <w:p w:rsidR="004A79C3" w:rsidRDefault="004A79C3" w:rsidP="004A79C3">
      <w:pPr>
        <w:spacing w:after="0"/>
        <w:ind w:right="720" w:firstLine="720"/>
        <w:jc w:val="both"/>
        <w:rPr>
          <w:rFonts w:eastAsia="HelenPro-Regular"/>
        </w:rPr>
      </w:pPr>
      <w:r>
        <w:rPr>
          <w:b/>
        </w:rPr>
        <w:t>Peak:</w:t>
      </w:r>
      <w:r>
        <w:rPr>
          <w:b/>
        </w:rPr>
        <w:tab/>
      </w:r>
      <w:r>
        <w:rPr>
          <w:b/>
        </w:rPr>
        <w:tab/>
        <w:t xml:space="preserve">&gt;50 </w:t>
      </w:r>
      <w:r>
        <w:rPr>
          <w:rFonts w:eastAsia="HelenPro-Regular"/>
        </w:rPr>
        <w:t>μg/mL</w:t>
      </w:r>
    </w:p>
    <w:p w:rsidR="005D7E3A" w:rsidRPr="005D7E3A" w:rsidRDefault="004A79C3" w:rsidP="004A79C3">
      <w:pPr>
        <w:ind w:firstLine="720"/>
        <w:rPr>
          <w:lang w:eastAsia="en-CA"/>
        </w:rPr>
      </w:pPr>
      <w:r>
        <w:rPr>
          <w:rFonts w:eastAsia="HelenPro-Regular"/>
          <w:b/>
        </w:rPr>
        <w:t>Trough:</w:t>
      </w:r>
      <w:r>
        <w:rPr>
          <w:rFonts w:eastAsia="HelenPro-Regular"/>
          <w:b/>
        </w:rPr>
        <w:tab/>
      </w:r>
      <w:r>
        <w:rPr>
          <w:rFonts w:eastAsia="HelenPro-Regular"/>
          <w:b/>
        </w:rPr>
        <w:tab/>
        <w:t xml:space="preserve">&gt;20 </w:t>
      </w:r>
      <w:r>
        <w:rPr>
          <w:rFonts w:eastAsia="HelenPro-Regular"/>
        </w:rPr>
        <w:t>μg/mL</w:t>
      </w:r>
    </w:p>
    <w:p w:rsidR="00A74F37" w:rsidRDefault="00A74F37" w:rsidP="00A74F37">
      <w:pPr>
        <w:pStyle w:val="Heading2"/>
        <w:spacing w:after="60"/>
        <w:rPr>
          <w:rFonts w:eastAsiaTheme="minorEastAsia"/>
          <w:b w:val="0"/>
          <w:bCs w:val="0"/>
          <w:sz w:val="24"/>
          <w:szCs w:val="24"/>
        </w:rPr>
      </w:pPr>
      <w:bookmarkStart w:id="66" w:name="unique_33"/>
      <w:bookmarkEnd w:id="66"/>
      <w:r>
        <w:t>Calculation</w:t>
      </w:r>
    </w:p>
    <w:p w:rsidR="00A74F37" w:rsidRDefault="00A74F37" w:rsidP="00A74F37">
      <w:pPr>
        <w:spacing w:before="60" w:after="60"/>
      </w:pPr>
      <w:r>
        <w:t>The ARCHITECT iVancomycin assay utilizes a 4 Parameter Logistic Curve fit data reduction method (4PLC, Y-weighted) to generate a calibration curve.</w:t>
      </w:r>
      <w:bookmarkStart w:id="67" w:name="unique_34"/>
      <w:bookmarkEnd w:id="67"/>
    </w:p>
    <w:p w:rsidR="00A74F37" w:rsidRDefault="00A74F37" w:rsidP="00A74F37">
      <w:pPr>
        <w:pStyle w:val="Heading2"/>
        <w:spacing w:after="60"/>
        <w:rPr>
          <w:rFonts w:eastAsiaTheme="minorEastAsia"/>
          <w:b w:val="0"/>
          <w:bCs w:val="0"/>
          <w:sz w:val="24"/>
          <w:szCs w:val="24"/>
        </w:rPr>
      </w:pPr>
      <w:r>
        <w:t>Flags</w:t>
      </w:r>
    </w:p>
    <w:p w:rsidR="00A74F37" w:rsidRDefault="00A74F37" w:rsidP="00A74F37">
      <w:pPr>
        <w:spacing w:before="60" w:after="60"/>
      </w:pPr>
      <w:r>
        <w:t>Some results may contain information in the Flags field. For a description of the flags that may appear in this field, refer to the ARCHITECT System Operations Manual, Section 5.</w:t>
      </w:r>
      <w:bookmarkStart w:id="68" w:name="unique_35"/>
      <w:bookmarkEnd w:id="68"/>
    </w:p>
    <w:p w:rsidR="00A74F37" w:rsidRDefault="00A74F37" w:rsidP="00A74F37">
      <w:pPr>
        <w:pStyle w:val="Heading2"/>
        <w:spacing w:after="60"/>
      </w:pPr>
      <w:r>
        <w:t>Measuring Interval</w:t>
      </w:r>
    </w:p>
    <w:p w:rsidR="004E00D9" w:rsidRDefault="004E00D9" w:rsidP="004E00D9">
      <w:pPr>
        <w:spacing w:before="60" w:after="60"/>
      </w:pPr>
      <w:r>
        <w:t xml:space="preserve">For the verification studies described in this package insert, </w:t>
      </w:r>
      <w:r w:rsidRPr="004E00D9">
        <w:rPr>
          <w:b/>
        </w:rPr>
        <w:t>the measuring range is 3.0 μg/mL to 50.0 μg/mL.</w:t>
      </w:r>
      <w:bookmarkStart w:id="69" w:name="unique_36"/>
      <w:bookmarkEnd w:id="69"/>
    </w:p>
    <w:p w:rsidR="004E00D9" w:rsidRPr="004E00D9" w:rsidRDefault="004E00D9" w:rsidP="004E00D9"/>
    <w:p w:rsidR="00A74F37" w:rsidRDefault="00A74F37" w:rsidP="00A74F37">
      <w:pPr>
        <w:spacing w:before="60" w:after="60"/>
      </w:pPr>
      <w:r>
        <w:t>Measuring interval is defined as the range of values in μg/mL which meets the limits of acceptable performance for both imprecision and bias for an undiluted sample.</w:t>
      </w:r>
    </w:p>
    <w:p w:rsidR="00A74F37" w:rsidRDefault="00A74F37" w:rsidP="00A74F37">
      <w:pPr>
        <w:pStyle w:val="Heading1"/>
        <w:spacing w:before="180" w:after="180"/>
        <w:rPr>
          <w:rFonts w:eastAsiaTheme="minorEastAsia"/>
          <w:b w:val="0"/>
          <w:bCs w:val="0"/>
          <w:sz w:val="24"/>
          <w:szCs w:val="24"/>
          <w:lang w:eastAsia="en-US"/>
        </w:rPr>
      </w:pPr>
      <w:r>
        <w:t>LIMITATIONS OF THE PROCEDURE</w:t>
      </w:r>
    </w:p>
    <w:p w:rsidR="00A74F37" w:rsidRDefault="00A74F37" w:rsidP="00EB0831">
      <w:pPr>
        <w:widowControl w:val="0"/>
        <w:numPr>
          <w:ilvl w:val="0"/>
          <w:numId w:val="2"/>
        </w:numPr>
        <w:autoSpaceDE w:val="0"/>
        <w:autoSpaceDN w:val="0"/>
        <w:adjustRightInd w:val="0"/>
        <w:spacing w:before="60" w:after="0" w:line="240" w:lineRule="auto"/>
      </w:pPr>
      <w:bookmarkStart w:id="70" w:name="unique_36_Connect_42_ul_sl4_xbz_ym"/>
      <w:bookmarkEnd w:id="70"/>
      <w:r>
        <w:t>If the ARCHITECT iVancomycin assay results are inconsistent with clinical evidence, additional testing is suggested to confirm the result.</w:t>
      </w:r>
    </w:p>
    <w:p w:rsidR="00A74F37" w:rsidRDefault="00A74F37" w:rsidP="00EB0831">
      <w:pPr>
        <w:widowControl w:val="0"/>
        <w:numPr>
          <w:ilvl w:val="0"/>
          <w:numId w:val="2"/>
        </w:numPr>
        <w:autoSpaceDE w:val="0"/>
        <w:autoSpaceDN w:val="0"/>
        <w:adjustRightInd w:val="0"/>
        <w:spacing w:before="60" w:after="0" w:line="240" w:lineRule="auto"/>
      </w:pPr>
      <w:r>
        <w:t>Results should be used in conjunction with other data; e.g., symptoms, results of other tests, and clinical impressions.</w:t>
      </w:r>
    </w:p>
    <w:p w:rsidR="00A74F37" w:rsidRDefault="00A74F37" w:rsidP="00EB0831">
      <w:pPr>
        <w:widowControl w:val="0"/>
        <w:numPr>
          <w:ilvl w:val="0"/>
          <w:numId w:val="2"/>
        </w:numPr>
        <w:autoSpaceDE w:val="0"/>
        <w:autoSpaceDN w:val="0"/>
        <w:adjustRightInd w:val="0"/>
        <w:spacing w:before="60" w:after="0" w:line="240" w:lineRule="auto"/>
      </w:pPr>
      <w:r>
        <w:t>Plasma samples from different anticoagulant tube types should not be used interchangeably for monitoring vancomycin. Use of citrate should be performed only when the blood is collected in a full tube so as not to incur a dilution effect.</w:t>
      </w:r>
    </w:p>
    <w:p w:rsidR="00A74F37" w:rsidRDefault="00A74F37" w:rsidP="00A74F37">
      <w:pPr>
        <w:widowControl w:val="0"/>
        <w:numPr>
          <w:ilvl w:val="0"/>
          <w:numId w:val="2"/>
        </w:numPr>
        <w:autoSpaceDE w:val="0"/>
        <w:autoSpaceDN w:val="0"/>
        <w:adjustRightInd w:val="0"/>
        <w:spacing w:before="60" w:after="60" w:line="240" w:lineRule="auto"/>
      </w:pPr>
      <w:r>
        <w:lastRenderedPageBreak/>
        <w:t>Specimens from patients who have received preparations of mouse monoclonal antibodies for diagnosis or therapy may contain human anti-mouse antibodies (HAMA). Such specimens may show either falsely elevated or depressed values when tested with assay kits that employ mouse monoclonal antibodies.</w:t>
      </w:r>
      <w:hyperlink w:anchor="unique_6_Connect_42_li_nf2_nft_dp" w:history="1">
        <w:r>
          <w:rPr>
            <w:i/>
            <w:color w:val="0000FF"/>
            <w:u w:val="single"/>
          </w:rPr>
          <w:t>10</w:t>
        </w:r>
      </w:hyperlink>
      <w:r>
        <w:rPr>
          <w:i/>
        </w:rPr>
        <w:t xml:space="preserve">, </w:t>
      </w:r>
      <w:hyperlink w:anchor="unique_6_Connect_42_li_xls_gkt_1k" w:history="1">
        <w:r>
          <w:rPr>
            <w:i/>
            <w:color w:val="0000FF"/>
            <w:u w:val="single"/>
          </w:rPr>
          <w:t>11</w:t>
        </w:r>
      </w:hyperlink>
    </w:p>
    <w:p w:rsidR="00A74F37" w:rsidRDefault="00A74F37" w:rsidP="00A74F37">
      <w:pPr>
        <w:widowControl w:val="0"/>
        <w:numPr>
          <w:ilvl w:val="0"/>
          <w:numId w:val="2"/>
        </w:numPr>
        <w:autoSpaceDE w:val="0"/>
        <w:autoSpaceDN w:val="0"/>
        <w:adjustRightInd w:val="0"/>
        <w:spacing w:before="60" w:after="60" w:line="240" w:lineRule="auto"/>
      </w:pPr>
      <w:r>
        <w:t xml:space="preserve">Heterophilic antibodies in human serum can react with reagent immunoglobulins, interfering with </w:t>
      </w:r>
      <w:r>
        <w:rPr>
          <w:i/>
        </w:rPr>
        <w:t>in vitro</w:t>
      </w:r>
      <w:r>
        <w:t xml:space="preserve"> immunoassays. The presence of heterophilic antibodies in a patient specimen may cause anomalous values to be observed. Additional information may be required for diagnosis.</w:t>
      </w:r>
      <w:hyperlink w:anchor="unique_6_Connect_42_li_jcz_gkt_1k" w:history="1">
        <w:r>
          <w:rPr>
            <w:i/>
            <w:color w:val="0000FF"/>
            <w:u w:val="single"/>
          </w:rPr>
          <w:t>12</w:t>
        </w:r>
      </w:hyperlink>
    </w:p>
    <w:p w:rsidR="00A74F37" w:rsidRDefault="00A74F37" w:rsidP="00A74F37">
      <w:pPr>
        <w:pStyle w:val="Heading1"/>
        <w:spacing w:before="180" w:after="180"/>
        <w:rPr>
          <w:rFonts w:eastAsiaTheme="minorEastAsia"/>
          <w:b w:val="0"/>
          <w:bCs w:val="0"/>
          <w:sz w:val="24"/>
          <w:szCs w:val="24"/>
          <w:lang w:eastAsia="en-US"/>
        </w:rPr>
      </w:pPr>
      <w:bookmarkStart w:id="71" w:name="unique_37"/>
      <w:bookmarkEnd w:id="71"/>
      <w:r>
        <w:t>EXPECTED VALUES</w:t>
      </w:r>
    </w:p>
    <w:p w:rsidR="00A74F37" w:rsidRDefault="00A74F37" w:rsidP="00A74F37">
      <w:pPr>
        <w:spacing w:before="60" w:after="120"/>
      </w:pPr>
      <w:r>
        <w:t xml:space="preserve">Strong correlations have been shown between serum levels of vancomycin for both therapeutic and toxic effects. Therapeutic peak serum levels of 20 to 40 μg/mL and trough levels of </w:t>
      </w:r>
      <w:r>
        <w:br/>
        <w:t xml:space="preserve">5 to 10 μg/mL have been reported to be effective for most strains of </w:t>
      </w:r>
      <w:r>
        <w:rPr>
          <w:i/>
        </w:rPr>
        <w:t>staphylococci</w:t>
      </w:r>
      <w:r>
        <w:t xml:space="preserve"> and </w:t>
      </w:r>
      <w:r>
        <w:rPr>
          <w:i/>
        </w:rPr>
        <w:t>streptococci</w:t>
      </w:r>
      <w:r>
        <w:t>.</w:t>
      </w:r>
      <w:hyperlink w:anchor="unique_6_Connect_42_li_jy4_yft_dp" w:history="1">
        <w:r>
          <w:rPr>
            <w:i/>
            <w:color w:val="0000FF"/>
            <w:u w:val="single"/>
          </w:rPr>
          <w:t>4</w:t>
        </w:r>
      </w:hyperlink>
      <w:r>
        <w:t xml:space="preserve"> However, therapeutic levels of vancomycin must be individually established based on patient differences and bacterial susceptibility. The risk of toxicity is appreciably increased by high concentration or prolonged therapy in patients with renal insufficiency. Toxic effects, such as ototoxicity and nephrotoxicity, have resulted when serum concentrations of vancomycin reach 80 to 100 μg/mL and are rarely seen when serum levels are maintained below 30 μg/mL.</w:t>
      </w:r>
      <w:hyperlink w:anchor="unique_6_Connect_42_li_jq5_ggt_dp" w:history="1">
        <w:r>
          <w:rPr>
            <w:i/>
            <w:color w:val="0000FF"/>
            <w:u w:val="single"/>
          </w:rPr>
          <w:t>13</w:t>
        </w:r>
      </w:hyperlink>
      <w:r>
        <w:rPr>
          <w:i/>
        </w:rPr>
        <w:t xml:space="preserve">, </w:t>
      </w:r>
      <w:hyperlink w:anchor="unique_6_Connect_42_li_e5f_hgt_dp" w:history="1">
        <w:r>
          <w:rPr>
            <w:i/>
            <w:color w:val="0000FF"/>
            <w:u w:val="single"/>
          </w:rPr>
          <w:t>14</w:t>
        </w:r>
      </w:hyperlink>
      <w:r>
        <w:t xml:space="preserve"> If an aminoglycoside is being used concurrently, the potential for toxicity is additive.</w:t>
      </w:r>
      <w:hyperlink w:anchor="unique_6_Connect_42_li_jy4_yft_dp" w:history="1">
        <w:r>
          <w:rPr>
            <w:i/>
            <w:color w:val="0000FF"/>
            <w:u w:val="single"/>
          </w:rPr>
          <w:t>4</w:t>
        </w:r>
      </w:hyperlink>
    </w:p>
    <w:p w:rsidR="00A74F37" w:rsidRDefault="00A74F37" w:rsidP="00A74F37">
      <w:pPr>
        <w:spacing w:before="60" w:after="120"/>
      </w:pPr>
      <w:r>
        <w:t>Refer to drug manufacturer’s package insert for proper drug dosage and for vancomycin measurement sampling times.</w:t>
      </w:r>
    </w:p>
    <w:p w:rsidR="00A74F37" w:rsidRDefault="00A74F37" w:rsidP="00A74F37">
      <w:pPr>
        <w:spacing w:before="60" w:after="120"/>
      </w:pPr>
      <w:r>
        <w:t>For diagnostic purposes, the test findings should always be assessed in conjunction with the patient’s medical history, clinical examinations, and other findings.</w:t>
      </w:r>
      <w:bookmarkStart w:id="72" w:name="unique_38"/>
      <w:bookmarkEnd w:id="72"/>
    </w:p>
    <w:p w:rsidR="00A74F37" w:rsidRDefault="00A74F37" w:rsidP="00A74F37">
      <w:pPr>
        <w:pStyle w:val="Heading1"/>
        <w:rPr>
          <w:rFonts w:eastAsiaTheme="minorEastAsia"/>
          <w:b w:val="0"/>
          <w:bCs w:val="0"/>
          <w:sz w:val="24"/>
          <w:szCs w:val="24"/>
          <w:lang w:eastAsia="en-US"/>
        </w:rPr>
      </w:pPr>
      <w:r>
        <w:t>SPECIFIC PERFORMANCE CHARACTERISTICS</w:t>
      </w:r>
    </w:p>
    <w:p w:rsidR="00A74F37" w:rsidRDefault="00A74F37" w:rsidP="00A74F37">
      <w:pPr>
        <w:pStyle w:val="Heading2"/>
        <w:rPr>
          <w:rFonts w:eastAsiaTheme="minorEastAsia"/>
          <w:b w:val="0"/>
          <w:bCs w:val="0"/>
          <w:sz w:val="24"/>
          <w:szCs w:val="24"/>
        </w:rPr>
      </w:pPr>
      <w:bookmarkStart w:id="73" w:name="unique_39"/>
      <w:bookmarkEnd w:id="73"/>
      <w:r>
        <w:t>Precision</w:t>
      </w:r>
    </w:p>
    <w:p w:rsidR="00A74F37" w:rsidRDefault="00A74F37" w:rsidP="00A74F37">
      <w:pPr>
        <w:spacing w:before="60" w:after="120"/>
      </w:pPr>
      <w:r>
        <w:t>The ARCHITECT iVancomycin assay is designed to have an assay precision of ≤ 10% total CV.</w:t>
      </w:r>
    </w:p>
    <w:p w:rsidR="00A74F37" w:rsidRDefault="00A74F37" w:rsidP="00A74F37">
      <w:pPr>
        <w:spacing w:before="60" w:after="120"/>
      </w:pPr>
      <w:r>
        <w:t>A study was performed based on guidance from the Clinical and Laboratory Standards Institute (CLSI) Protocol EP5-A2.</w:t>
      </w:r>
      <w:hyperlink w:anchor="unique_6_Connect_42_li_otl_hgt_dp" w:history="1">
        <w:r>
          <w:rPr>
            <w:i/>
            <w:color w:val="0000FF"/>
            <w:u w:val="single"/>
          </w:rPr>
          <w:t>15</w:t>
        </w:r>
      </w:hyperlink>
      <w:r>
        <w:t xml:space="preserve"> Abbott Immunoassay-MCC (Liquid) (Levels 1, 2, and 3) and four human serum panels were assayed using two lots of reagents in replicates of three at two separate times per day for 20 days on two instruments. Each reagent lot used a single calibration curve throughout the study. Data from this study are summarized in the following table.* </w:t>
      </w:r>
    </w:p>
    <w:p w:rsidR="00A74F37" w:rsidRDefault="00A74F37" w:rsidP="00A74F37">
      <w:pPr>
        <w:pStyle w:val="Heading2"/>
        <w:rPr>
          <w:rFonts w:eastAsiaTheme="minorEastAsia"/>
          <w:b w:val="0"/>
          <w:bCs w:val="0"/>
          <w:sz w:val="24"/>
          <w:szCs w:val="24"/>
        </w:rPr>
      </w:pPr>
      <w:bookmarkStart w:id="74" w:name="unique_39_Connect_42_table_tnh_5fz_sf"/>
      <w:bookmarkEnd w:id="74"/>
      <w:r>
        <w:t>Recovery</w:t>
      </w:r>
    </w:p>
    <w:p w:rsidR="00A74F37" w:rsidRDefault="00A74F37" w:rsidP="00A74F37">
      <w:pPr>
        <w:spacing w:before="60" w:after="120"/>
      </w:pPr>
      <w:r>
        <w:t>The ARCHITECT iVancomycin assay is designed to have a mean recovery of 100 ± 10%.</w:t>
      </w:r>
    </w:p>
    <w:p w:rsidR="00A74F37" w:rsidRDefault="00A74F37" w:rsidP="00A74F37">
      <w:pPr>
        <w:spacing w:before="60" w:after="120"/>
      </w:pPr>
      <w:r>
        <w:t>A study was performed on forty serum samples, where vancomycin was spiked into the samples to target concentrations of 3.2, 5, 7.5, 10, 15, 20, 30, and 45 μg/mL. The concentration of vancomycin was determined using the ARCHITECT iVancomycin assay and the resulting percent recovery was calculated. The overall percent recovery of the ARCHITECT iVancomycin assay was 100.2%. The percent recovery ranged from 98.0% to 105.4% for vancomycin concentrations from 5 to 45 μg/mL. The percent recovery was 86.4% for vancomycin concentration 3.2 μg/mL.*</w:t>
      </w:r>
    </w:p>
    <w:p w:rsidR="00A74F37" w:rsidRDefault="00A74F37" w:rsidP="00A74F37">
      <w:pPr>
        <w:spacing w:before="60" w:after="120"/>
      </w:pPr>
      <w:r>
        <w:t>* Representative data; results in individual laboratories may vary from these data.</w:t>
      </w:r>
      <w:bookmarkStart w:id="75" w:name="unique_41"/>
      <w:bookmarkEnd w:id="75"/>
    </w:p>
    <w:p w:rsidR="00A74F37" w:rsidRDefault="00A74F37" w:rsidP="00A74F37">
      <w:pPr>
        <w:pStyle w:val="Heading2"/>
        <w:rPr>
          <w:rFonts w:eastAsiaTheme="minorEastAsia"/>
          <w:b w:val="0"/>
          <w:bCs w:val="0"/>
          <w:sz w:val="24"/>
          <w:szCs w:val="24"/>
        </w:rPr>
      </w:pPr>
      <w:r>
        <w:t>Linearity</w:t>
      </w:r>
    </w:p>
    <w:p w:rsidR="00A74F37" w:rsidRDefault="00A74F37" w:rsidP="00A74F37">
      <w:pPr>
        <w:spacing w:before="60" w:after="120"/>
      </w:pPr>
      <w:r>
        <w:t>Based on guidance form the CLSI document EP6-A</w:t>
      </w:r>
      <w:hyperlink w:anchor="unique_6_Connect_42_li_jzs_l5d_fp" w:history="1">
        <w:r>
          <w:rPr>
            <w:i/>
            <w:color w:val="0000FF"/>
            <w:u w:val="single"/>
          </w:rPr>
          <w:t>16</w:t>
        </w:r>
      </w:hyperlink>
      <w:r>
        <w:t>, a study was performed to establish the linear range of the ARCHITECT iVancomycin assay.</w:t>
      </w:r>
    </w:p>
    <w:p w:rsidR="00A74F37" w:rsidRDefault="00A74F37" w:rsidP="00A74F37">
      <w:pPr>
        <w:pStyle w:val="Heading2"/>
        <w:rPr>
          <w:rFonts w:eastAsiaTheme="minorEastAsia"/>
          <w:b w:val="0"/>
          <w:bCs w:val="0"/>
          <w:sz w:val="24"/>
          <w:szCs w:val="24"/>
        </w:rPr>
      </w:pPr>
      <w:r>
        <w:lastRenderedPageBreak/>
        <w:t>Sensitivity</w:t>
      </w:r>
    </w:p>
    <w:p w:rsidR="00A74F37" w:rsidRDefault="00A74F37" w:rsidP="00A74F37">
      <w:pPr>
        <w:spacing w:before="60" w:after="120"/>
      </w:pPr>
      <w:r>
        <w:t>The ARCHITECT iVancomycin assay is designed to have a Limit of Quantitation (LoQ) of ≤ 3.0 μg/mL. The LoQ is defined as the lowest amount of analyte in a sample that can be accurately quantitated with a total allowable error of ± 24%.</w:t>
      </w:r>
    </w:p>
    <w:p w:rsidR="00A74F37" w:rsidRDefault="00A74F37" w:rsidP="00A74F37">
      <w:pPr>
        <w:spacing w:before="60" w:after="120"/>
      </w:pPr>
      <w:r>
        <w:t>A study was performed based on guidance from the CLSI document EP17-A</w:t>
      </w:r>
      <w:hyperlink w:anchor="unique_6_Connect_42_li_yvr_hgt_dp" w:history="1">
        <w:r>
          <w:rPr>
            <w:i/>
            <w:color w:val="0000FF"/>
            <w:u w:val="single"/>
          </w:rPr>
          <w:t>17</w:t>
        </w:r>
      </w:hyperlink>
      <w:r>
        <w:t xml:space="preserve"> with four zero-level samples (normal human serum) and 8 samples with vancomycin concentrations ranging from 0.5 to 3.5 μg/mL. The samples were tested in at least 5 separate runs over a minimum of 3 days using 2 reagent lots and 2 instruments. In this study, the Limit of Blank (LoB) was 0.27 μg/mL, Limit of Detection (LoD) was 0.42 μg/mL and LoQ was 2.50 μg/mL.*</w:t>
      </w:r>
    </w:p>
    <w:p w:rsidR="00A74F37" w:rsidRDefault="00A74F37" w:rsidP="00A74F37">
      <w:pPr>
        <w:spacing w:before="60" w:after="120"/>
      </w:pPr>
      <w:r>
        <w:t>* Representative data; results in individual laboratories may vary from these data.</w:t>
      </w:r>
      <w:bookmarkStart w:id="76" w:name="unique_43"/>
      <w:bookmarkEnd w:id="76"/>
    </w:p>
    <w:p w:rsidR="00A74F37" w:rsidRDefault="00A74F37" w:rsidP="00A74F37">
      <w:pPr>
        <w:pStyle w:val="Heading2"/>
        <w:rPr>
          <w:rFonts w:eastAsiaTheme="minorEastAsia"/>
          <w:b w:val="0"/>
          <w:bCs w:val="0"/>
          <w:sz w:val="24"/>
          <w:szCs w:val="24"/>
        </w:rPr>
      </w:pPr>
      <w:r>
        <w:t>Specificity</w:t>
      </w:r>
    </w:p>
    <w:p w:rsidR="00A74F37" w:rsidRDefault="00A74F37" w:rsidP="00A74F37">
      <w:pPr>
        <w:spacing w:before="60" w:after="120"/>
      </w:pPr>
      <w:r>
        <w:t>Cross-reactivity was tested for compounds whose chemical structure or concurrent usage could cause potential interference with the ARCHITECT iVancomycin assay.</w:t>
      </w:r>
    </w:p>
    <w:p w:rsidR="00A74F37" w:rsidRDefault="00A74F37" w:rsidP="00A74F37">
      <w:pPr>
        <w:spacing w:before="60" w:after="120"/>
      </w:pPr>
      <w:r>
        <w:t>A study has demonstrated that vancomycin crystalline degradation product 1 (CDP-1) at a concentration of 10 μg/mL, has cross-reactivity</w:t>
      </w:r>
      <w:r>
        <w:rPr>
          <w:vertAlign w:val="superscript"/>
        </w:rPr>
        <w:t>a</w:t>
      </w:r>
      <w:r>
        <w:t xml:space="preserve"> less than 0.42 μg/mL in the absence of vancomycin. CDP-1 at ≥ 5 μg/mL demonstrated cross-reactivity with samples containing vancomycin in the measurement range. CDP-1 may accumulate in patients with impaired renal function.</w:t>
      </w:r>
      <w:hyperlink w:anchor="unique_6_Connect_42_li_pnx_hgt_dp" w:history="1">
        <w:r>
          <w:rPr>
            <w:i/>
            <w:color w:val="0000FF"/>
            <w:u w:val="single"/>
          </w:rPr>
          <w:t>18</w:t>
        </w:r>
      </w:hyperlink>
      <w:r>
        <w:rPr>
          <w:i/>
        </w:rPr>
        <w:t xml:space="preserve">, </w:t>
      </w:r>
      <w:hyperlink w:anchor="unique_6_Connect_42_li_ftc_3gt_dp" w:history="1">
        <w:r>
          <w:rPr>
            <w:i/>
            <w:color w:val="0000FF"/>
            <w:u w:val="single"/>
          </w:rPr>
          <w:t>19</w:t>
        </w:r>
      </w:hyperlink>
    </w:p>
    <w:p w:rsidR="00A74F37" w:rsidRDefault="00A74F37" w:rsidP="00A74F37">
      <w:pPr>
        <w:spacing w:before="60" w:after="120"/>
      </w:pPr>
      <w:r>
        <w:t>The following compounds were tested in the absence of vancomycin after adding 500 μg/mL of each compound (except Methotrexate, Isoniazid and CDP-1) to human serum. Isoniazid was tested at 300 μg/mL. Methotrexate was tested at 227 μg/mL. Cross-reactivity of each compound was less than 0.42 μg/mL. The same compounds (except CDP-1 and Isoniazid) at the concentrations tested demonstrated no interference in the presence of vancomycin using the acceptance criteria of % recovery within 100 ± 10%.* Interference was observed for CDP-1 and Isoniazid in the presence of vancomycin as follows:</w:t>
      </w:r>
      <w:bookmarkStart w:id="77" w:name="unique_43_Connect_42_ul_zqn_lvd_fp"/>
      <w:bookmarkEnd w:id="77"/>
    </w:p>
    <w:p w:rsidR="00A74F37" w:rsidRDefault="00A74F37" w:rsidP="00A74F37">
      <w:pPr>
        <w:widowControl w:val="0"/>
        <w:numPr>
          <w:ilvl w:val="0"/>
          <w:numId w:val="2"/>
        </w:numPr>
        <w:autoSpaceDE w:val="0"/>
        <w:autoSpaceDN w:val="0"/>
        <w:adjustRightInd w:val="0"/>
        <w:spacing w:before="60" w:after="120" w:line="240" w:lineRule="auto"/>
      </w:pPr>
      <w:r>
        <w:t>CDP-1 at ≥ 5 μg/mL interferes with samples containing vancomycin in the measurement range.</w:t>
      </w:r>
    </w:p>
    <w:p w:rsidR="00A74F37" w:rsidRDefault="00A74F37" w:rsidP="00A74F37">
      <w:pPr>
        <w:widowControl w:val="0"/>
        <w:numPr>
          <w:ilvl w:val="0"/>
          <w:numId w:val="2"/>
        </w:numPr>
        <w:autoSpaceDE w:val="0"/>
        <w:autoSpaceDN w:val="0"/>
        <w:adjustRightInd w:val="0"/>
        <w:spacing w:before="60" w:after="120" w:line="240" w:lineRule="auto"/>
      </w:pPr>
      <w:r>
        <w:t>Isoniazid at &gt; 300 μg/mL interferes with samples containing vancomycin in the measurement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599"/>
      </w:tblGrid>
      <w:tr w:rsidR="00A74F37" w:rsidTr="006E723B">
        <w:trPr>
          <w:tblHeader/>
        </w:trPr>
        <w:tc>
          <w:tcPr>
            <w:tcW w:w="9288" w:type="dxa"/>
            <w:gridSpan w:val="2"/>
            <w:tcBorders>
              <w:left w:val="nil"/>
              <w:right w:val="nil"/>
            </w:tcBorders>
          </w:tcPr>
          <w:p w:rsidR="00A74F37" w:rsidRDefault="00A74F37" w:rsidP="00CF4008">
            <w:pPr>
              <w:pStyle w:val="tableheader"/>
              <w:autoSpaceDE/>
              <w:autoSpaceDN/>
              <w:adjustRightInd/>
            </w:pPr>
            <w:bookmarkStart w:id="78" w:name="unique_43_Connect_42_table_kxt_xqb_2p"/>
            <w:bookmarkEnd w:id="78"/>
            <w:r>
              <w:t>Compounds Tested</w:t>
            </w:r>
          </w:p>
        </w:tc>
      </w:tr>
      <w:tr w:rsidR="00A74F37" w:rsidTr="006E723B">
        <w:tc>
          <w:tcPr>
            <w:tcW w:w="4689" w:type="dxa"/>
            <w:tcBorders>
              <w:left w:val="nil"/>
              <w:bottom w:val="nil"/>
              <w:right w:val="nil"/>
            </w:tcBorders>
          </w:tcPr>
          <w:p w:rsidR="00A74F37" w:rsidRDefault="00A74F37" w:rsidP="00B750F2">
            <w:pPr>
              <w:spacing w:after="0"/>
            </w:pPr>
            <w:r>
              <w:t>Acetaminophen</w:t>
            </w:r>
          </w:p>
        </w:tc>
        <w:tc>
          <w:tcPr>
            <w:tcW w:w="4599" w:type="dxa"/>
            <w:tcBorders>
              <w:left w:val="nil"/>
              <w:bottom w:val="nil"/>
              <w:right w:val="nil"/>
            </w:tcBorders>
          </w:tcPr>
          <w:p w:rsidR="00A74F37" w:rsidRDefault="00A74F37" w:rsidP="00B750F2">
            <w:pPr>
              <w:spacing w:after="0"/>
            </w:pPr>
            <w:r>
              <w:t>Isoniazid</w:t>
            </w:r>
          </w:p>
        </w:tc>
      </w:tr>
      <w:tr w:rsidR="00A74F37" w:rsidTr="006E723B">
        <w:tc>
          <w:tcPr>
            <w:tcW w:w="4689" w:type="dxa"/>
            <w:tcBorders>
              <w:top w:val="nil"/>
              <w:left w:val="nil"/>
              <w:bottom w:val="nil"/>
              <w:right w:val="nil"/>
            </w:tcBorders>
          </w:tcPr>
          <w:p w:rsidR="00A74F37" w:rsidRDefault="00A74F37" w:rsidP="00B750F2">
            <w:pPr>
              <w:spacing w:before="60" w:after="0"/>
            </w:pPr>
            <w:r>
              <w:t>Amikacin</w:t>
            </w:r>
          </w:p>
        </w:tc>
        <w:tc>
          <w:tcPr>
            <w:tcW w:w="4599" w:type="dxa"/>
            <w:tcBorders>
              <w:top w:val="nil"/>
              <w:left w:val="nil"/>
              <w:bottom w:val="nil"/>
              <w:right w:val="nil"/>
            </w:tcBorders>
          </w:tcPr>
          <w:p w:rsidR="00A74F37" w:rsidRDefault="00A74F37" w:rsidP="00B750F2">
            <w:pPr>
              <w:spacing w:before="60" w:after="0"/>
            </w:pPr>
            <w:r>
              <w:t>Kanamycin B</w:t>
            </w:r>
          </w:p>
        </w:tc>
      </w:tr>
      <w:tr w:rsidR="00A74F37" w:rsidTr="006E723B">
        <w:tc>
          <w:tcPr>
            <w:tcW w:w="4689" w:type="dxa"/>
            <w:tcBorders>
              <w:top w:val="nil"/>
              <w:left w:val="nil"/>
              <w:bottom w:val="nil"/>
              <w:right w:val="nil"/>
            </w:tcBorders>
          </w:tcPr>
          <w:p w:rsidR="00A74F37" w:rsidRDefault="00A74F37" w:rsidP="00B750F2">
            <w:pPr>
              <w:spacing w:before="60" w:after="0"/>
            </w:pPr>
            <w:r>
              <w:t>Amphotericin B</w:t>
            </w:r>
          </w:p>
        </w:tc>
        <w:tc>
          <w:tcPr>
            <w:tcW w:w="4599" w:type="dxa"/>
            <w:tcBorders>
              <w:top w:val="nil"/>
              <w:left w:val="nil"/>
              <w:bottom w:val="nil"/>
              <w:right w:val="nil"/>
            </w:tcBorders>
          </w:tcPr>
          <w:p w:rsidR="00A74F37" w:rsidRDefault="00A74F37" w:rsidP="00B750F2">
            <w:pPr>
              <w:spacing w:before="60" w:after="0"/>
            </w:pPr>
            <w:r>
              <w:t>Methotrexate</w:t>
            </w:r>
          </w:p>
        </w:tc>
      </w:tr>
      <w:tr w:rsidR="00A74F37" w:rsidTr="006E723B">
        <w:tc>
          <w:tcPr>
            <w:tcW w:w="4689" w:type="dxa"/>
            <w:tcBorders>
              <w:top w:val="nil"/>
              <w:left w:val="nil"/>
              <w:bottom w:val="nil"/>
              <w:right w:val="nil"/>
            </w:tcBorders>
          </w:tcPr>
          <w:p w:rsidR="00A74F37" w:rsidRDefault="00A74F37" w:rsidP="00B750F2">
            <w:pPr>
              <w:spacing w:before="60" w:after="0"/>
            </w:pPr>
            <w:r>
              <w:t>Ampicillin</w:t>
            </w:r>
          </w:p>
        </w:tc>
        <w:tc>
          <w:tcPr>
            <w:tcW w:w="4599" w:type="dxa"/>
            <w:tcBorders>
              <w:top w:val="nil"/>
              <w:left w:val="nil"/>
              <w:bottom w:val="nil"/>
              <w:right w:val="nil"/>
            </w:tcBorders>
          </w:tcPr>
          <w:p w:rsidR="00A74F37" w:rsidRDefault="00A74F37" w:rsidP="00B750F2">
            <w:pPr>
              <w:spacing w:before="60" w:after="0"/>
            </w:pPr>
            <w:r>
              <w:t>Methylprednisolone</w:t>
            </w:r>
          </w:p>
        </w:tc>
      </w:tr>
      <w:tr w:rsidR="00A74F37" w:rsidTr="006E723B">
        <w:tc>
          <w:tcPr>
            <w:tcW w:w="4689" w:type="dxa"/>
            <w:tcBorders>
              <w:top w:val="nil"/>
              <w:left w:val="nil"/>
              <w:bottom w:val="nil"/>
              <w:right w:val="nil"/>
            </w:tcBorders>
          </w:tcPr>
          <w:p w:rsidR="00A74F37" w:rsidRDefault="00A74F37" w:rsidP="00B750F2">
            <w:pPr>
              <w:spacing w:before="60" w:after="0"/>
            </w:pPr>
            <w:r>
              <w:t>Caffeine</w:t>
            </w:r>
          </w:p>
        </w:tc>
        <w:tc>
          <w:tcPr>
            <w:tcW w:w="4599" w:type="dxa"/>
            <w:tcBorders>
              <w:top w:val="nil"/>
              <w:left w:val="nil"/>
              <w:bottom w:val="nil"/>
              <w:right w:val="nil"/>
            </w:tcBorders>
          </w:tcPr>
          <w:p w:rsidR="00A74F37" w:rsidRDefault="00A74F37" w:rsidP="00B750F2">
            <w:pPr>
              <w:spacing w:before="60" w:after="0"/>
            </w:pPr>
            <w:r>
              <w:t>Naproxen</w:t>
            </w:r>
          </w:p>
        </w:tc>
      </w:tr>
      <w:tr w:rsidR="00A74F37" w:rsidTr="006E723B">
        <w:tc>
          <w:tcPr>
            <w:tcW w:w="4689" w:type="dxa"/>
            <w:tcBorders>
              <w:top w:val="nil"/>
              <w:left w:val="nil"/>
              <w:bottom w:val="nil"/>
              <w:right w:val="nil"/>
            </w:tcBorders>
          </w:tcPr>
          <w:p w:rsidR="00A74F37" w:rsidRDefault="00A74F37" w:rsidP="00B750F2">
            <w:pPr>
              <w:spacing w:before="60" w:after="0"/>
            </w:pPr>
            <w:r>
              <w:t>CDP-1</w:t>
            </w:r>
          </w:p>
        </w:tc>
        <w:tc>
          <w:tcPr>
            <w:tcW w:w="4599" w:type="dxa"/>
            <w:tcBorders>
              <w:top w:val="nil"/>
              <w:left w:val="nil"/>
              <w:bottom w:val="nil"/>
              <w:right w:val="nil"/>
            </w:tcBorders>
          </w:tcPr>
          <w:p w:rsidR="00A74F37" w:rsidRDefault="00A74F37" w:rsidP="00B750F2">
            <w:pPr>
              <w:spacing w:before="60" w:after="0"/>
            </w:pPr>
            <w:r>
              <w:t>Neomycin</w:t>
            </w:r>
          </w:p>
        </w:tc>
      </w:tr>
      <w:tr w:rsidR="00A74F37" w:rsidTr="006E723B">
        <w:tc>
          <w:tcPr>
            <w:tcW w:w="4689" w:type="dxa"/>
            <w:tcBorders>
              <w:top w:val="nil"/>
              <w:left w:val="nil"/>
              <w:bottom w:val="nil"/>
              <w:right w:val="nil"/>
            </w:tcBorders>
          </w:tcPr>
          <w:p w:rsidR="00A74F37" w:rsidRDefault="00A74F37" w:rsidP="00B750F2">
            <w:pPr>
              <w:spacing w:before="60" w:after="0"/>
            </w:pPr>
            <w:r>
              <w:t>Cephalexin</w:t>
            </w:r>
          </w:p>
        </w:tc>
        <w:tc>
          <w:tcPr>
            <w:tcW w:w="4599" w:type="dxa"/>
            <w:tcBorders>
              <w:top w:val="nil"/>
              <w:left w:val="nil"/>
              <w:bottom w:val="nil"/>
              <w:right w:val="nil"/>
            </w:tcBorders>
          </w:tcPr>
          <w:p w:rsidR="00A74F37" w:rsidRDefault="00A74F37" w:rsidP="00B750F2">
            <w:pPr>
              <w:spacing w:before="60" w:after="0"/>
            </w:pPr>
            <w:r>
              <w:t>Nitrofurantoin</w:t>
            </w:r>
          </w:p>
        </w:tc>
      </w:tr>
      <w:tr w:rsidR="00A74F37" w:rsidTr="006E723B">
        <w:tc>
          <w:tcPr>
            <w:tcW w:w="4689" w:type="dxa"/>
            <w:tcBorders>
              <w:top w:val="nil"/>
              <w:left w:val="nil"/>
              <w:bottom w:val="nil"/>
              <w:right w:val="nil"/>
            </w:tcBorders>
          </w:tcPr>
          <w:p w:rsidR="00A74F37" w:rsidRDefault="00A74F37" w:rsidP="00B750F2">
            <w:pPr>
              <w:spacing w:before="60" w:after="0"/>
            </w:pPr>
            <w:r>
              <w:t>Cefotaxime</w:t>
            </w:r>
          </w:p>
        </w:tc>
        <w:tc>
          <w:tcPr>
            <w:tcW w:w="4599" w:type="dxa"/>
            <w:tcBorders>
              <w:top w:val="nil"/>
              <w:left w:val="nil"/>
              <w:bottom w:val="nil"/>
              <w:right w:val="nil"/>
            </w:tcBorders>
          </w:tcPr>
          <w:p w:rsidR="00A74F37" w:rsidRDefault="00A74F37" w:rsidP="00B750F2">
            <w:pPr>
              <w:spacing w:before="60" w:after="0"/>
            </w:pPr>
            <w:r>
              <w:t>Penicillin G</w:t>
            </w:r>
          </w:p>
        </w:tc>
      </w:tr>
      <w:tr w:rsidR="00A74F37" w:rsidTr="006E723B">
        <w:tc>
          <w:tcPr>
            <w:tcW w:w="4689" w:type="dxa"/>
            <w:tcBorders>
              <w:top w:val="nil"/>
              <w:left w:val="nil"/>
              <w:bottom w:val="nil"/>
              <w:right w:val="nil"/>
            </w:tcBorders>
          </w:tcPr>
          <w:p w:rsidR="00A74F37" w:rsidRDefault="00A74F37" w:rsidP="00B750F2">
            <w:pPr>
              <w:spacing w:before="60" w:after="0"/>
            </w:pPr>
            <w:r>
              <w:t>Cephalothin</w:t>
            </w:r>
          </w:p>
        </w:tc>
        <w:tc>
          <w:tcPr>
            <w:tcW w:w="4599" w:type="dxa"/>
            <w:tcBorders>
              <w:top w:val="nil"/>
              <w:left w:val="nil"/>
              <w:bottom w:val="nil"/>
              <w:right w:val="nil"/>
            </w:tcBorders>
          </w:tcPr>
          <w:p w:rsidR="00A74F37" w:rsidRDefault="00A74F37" w:rsidP="00B750F2">
            <w:pPr>
              <w:spacing w:before="60" w:after="0"/>
            </w:pPr>
            <w:r>
              <w:t>Penicillin V</w:t>
            </w:r>
          </w:p>
        </w:tc>
      </w:tr>
      <w:tr w:rsidR="00A74F37" w:rsidTr="006E723B">
        <w:tc>
          <w:tcPr>
            <w:tcW w:w="4689" w:type="dxa"/>
            <w:tcBorders>
              <w:top w:val="nil"/>
              <w:left w:val="nil"/>
              <w:bottom w:val="nil"/>
              <w:right w:val="nil"/>
            </w:tcBorders>
          </w:tcPr>
          <w:p w:rsidR="00A74F37" w:rsidRDefault="00A74F37" w:rsidP="00B750F2">
            <w:pPr>
              <w:spacing w:before="60" w:after="0"/>
            </w:pPr>
            <w:r>
              <w:t>Clindamycin</w:t>
            </w:r>
          </w:p>
        </w:tc>
        <w:tc>
          <w:tcPr>
            <w:tcW w:w="4599" w:type="dxa"/>
            <w:tcBorders>
              <w:top w:val="nil"/>
              <w:left w:val="nil"/>
              <w:bottom w:val="nil"/>
              <w:right w:val="nil"/>
            </w:tcBorders>
          </w:tcPr>
          <w:p w:rsidR="00A74F37" w:rsidRDefault="00A74F37" w:rsidP="00B750F2">
            <w:pPr>
              <w:spacing w:before="60" w:after="0"/>
            </w:pPr>
            <w:r>
              <w:t>Prednisolone</w:t>
            </w:r>
          </w:p>
        </w:tc>
      </w:tr>
      <w:tr w:rsidR="00A74F37" w:rsidTr="006E723B">
        <w:tc>
          <w:tcPr>
            <w:tcW w:w="4689" w:type="dxa"/>
            <w:tcBorders>
              <w:top w:val="nil"/>
              <w:left w:val="nil"/>
              <w:bottom w:val="nil"/>
              <w:right w:val="nil"/>
            </w:tcBorders>
          </w:tcPr>
          <w:p w:rsidR="00A74F37" w:rsidRDefault="00A74F37" w:rsidP="00B750F2">
            <w:pPr>
              <w:spacing w:before="60" w:after="0"/>
            </w:pPr>
            <w:r>
              <w:t>Chloramphenicol</w:t>
            </w:r>
          </w:p>
        </w:tc>
        <w:tc>
          <w:tcPr>
            <w:tcW w:w="4599" w:type="dxa"/>
            <w:tcBorders>
              <w:top w:val="nil"/>
              <w:left w:val="nil"/>
              <w:bottom w:val="nil"/>
              <w:right w:val="nil"/>
            </w:tcBorders>
          </w:tcPr>
          <w:p w:rsidR="00A74F37" w:rsidRDefault="00A74F37" w:rsidP="00B750F2">
            <w:pPr>
              <w:spacing w:before="60" w:after="0"/>
            </w:pPr>
            <w:r>
              <w:t>Rifampin</w:t>
            </w:r>
          </w:p>
        </w:tc>
      </w:tr>
      <w:tr w:rsidR="00A74F37" w:rsidTr="006E723B">
        <w:tc>
          <w:tcPr>
            <w:tcW w:w="4689" w:type="dxa"/>
            <w:tcBorders>
              <w:top w:val="nil"/>
              <w:left w:val="nil"/>
              <w:bottom w:val="nil"/>
              <w:right w:val="nil"/>
            </w:tcBorders>
          </w:tcPr>
          <w:p w:rsidR="00A74F37" w:rsidRDefault="00A74F37" w:rsidP="00B750F2">
            <w:pPr>
              <w:spacing w:before="60" w:after="0"/>
            </w:pPr>
            <w:r>
              <w:t>Chlorothiazide</w:t>
            </w:r>
          </w:p>
        </w:tc>
        <w:tc>
          <w:tcPr>
            <w:tcW w:w="4599" w:type="dxa"/>
            <w:tcBorders>
              <w:top w:val="nil"/>
              <w:left w:val="nil"/>
              <w:bottom w:val="nil"/>
              <w:right w:val="nil"/>
            </w:tcBorders>
          </w:tcPr>
          <w:p w:rsidR="00A74F37" w:rsidRDefault="00A74F37" w:rsidP="00B750F2">
            <w:pPr>
              <w:spacing w:before="60" w:after="0"/>
            </w:pPr>
            <w:r>
              <w:t>Salicylic acid</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Ciprofloxacin</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Spectinomycin</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Erythromycin</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Streptomycin</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lastRenderedPageBreak/>
              <w:t>Ethambutol</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Sulfadiazine</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5-Fluorocytosine</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Sulfamethoxazole</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Furosemide</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Tetracycline</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Gentamicin</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Ticarcillin</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Heparin</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Tobramycin</w:t>
            </w:r>
          </w:p>
        </w:tc>
      </w:tr>
      <w:tr w:rsidR="00A74F37" w:rsidTr="006E723B">
        <w:tc>
          <w:tcPr>
            <w:tcW w:w="468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Hydrochlorothiazide</w:t>
            </w:r>
          </w:p>
        </w:tc>
        <w:tc>
          <w:tcPr>
            <w:tcW w:w="4599" w:type="dxa"/>
            <w:tcBorders>
              <w:top w:val="nil"/>
              <w:left w:val="nil"/>
              <w:bottom w:val="nil"/>
              <w:right w:val="nil"/>
            </w:tcBorders>
          </w:tcPr>
          <w:p w:rsidR="00A74F37" w:rsidRPr="00B750F2" w:rsidRDefault="00A74F37" w:rsidP="00B750F2">
            <w:pPr>
              <w:spacing w:before="60" w:after="0"/>
              <w:rPr>
                <w:sz w:val="20"/>
                <w:szCs w:val="20"/>
              </w:rPr>
            </w:pPr>
            <w:r w:rsidRPr="00B750F2">
              <w:rPr>
                <w:sz w:val="20"/>
                <w:szCs w:val="20"/>
              </w:rPr>
              <w:t>Trimethoprim</w:t>
            </w:r>
          </w:p>
        </w:tc>
      </w:tr>
      <w:tr w:rsidR="00A74F37" w:rsidTr="006E723B">
        <w:tc>
          <w:tcPr>
            <w:tcW w:w="4689" w:type="dxa"/>
            <w:tcBorders>
              <w:top w:val="nil"/>
              <w:left w:val="nil"/>
              <w:right w:val="nil"/>
            </w:tcBorders>
          </w:tcPr>
          <w:p w:rsidR="00A74F37" w:rsidRPr="00B750F2" w:rsidRDefault="00A74F37" w:rsidP="00B750F2">
            <w:pPr>
              <w:spacing w:before="60" w:after="0"/>
              <w:rPr>
                <w:sz w:val="20"/>
                <w:szCs w:val="20"/>
              </w:rPr>
            </w:pPr>
            <w:r w:rsidRPr="00B750F2">
              <w:rPr>
                <w:sz w:val="20"/>
                <w:szCs w:val="20"/>
              </w:rPr>
              <w:t>Ibuprofen</w:t>
            </w:r>
          </w:p>
        </w:tc>
        <w:tc>
          <w:tcPr>
            <w:tcW w:w="4599" w:type="dxa"/>
            <w:tcBorders>
              <w:top w:val="nil"/>
              <w:left w:val="nil"/>
              <w:right w:val="nil"/>
            </w:tcBorders>
          </w:tcPr>
          <w:p w:rsidR="00A74F37" w:rsidRPr="00B750F2" w:rsidRDefault="00A74F37" w:rsidP="00B750F2">
            <w:pPr>
              <w:spacing w:before="60" w:after="0"/>
              <w:rPr>
                <w:sz w:val="20"/>
                <w:szCs w:val="20"/>
              </w:rPr>
            </w:pPr>
          </w:p>
        </w:tc>
      </w:tr>
    </w:tbl>
    <w:p w:rsidR="00A74F37" w:rsidRDefault="00A74F37" w:rsidP="00A74F37">
      <w:pPr>
        <w:spacing w:before="60" w:after="120"/>
      </w:pPr>
      <w:r>
        <w:rPr>
          <w:vertAlign w:val="superscript"/>
        </w:rPr>
        <w:t>a</w:t>
      </w:r>
      <w:r>
        <w:t xml:space="preserve"> Cross-reactivity = Observed Test Concentration (μg/mL) – Control Concentration (μg/mL)</w:t>
      </w:r>
    </w:p>
    <w:p w:rsidR="00A74F37" w:rsidRDefault="00A74F37" w:rsidP="00A74F37">
      <w:pPr>
        <w:spacing w:before="60" w:after="120"/>
      </w:pPr>
      <w:r>
        <w:t>* Representative data; results in individual laboratories may vary from these data.</w:t>
      </w:r>
      <w:bookmarkStart w:id="79" w:name="unique_44"/>
      <w:bookmarkEnd w:id="79"/>
    </w:p>
    <w:p w:rsidR="00A74F37" w:rsidRDefault="00A74F37" w:rsidP="00A74F37">
      <w:pPr>
        <w:pStyle w:val="Heading2"/>
        <w:rPr>
          <w:rFonts w:eastAsiaTheme="minorEastAsia"/>
          <w:b w:val="0"/>
          <w:bCs w:val="0"/>
          <w:sz w:val="24"/>
          <w:szCs w:val="24"/>
        </w:rPr>
      </w:pPr>
      <w:r>
        <w:t>Interference</w:t>
      </w:r>
    </w:p>
    <w:p w:rsidR="00A74F37" w:rsidRDefault="00A74F37" w:rsidP="00A74F37">
      <w:pPr>
        <w:spacing w:before="60" w:after="120"/>
      </w:pPr>
      <w:r>
        <w:t>Potential interference in the ARCHITECT iVancomycin assay from the following compounds is designed to have a mean recovery of 100 ± 10% of the control results at the levels indicated.</w:t>
      </w:r>
    </w:p>
    <w:p w:rsidR="00A74F37" w:rsidRDefault="00A74F37" w:rsidP="00A74F37">
      <w:pPr>
        <w:spacing w:before="60" w:after="120"/>
      </w:pPr>
      <w:r>
        <w:t>A study based on guidance from the CLSI Protocol EP7-A2</w:t>
      </w:r>
      <w:hyperlink w:anchor="unique_6_Connect_42_li_prh_3gt_dp" w:history="1">
        <w:r>
          <w:rPr>
            <w:i/>
            <w:color w:val="0000FF"/>
            <w:u w:val="single"/>
          </w:rPr>
          <w:t>20</w:t>
        </w:r>
      </w:hyperlink>
      <w:r>
        <w:t xml:space="preserve"> was performed for the ARCHITECT iVancomycin assay. Serum specimens with vancomycin levels from 4.4 to 48.8 μg/mL were supplemented with the following potentially interfering compounds. The mean recovery observed during the study ranged from 93.0% to 104.5%.*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218"/>
      </w:tblGrid>
      <w:tr w:rsidR="00A74F37" w:rsidTr="006E723B">
        <w:trPr>
          <w:trHeight w:val="308"/>
          <w:tblHeader/>
        </w:trPr>
        <w:tc>
          <w:tcPr>
            <w:tcW w:w="4166" w:type="dxa"/>
            <w:tcBorders>
              <w:left w:val="nil"/>
              <w:right w:val="nil"/>
            </w:tcBorders>
          </w:tcPr>
          <w:p w:rsidR="00A74F37" w:rsidRDefault="00A74F37" w:rsidP="00CF4008">
            <w:pPr>
              <w:pStyle w:val="tableheader"/>
              <w:autoSpaceDE/>
              <w:autoSpaceDN/>
              <w:adjustRightInd/>
              <w:spacing w:before="60" w:after="60"/>
            </w:pPr>
            <w:bookmarkStart w:id="80" w:name="unique_44_Connect_42_table_n14_dsb_2p"/>
            <w:bookmarkEnd w:id="80"/>
            <w:r>
              <w:t>Potentially Interfering Compound</w:t>
            </w:r>
          </w:p>
        </w:tc>
        <w:tc>
          <w:tcPr>
            <w:tcW w:w="4218" w:type="dxa"/>
            <w:tcBorders>
              <w:left w:val="nil"/>
              <w:right w:val="nil"/>
            </w:tcBorders>
          </w:tcPr>
          <w:p w:rsidR="00A74F37" w:rsidRDefault="00A74F37" w:rsidP="00CF4008">
            <w:pPr>
              <w:pStyle w:val="tableheader"/>
              <w:autoSpaceDE/>
              <w:autoSpaceDN/>
              <w:adjustRightInd/>
              <w:spacing w:before="60" w:after="60"/>
            </w:pPr>
            <w:r>
              <w:t>Concentration</w:t>
            </w:r>
          </w:p>
        </w:tc>
      </w:tr>
      <w:tr w:rsidR="00A74F37" w:rsidTr="006E723B">
        <w:trPr>
          <w:trHeight w:val="379"/>
        </w:trPr>
        <w:tc>
          <w:tcPr>
            <w:tcW w:w="4166" w:type="dxa"/>
            <w:tcBorders>
              <w:left w:val="nil"/>
              <w:bottom w:val="nil"/>
              <w:right w:val="nil"/>
            </w:tcBorders>
          </w:tcPr>
          <w:p w:rsidR="00A74F37" w:rsidRDefault="00A74F37" w:rsidP="00B750F2">
            <w:pPr>
              <w:spacing w:before="60" w:after="0"/>
            </w:pPr>
            <w:r>
              <w:t>Triglycerides</w:t>
            </w:r>
          </w:p>
        </w:tc>
        <w:tc>
          <w:tcPr>
            <w:tcW w:w="4218" w:type="dxa"/>
            <w:tcBorders>
              <w:left w:val="nil"/>
              <w:bottom w:val="nil"/>
              <w:right w:val="nil"/>
            </w:tcBorders>
          </w:tcPr>
          <w:p w:rsidR="00A74F37" w:rsidRDefault="00A74F37" w:rsidP="00B750F2">
            <w:pPr>
              <w:spacing w:before="60" w:after="0"/>
            </w:pPr>
            <w:r>
              <w:t>2500 mg/dL</w:t>
            </w:r>
          </w:p>
        </w:tc>
      </w:tr>
      <w:tr w:rsidR="00A74F37" w:rsidTr="006E723B">
        <w:trPr>
          <w:trHeight w:val="391"/>
        </w:trPr>
        <w:tc>
          <w:tcPr>
            <w:tcW w:w="4166" w:type="dxa"/>
            <w:tcBorders>
              <w:top w:val="nil"/>
              <w:left w:val="nil"/>
              <w:bottom w:val="nil"/>
              <w:right w:val="nil"/>
            </w:tcBorders>
          </w:tcPr>
          <w:p w:rsidR="00A74F37" w:rsidRDefault="00A74F37" w:rsidP="00B750F2">
            <w:pPr>
              <w:spacing w:before="60" w:after="0"/>
            </w:pPr>
            <w:r>
              <w:t>Hemoglobin</w:t>
            </w:r>
          </w:p>
        </w:tc>
        <w:tc>
          <w:tcPr>
            <w:tcW w:w="4218" w:type="dxa"/>
            <w:tcBorders>
              <w:top w:val="nil"/>
              <w:left w:val="nil"/>
              <w:bottom w:val="nil"/>
              <w:right w:val="nil"/>
            </w:tcBorders>
          </w:tcPr>
          <w:p w:rsidR="00A74F37" w:rsidRDefault="00A74F37" w:rsidP="00B750F2">
            <w:pPr>
              <w:spacing w:before="60" w:after="0"/>
            </w:pPr>
            <w:r>
              <w:t>400 mg/dL</w:t>
            </w:r>
          </w:p>
        </w:tc>
      </w:tr>
      <w:tr w:rsidR="00A74F37" w:rsidTr="006E723B">
        <w:trPr>
          <w:trHeight w:val="391"/>
        </w:trPr>
        <w:tc>
          <w:tcPr>
            <w:tcW w:w="4166" w:type="dxa"/>
            <w:tcBorders>
              <w:top w:val="nil"/>
              <w:left w:val="nil"/>
              <w:bottom w:val="nil"/>
              <w:right w:val="nil"/>
            </w:tcBorders>
          </w:tcPr>
          <w:p w:rsidR="00A74F37" w:rsidRDefault="00A74F37" w:rsidP="00B750F2">
            <w:pPr>
              <w:spacing w:before="60" w:after="0"/>
            </w:pPr>
            <w:r>
              <w:t>Bilirubin</w:t>
            </w:r>
          </w:p>
        </w:tc>
        <w:tc>
          <w:tcPr>
            <w:tcW w:w="4218" w:type="dxa"/>
            <w:tcBorders>
              <w:top w:val="nil"/>
              <w:left w:val="nil"/>
              <w:bottom w:val="nil"/>
              <w:right w:val="nil"/>
            </w:tcBorders>
          </w:tcPr>
          <w:p w:rsidR="00A74F37" w:rsidRDefault="00A74F37" w:rsidP="00B750F2">
            <w:pPr>
              <w:spacing w:before="60" w:after="0"/>
            </w:pPr>
            <w:r>
              <w:t>20 mg/dL</w:t>
            </w:r>
          </w:p>
        </w:tc>
      </w:tr>
      <w:tr w:rsidR="00A74F37" w:rsidTr="006E723B">
        <w:trPr>
          <w:trHeight w:val="379"/>
        </w:trPr>
        <w:tc>
          <w:tcPr>
            <w:tcW w:w="4166" w:type="dxa"/>
            <w:tcBorders>
              <w:top w:val="nil"/>
              <w:left w:val="nil"/>
              <w:bottom w:val="nil"/>
              <w:right w:val="nil"/>
            </w:tcBorders>
          </w:tcPr>
          <w:p w:rsidR="00A74F37" w:rsidRDefault="00A74F37" w:rsidP="00B750F2">
            <w:pPr>
              <w:spacing w:before="60" w:after="0"/>
            </w:pPr>
            <w:r>
              <w:t>Low Protein</w:t>
            </w:r>
          </w:p>
        </w:tc>
        <w:tc>
          <w:tcPr>
            <w:tcW w:w="4218" w:type="dxa"/>
            <w:tcBorders>
              <w:top w:val="nil"/>
              <w:left w:val="nil"/>
              <w:bottom w:val="nil"/>
              <w:right w:val="nil"/>
            </w:tcBorders>
          </w:tcPr>
          <w:p w:rsidR="00A74F37" w:rsidRDefault="00A74F37" w:rsidP="00B750F2">
            <w:pPr>
              <w:spacing w:before="60" w:after="0"/>
            </w:pPr>
            <w:r>
              <w:t>3 g/dL</w:t>
            </w:r>
          </w:p>
        </w:tc>
      </w:tr>
      <w:tr w:rsidR="00A74F37" w:rsidTr="006E723B">
        <w:trPr>
          <w:trHeight w:val="391"/>
        </w:trPr>
        <w:tc>
          <w:tcPr>
            <w:tcW w:w="4166" w:type="dxa"/>
            <w:tcBorders>
              <w:top w:val="nil"/>
              <w:left w:val="nil"/>
              <w:bottom w:val="nil"/>
              <w:right w:val="nil"/>
            </w:tcBorders>
          </w:tcPr>
          <w:p w:rsidR="00A74F37" w:rsidRDefault="00A74F37" w:rsidP="00B750F2">
            <w:pPr>
              <w:spacing w:before="60" w:after="0"/>
            </w:pPr>
            <w:r>
              <w:t>High Protein</w:t>
            </w:r>
          </w:p>
        </w:tc>
        <w:tc>
          <w:tcPr>
            <w:tcW w:w="4218" w:type="dxa"/>
            <w:tcBorders>
              <w:top w:val="nil"/>
              <w:left w:val="nil"/>
              <w:bottom w:val="nil"/>
              <w:right w:val="nil"/>
            </w:tcBorders>
          </w:tcPr>
          <w:p w:rsidR="00A74F37" w:rsidRDefault="00A74F37" w:rsidP="00B750F2">
            <w:pPr>
              <w:spacing w:before="60" w:after="0"/>
            </w:pPr>
            <w:r>
              <w:t>12 g/dL</w:t>
            </w:r>
          </w:p>
        </w:tc>
      </w:tr>
      <w:tr w:rsidR="00A74F37" w:rsidTr="006E723B">
        <w:trPr>
          <w:trHeight w:val="379"/>
        </w:trPr>
        <w:tc>
          <w:tcPr>
            <w:tcW w:w="4166" w:type="dxa"/>
            <w:tcBorders>
              <w:top w:val="nil"/>
              <w:left w:val="nil"/>
              <w:bottom w:val="nil"/>
              <w:right w:val="nil"/>
            </w:tcBorders>
          </w:tcPr>
          <w:p w:rsidR="00A74F37" w:rsidRDefault="00A74F37" w:rsidP="00B750F2">
            <w:pPr>
              <w:spacing w:before="60" w:after="0"/>
            </w:pPr>
            <w:r>
              <w:t>HAMA</w:t>
            </w:r>
          </w:p>
        </w:tc>
        <w:tc>
          <w:tcPr>
            <w:tcW w:w="4218" w:type="dxa"/>
            <w:tcBorders>
              <w:top w:val="nil"/>
              <w:left w:val="nil"/>
              <w:bottom w:val="nil"/>
              <w:right w:val="nil"/>
            </w:tcBorders>
          </w:tcPr>
          <w:p w:rsidR="00A74F37" w:rsidRDefault="00A74F37" w:rsidP="00B750F2">
            <w:pPr>
              <w:spacing w:before="60" w:after="0"/>
            </w:pPr>
            <w:r>
              <w:t>1000 ng/mL</w:t>
            </w:r>
          </w:p>
        </w:tc>
      </w:tr>
      <w:tr w:rsidR="00A74F37" w:rsidTr="006E723B">
        <w:trPr>
          <w:trHeight w:val="403"/>
        </w:trPr>
        <w:tc>
          <w:tcPr>
            <w:tcW w:w="4166" w:type="dxa"/>
            <w:tcBorders>
              <w:top w:val="nil"/>
              <w:left w:val="nil"/>
              <w:right w:val="nil"/>
            </w:tcBorders>
          </w:tcPr>
          <w:p w:rsidR="00A74F37" w:rsidRDefault="00A74F37" w:rsidP="00B750F2">
            <w:pPr>
              <w:spacing w:before="60" w:after="0"/>
            </w:pPr>
            <w:r>
              <w:t>Rheumatoid Factor</w:t>
            </w:r>
          </w:p>
        </w:tc>
        <w:tc>
          <w:tcPr>
            <w:tcW w:w="4218" w:type="dxa"/>
            <w:tcBorders>
              <w:top w:val="nil"/>
              <w:left w:val="nil"/>
              <w:right w:val="nil"/>
            </w:tcBorders>
          </w:tcPr>
          <w:p w:rsidR="00A74F37" w:rsidRDefault="00A74F37" w:rsidP="00B750F2">
            <w:pPr>
              <w:spacing w:before="60" w:after="0"/>
            </w:pPr>
            <w:r>
              <w:t>500 IU/mL</w:t>
            </w:r>
          </w:p>
        </w:tc>
      </w:tr>
    </w:tbl>
    <w:p w:rsidR="00A74F37" w:rsidRDefault="00A74F37" w:rsidP="00A74F37">
      <w:pPr>
        <w:spacing w:before="60" w:after="120"/>
      </w:pPr>
      <w:r>
        <w:t>* Representative data; results in individual laboratories may vary from these data.</w:t>
      </w:r>
      <w:bookmarkStart w:id="81" w:name="unique_45"/>
      <w:bookmarkEnd w:id="81"/>
    </w:p>
    <w:p w:rsidR="00A74F37" w:rsidRDefault="00A74F37" w:rsidP="00A74F37">
      <w:pPr>
        <w:spacing w:before="60" w:after="120"/>
      </w:pPr>
      <w:bookmarkStart w:id="82" w:name="unique_45_Connect_42_image_cqy_l42_fp"/>
      <w:bookmarkEnd w:id="82"/>
      <w:r>
        <w:rPr>
          <w:noProof/>
        </w:rPr>
        <w:drawing>
          <wp:inline distT="0" distB="0" distL="0" distR="0" wp14:anchorId="56E6A184" wp14:editId="68CF39FD">
            <wp:extent cx="2314575" cy="2314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4076" cy="2314076"/>
                    </a:xfrm>
                    <a:prstGeom prst="rect">
                      <a:avLst/>
                    </a:prstGeom>
                    <a:noFill/>
                    <a:ln>
                      <a:noFill/>
                    </a:ln>
                  </pic:spPr>
                </pic:pic>
              </a:graphicData>
            </a:graphic>
          </wp:inline>
        </w:drawing>
      </w:r>
    </w:p>
    <w:p w:rsidR="00A74F37" w:rsidRDefault="00A74F37" w:rsidP="00A74F37">
      <w:pPr>
        <w:spacing w:before="60" w:after="120"/>
      </w:pPr>
      <w:r>
        <w:t>* Representative data; results in individual laboratories may vary from these data.</w:t>
      </w:r>
      <w:bookmarkStart w:id="83" w:name="unique_6"/>
      <w:bookmarkEnd w:id="83"/>
    </w:p>
    <w:p w:rsidR="00A74F37" w:rsidRDefault="00A74F37" w:rsidP="00A74F37">
      <w:pPr>
        <w:pStyle w:val="Heading1"/>
        <w:rPr>
          <w:rFonts w:eastAsiaTheme="minorEastAsia"/>
          <w:b w:val="0"/>
          <w:bCs w:val="0"/>
          <w:sz w:val="24"/>
          <w:szCs w:val="24"/>
          <w:lang w:eastAsia="en-US"/>
        </w:rPr>
      </w:pPr>
      <w:r>
        <w:lastRenderedPageBreak/>
        <w:t>BIBLIOGRAPHY</w:t>
      </w:r>
    </w:p>
    <w:p w:rsidR="007204B4" w:rsidRPr="000A13F2" w:rsidRDefault="00921019" w:rsidP="007204B4">
      <w:pPr>
        <w:pStyle w:val="ListParagraph"/>
        <w:widowControl/>
        <w:numPr>
          <w:ilvl w:val="0"/>
          <w:numId w:val="13"/>
        </w:numPr>
        <w:autoSpaceDE/>
        <w:autoSpaceDN/>
        <w:adjustRightInd/>
        <w:rPr>
          <w:rFonts w:ascii="Arial" w:hAnsi="Arial" w:cs="Arial"/>
          <w:sz w:val="22"/>
          <w:szCs w:val="22"/>
        </w:rPr>
      </w:pPr>
      <w:bookmarkStart w:id="84" w:name="unique_6_Connect_42_ol_q24_fkt_1k"/>
      <w:bookmarkStart w:id="85" w:name="unique_6_Connect_42_li_tv3_rft_dp"/>
      <w:bookmarkStart w:id="86" w:name="unique_6_Connect_42_li_otl_hgt_dp"/>
      <w:bookmarkEnd w:id="84"/>
      <w:bookmarkEnd w:id="85"/>
      <w:bookmarkEnd w:id="86"/>
      <w:r>
        <w:t xml:space="preserve"> </w:t>
      </w:r>
      <w:r w:rsidR="007204B4" w:rsidRPr="000A13F2">
        <w:rPr>
          <w:rFonts w:ascii="Arial" w:hAnsi="Arial" w:cs="Arial"/>
          <w:sz w:val="22"/>
          <w:szCs w:val="22"/>
        </w:rPr>
        <w:t xml:space="preserve">ABBOTT ARCHITECT </w:t>
      </w:r>
      <w:r w:rsidR="007204B4">
        <w:rPr>
          <w:rFonts w:ascii="Arial" w:hAnsi="Arial" w:cs="Arial"/>
          <w:sz w:val="22"/>
          <w:szCs w:val="22"/>
        </w:rPr>
        <w:t>i-Vancomycin</w:t>
      </w:r>
      <w:r w:rsidR="007204B4" w:rsidRPr="000A13F2">
        <w:rPr>
          <w:rFonts w:ascii="Arial" w:hAnsi="Arial" w:cs="Arial"/>
          <w:sz w:val="22"/>
          <w:szCs w:val="22"/>
        </w:rPr>
        <w:t xml:space="preserve"> package insert</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Abbott Laboratories</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Diagnostics Division</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Abbott Park, IL  60064</w:t>
      </w:r>
    </w:p>
    <w:p w:rsidR="007204B4" w:rsidRDefault="007204B4" w:rsidP="007204B4">
      <w:pPr>
        <w:pStyle w:val="ListParagraph"/>
        <w:rPr>
          <w:rFonts w:eastAsia="HelenPro-Bold"/>
          <w:b/>
          <w:bCs/>
          <w:sz w:val="20"/>
          <w:szCs w:val="20"/>
        </w:rPr>
      </w:pPr>
      <w:r>
        <w:rPr>
          <w:rFonts w:ascii="Arial" w:hAnsi="Arial" w:cs="Arial"/>
          <w:bCs/>
          <w:sz w:val="22"/>
          <w:szCs w:val="22"/>
        </w:rPr>
        <w:t>May 2014</w:t>
      </w:r>
      <w:r w:rsidRPr="000A13F2">
        <w:rPr>
          <w:rFonts w:ascii="Arial" w:hAnsi="Arial" w:cs="Arial"/>
          <w:bCs/>
          <w:sz w:val="22"/>
          <w:szCs w:val="22"/>
        </w:rPr>
        <w:t xml:space="preserve"> </w:t>
      </w:r>
      <w:r w:rsidRPr="005E3D97">
        <w:rPr>
          <w:rFonts w:eastAsia="HelenPro-Regular"/>
        </w:rPr>
        <w:t>306426/R03</w:t>
      </w:r>
    </w:p>
    <w:p w:rsidR="007204B4" w:rsidRPr="00425BA0" w:rsidRDefault="007204B4" w:rsidP="007204B4">
      <w:pPr>
        <w:pStyle w:val="ListParagraph"/>
        <w:widowControl/>
        <w:numPr>
          <w:ilvl w:val="0"/>
          <w:numId w:val="13"/>
        </w:numPr>
        <w:autoSpaceDE/>
        <w:autoSpaceDN/>
        <w:adjustRightInd/>
        <w:rPr>
          <w:rFonts w:eastAsia="HelenPro-Bold"/>
          <w:b/>
          <w:bCs/>
          <w:sz w:val="20"/>
          <w:szCs w:val="20"/>
        </w:rPr>
      </w:pPr>
      <w:r w:rsidRPr="00425BA0">
        <w:rPr>
          <w:rFonts w:ascii="Arial" w:hAnsi="Arial" w:cs="Arial"/>
          <w:sz w:val="22"/>
          <w:szCs w:val="22"/>
        </w:rPr>
        <w:t xml:space="preserve">ABBOTT ARCHITECT </w:t>
      </w:r>
      <w:r>
        <w:rPr>
          <w:rFonts w:ascii="Arial" w:hAnsi="Arial" w:cs="Arial"/>
          <w:sz w:val="22"/>
          <w:szCs w:val="22"/>
        </w:rPr>
        <w:t xml:space="preserve">i-Vancomycin </w:t>
      </w:r>
      <w:r w:rsidRPr="00425BA0">
        <w:rPr>
          <w:rFonts w:ascii="Arial" w:hAnsi="Arial" w:cs="Arial"/>
          <w:sz w:val="22"/>
          <w:szCs w:val="22"/>
        </w:rPr>
        <w:t>Calibrator package insert</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Abbott Laboratories</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Diagnostics Division</w:t>
      </w:r>
    </w:p>
    <w:p w:rsidR="007204B4" w:rsidRPr="000A13F2" w:rsidRDefault="007204B4" w:rsidP="007204B4">
      <w:pPr>
        <w:pStyle w:val="ListParagraph"/>
        <w:rPr>
          <w:rFonts w:ascii="Arial" w:hAnsi="Arial" w:cs="Arial"/>
          <w:sz w:val="22"/>
          <w:szCs w:val="22"/>
        </w:rPr>
      </w:pPr>
      <w:r w:rsidRPr="000A13F2">
        <w:rPr>
          <w:rFonts w:ascii="Arial" w:hAnsi="Arial" w:cs="Arial"/>
          <w:sz w:val="22"/>
          <w:szCs w:val="22"/>
        </w:rPr>
        <w:t>Abbott Park, IL  60064</w:t>
      </w:r>
    </w:p>
    <w:p w:rsidR="007204B4" w:rsidRDefault="007204B4" w:rsidP="004E00D9">
      <w:pPr>
        <w:pStyle w:val="ListParagraph"/>
        <w:widowControl/>
        <w:numPr>
          <w:ilvl w:val="0"/>
          <w:numId w:val="13"/>
        </w:numPr>
        <w:autoSpaceDE/>
        <w:autoSpaceDN/>
        <w:adjustRightInd/>
        <w:jc w:val="both"/>
      </w:pPr>
      <w:r>
        <w:t>Abbott ARCHITECT</w:t>
      </w:r>
      <w:r w:rsidRPr="000A13F2">
        <w:rPr>
          <w:lang w:val="ru-RU"/>
        </w:rPr>
        <w:t xml:space="preserve"> Operator’s Guide</w:t>
      </w:r>
    </w:p>
    <w:p w:rsidR="004E00D9" w:rsidRPr="004E00D9" w:rsidRDefault="004E00D9" w:rsidP="004E00D9">
      <w:pPr>
        <w:spacing w:after="0"/>
        <w:ind w:left="270" w:firstLine="360"/>
        <w:rPr>
          <w:rFonts w:ascii="Arial" w:hAnsi="Arial" w:cs="Arial"/>
        </w:rPr>
      </w:pPr>
      <w:r w:rsidRPr="004E00D9">
        <w:rPr>
          <w:rFonts w:ascii="Arial" w:hAnsi="Arial" w:cs="Arial"/>
        </w:rPr>
        <w:t>Abbott Laboratories</w:t>
      </w:r>
    </w:p>
    <w:p w:rsidR="004E00D9" w:rsidRPr="004E00D9" w:rsidRDefault="004E00D9" w:rsidP="004E00D9">
      <w:pPr>
        <w:spacing w:after="0"/>
        <w:ind w:left="270" w:firstLine="360"/>
        <w:rPr>
          <w:rFonts w:ascii="Arial" w:hAnsi="Arial" w:cs="Arial"/>
        </w:rPr>
      </w:pPr>
      <w:r w:rsidRPr="004E00D9">
        <w:rPr>
          <w:rFonts w:ascii="Arial" w:hAnsi="Arial" w:cs="Arial"/>
        </w:rPr>
        <w:t>Diagnostics Division</w:t>
      </w:r>
    </w:p>
    <w:p w:rsidR="004E00D9" w:rsidRPr="004E00D9" w:rsidRDefault="004E00D9" w:rsidP="004E00D9">
      <w:pPr>
        <w:spacing w:after="0"/>
        <w:ind w:left="270" w:firstLine="360"/>
        <w:rPr>
          <w:rFonts w:ascii="Arial" w:hAnsi="Arial" w:cs="Arial"/>
        </w:rPr>
      </w:pPr>
      <w:r w:rsidRPr="004E00D9">
        <w:rPr>
          <w:rFonts w:ascii="Arial" w:hAnsi="Arial" w:cs="Arial"/>
        </w:rPr>
        <w:t>Abbott Park, IL  60064</w:t>
      </w:r>
    </w:p>
    <w:p w:rsidR="00087FE9" w:rsidRDefault="00087FE9" w:rsidP="004E00D9">
      <w:pPr>
        <w:spacing w:before="60" w:after="60"/>
        <w:ind w:left="630"/>
      </w:pPr>
    </w:p>
    <w:p w:rsidR="00B80A3F" w:rsidRDefault="00B80A3F" w:rsidP="00B80A3F">
      <w:pPr>
        <w:tabs>
          <w:tab w:val="left" w:pos="720"/>
          <w:tab w:val="left" w:pos="1440"/>
          <w:tab w:val="left" w:pos="7620"/>
        </w:tabs>
        <w:jc w:val="both"/>
      </w:pPr>
    </w:p>
    <w:sectPr w:rsidR="00B80A3F" w:rsidSect="00B80A3F">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80" w:rsidRDefault="00903980" w:rsidP="001834CB">
      <w:pPr>
        <w:spacing w:after="0" w:line="240" w:lineRule="auto"/>
      </w:pPr>
      <w:r>
        <w:separator/>
      </w:r>
    </w:p>
  </w:endnote>
  <w:endnote w:type="continuationSeparator" w:id="0">
    <w:p w:rsidR="00903980" w:rsidRDefault="00903980" w:rsidP="0018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53627"/>
      <w:docPartObj>
        <w:docPartGallery w:val="Page Numbers (Bottom of Page)"/>
        <w:docPartUnique/>
      </w:docPartObj>
    </w:sdtPr>
    <w:sdtEndPr>
      <w:rPr>
        <w:noProof/>
      </w:rPr>
    </w:sdtEndPr>
    <w:sdtContent>
      <w:p w:rsidR="001834CB" w:rsidRDefault="001834CB">
        <w:pPr>
          <w:pStyle w:val="Footer"/>
          <w:jc w:val="center"/>
        </w:pPr>
        <w:r>
          <w:fldChar w:fldCharType="begin"/>
        </w:r>
        <w:r>
          <w:instrText xml:space="preserve"> PAGE   \* MERGEFORMAT </w:instrText>
        </w:r>
        <w:r>
          <w:fldChar w:fldCharType="separate"/>
        </w:r>
        <w:r w:rsidR="001D0DED">
          <w:rPr>
            <w:noProof/>
          </w:rPr>
          <w:t>2</w:t>
        </w:r>
        <w:r>
          <w:rPr>
            <w:noProof/>
          </w:rPr>
          <w:fldChar w:fldCharType="end"/>
        </w:r>
      </w:p>
    </w:sdtContent>
  </w:sdt>
  <w:p w:rsidR="001834CB" w:rsidRDefault="0018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80" w:rsidRDefault="00903980" w:rsidP="001834CB">
      <w:pPr>
        <w:spacing w:after="0" w:line="240" w:lineRule="auto"/>
      </w:pPr>
      <w:r>
        <w:separator/>
      </w:r>
    </w:p>
  </w:footnote>
  <w:footnote w:type="continuationSeparator" w:id="0">
    <w:p w:rsidR="00903980" w:rsidRDefault="00903980" w:rsidP="00183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72E11"/>
    <w:multiLevelType w:val="multilevel"/>
    <w:tmpl w:val="65422FD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E2E72E12"/>
    <w:multiLevelType w:val="multilevel"/>
    <w:tmpl w:val="65422FD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E2E72E13"/>
    <w:multiLevelType w:val="multilevel"/>
    <w:tmpl w:val="65422FD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FFFFFFFE"/>
    <w:multiLevelType w:val="singleLevel"/>
    <w:tmpl w:val="D040AA82"/>
    <w:lvl w:ilvl="0">
      <w:numFmt w:val="bullet"/>
      <w:lvlText w:val="*"/>
      <w:lvlJc w:val="left"/>
    </w:lvl>
  </w:abstractNum>
  <w:abstractNum w:abstractNumId="4">
    <w:nsid w:val="07353D5A"/>
    <w:multiLevelType w:val="hybridMultilevel"/>
    <w:tmpl w:val="AE162E42"/>
    <w:lvl w:ilvl="0" w:tplc="DCAEB292">
      <w:numFmt w:val="bullet"/>
      <w:lvlText w:val="•"/>
      <w:lvlJc w:val="left"/>
      <w:pPr>
        <w:ind w:left="0" w:firstLine="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A177B"/>
    <w:multiLevelType w:val="hybridMultilevel"/>
    <w:tmpl w:val="E4CE3D48"/>
    <w:lvl w:ilvl="0" w:tplc="B6E646B6">
      <w:numFmt w:val="bullet"/>
      <w:lvlText w:val="•"/>
      <w:lvlJc w:val="left"/>
      <w:pPr>
        <w:ind w:left="0" w:firstLine="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82030"/>
    <w:multiLevelType w:val="hybridMultilevel"/>
    <w:tmpl w:val="F6CCB006"/>
    <w:lvl w:ilvl="0" w:tplc="F7EA8BA8">
      <w:numFmt w:val="bullet"/>
      <w:lvlText w:val="•"/>
      <w:lvlJc w:val="left"/>
      <w:pPr>
        <w:ind w:left="0" w:firstLine="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45801"/>
    <w:multiLevelType w:val="hybridMultilevel"/>
    <w:tmpl w:val="EF60EBD0"/>
    <w:lvl w:ilvl="0" w:tplc="C636B3DA">
      <w:numFmt w:val="bullet"/>
      <w:lvlText w:val="•"/>
      <w:lvlJc w:val="left"/>
      <w:pPr>
        <w:ind w:left="450" w:firstLine="0"/>
      </w:pPr>
      <w:rPr>
        <w:rFonts w:ascii="Times New Roman" w:hAnsi="Times New Roman"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27648DA"/>
    <w:multiLevelType w:val="hybridMultilevel"/>
    <w:tmpl w:val="7674BD90"/>
    <w:lvl w:ilvl="0" w:tplc="C2608CB4">
      <w:numFmt w:val="bullet"/>
      <w:lvlText w:val="•"/>
      <w:lvlJc w:val="left"/>
      <w:pPr>
        <w:ind w:left="360" w:firstLine="0"/>
      </w:pPr>
      <w:rPr>
        <w:rFonts w:ascii="Times New Roman" w:hAnsi="Times New Roman" w:cs="Times New Roman" w:hint="default"/>
        <w:sz w:val="24"/>
      </w:rPr>
    </w:lvl>
    <w:lvl w:ilvl="1" w:tplc="D040AA82">
      <w:numFmt w:val="bullet"/>
      <w:lvlText w:val="•"/>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D6966"/>
    <w:multiLevelType w:val="hybridMultilevel"/>
    <w:tmpl w:val="7430E508"/>
    <w:lvl w:ilvl="0" w:tplc="D040AA82">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7025D"/>
    <w:multiLevelType w:val="hybridMultilevel"/>
    <w:tmpl w:val="BEF8DDF6"/>
    <w:lvl w:ilvl="0" w:tplc="D040AA82">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D0CFC"/>
    <w:multiLevelType w:val="hybridMultilevel"/>
    <w:tmpl w:val="9C76C922"/>
    <w:lvl w:ilvl="0" w:tplc="5CD4C010">
      <w:numFmt w:val="bullet"/>
      <w:lvlText w:val="•"/>
      <w:lvlJc w:val="left"/>
      <w:pPr>
        <w:ind w:left="360" w:firstLine="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numFmt w:val="bullet"/>
        <w:lvlText w:val="•"/>
        <w:lvlJc w:val="left"/>
        <w:pPr>
          <w:ind w:left="360" w:hanging="360"/>
        </w:pPr>
        <w:rPr>
          <w:rFonts w:ascii="Times New Roman" w:hAnsi="Times New Roman" w:cs="Times New Roman" w:hint="default"/>
          <w:sz w:val="24"/>
        </w:rPr>
      </w:lvl>
    </w:lvlOverride>
  </w:num>
  <w:num w:numId="3">
    <w:abstractNumId w:val="6"/>
  </w:num>
  <w:num w:numId="4">
    <w:abstractNumId w:val="1"/>
  </w:num>
  <w:num w:numId="5">
    <w:abstractNumId w:val="2"/>
  </w:num>
  <w:num w:numId="6">
    <w:abstractNumId w:val="4"/>
  </w:num>
  <w:num w:numId="7">
    <w:abstractNumId w:val="9"/>
  </w:num>
  <w:num w:numId="8">
    <w:abstractNumId w:val="5"/>
  </w:num>
  <w:num w:numId="9">
    <w:abstractNumId w:val="10"/>
  </w:num>
  <w:num w:numId="10">
    <w:abstractNumId w:val="1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11"/>
    <w:rsid w:val="00001925"/>
    <w:rsid w:val="00087FE9"/>
    <w:rsid w:val="001834CB"/>
    <w:rsid w:val="001A3F25"/>
    <w:rsid w:val="001D0DED"/>
    <w:rsid w:val="00270EB9"/>
    <w:rsid w:val="00464711"/>
    <w:rsid w:val="00492836"/>
    <w:rsid w:val="004A79C3"/>
    <w:rsid w:val="004C4A21"/>
    <w:rsid w:val="004E00D9"/>
    <w:rsid w:val="005D7E3A"/>
    <w:rsid w:val="00610487"/>
    <w:rsid w:val="006C5B29"/>
    <w:rsid w:val="006E723B"/>
    <w:rsid w:val="007204B4"/>
    <w:rsid w:val="007D4600"/>
    <w:rsid w:val="00903980"/>
    <w:rsid w:val="00921019"/>
    <w:rsid w:val="0094278B"/>
    <w:rsid w:val="00995A0E"/>
    <w:rsid w:val="009C38F2"/>
    <w:rsid w:val="00A74F37"/>
    <w:rsid w:val="00A76549"/>
    <w:rsid w:val="00AC5642"/>
    <w:rsid w:val="00B750F2"/>
    <w:rsid w:val="00B80A3F"/>
    <w:rsid w:val="00D24E2F"/>
    <w:rsid w:val="00D4461D"/>
    <w:rsid w:val="00E30E69"/>
    <w:rsid w:val="00EB0831"/>
    <w:rsid w:val="00EB7408"/>
    <w:rsid w:val="00F73D4A"/>
    <w:rsid w:val="00FE0D40"/>
    <w:rsid w:val="00FE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87FE9"/>
    <w:pPr>
      <w:widowControl w:val="0"/>
      <w:autoSpaceDE w:val="0"/>
      <w:autoSpaceDN w:val="0"/>
      <w:adjustRightInd w:val="0"/>
      <w:spacing w:before="240" w:after="240" w:line="240" w:lineRule="auto"/>
      <w:outlineLvl w:val="0"/>
    </w:pPr>
    <w:rPr>
      <w:rFonts w:ascii="Times New Roman" w:eastAsia="Times New Roman" w:hAnsi="Times New Roman" w:cs="Times New Roman"/>
      <w:b/>
      <w:bCs/>
      <w:sz w:val="32"/>
      <w:szCs w:val="48"/>
      <w:lang w:eastAsia="en-CA"/>
    </w:rPr>
  </w:style>
  <w:style w:type="paragraph" w:styleId="Heading2">
    <w:name w:val="heading 2"/>
    <w:basedOn w:val="Normal"/>
    <w:next w:val="Normal"/>
    <w:link w:val="Heading2Char"/>
    <w:uiPriority w:val="9"/>
    <w:semiHidden/>
    <w:unhideWhenUsed/>
    <w:qFormat/>
    <w:rsid w:val="00087F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34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11"/>
    <w:rPr>
      <w:rFonts w:ascii="Tahoma" w:hAnsi="Tahoma" w:cs="Tahoma"/>
      <w:sz w:val="16"/>
      <w:szCs w:val="16"/>
    </w:rPr>
  </w:style>
  <w:style w:type="character" w:customStyle="1" w:styleId="Heading1Char">
    <w:name w:val="Heading 1 Char"/>
    <w:basedOn w:val="DefaultParagraphFont"/>
    <w:link w:val="Heading1"/>
    <w:uiPriority w:val="9"/>
    <w:rsid w:val="00087FE9"/>
    <w:rPr>
      <w:rFonts w:ascii="Times New Roman" w:eastAsia="Times New Roman" w:hAnsi="Times New Roman" w:cs="Times New Roman"/>
      <w:b/>
      <w:bCs/>
      <w:sz w:val="32"/>
      <w:szCs w:val="48"/>
      <w:lang w:eastAsia="en-CA"/>
    </w:rPr>
  </w:style>
  <w:style w:type="character" w:customStyle="1" w:styleId="Heading2Char">
    <w:name w:val="Heading 2 Char"/>
    <w:basedOn w:val="DefaultParagraphFont"/>
    <w:link w:val="Heading2"/>
    <w:uiPriority w:val="9"/>
    <w:semiHidden/>
    <w:rsid w:val="00087FE9"/>
    <w:rPr>
      <w:rFonts w:asciiTheme="majorHAnsi" w:eastAsiaTheme="majorEastAsia" w:hAnsiTheme="majorHAnsi" w:cstheme="majorBidi"/>
      <w:b/>
      <w:bCs/>
      <w:color w:val="4F81BD" w:themeColor="accent1"/>
      <w:sz w:val="26"/>
      <w:szCs w:val="26"/>
    </w:rPr>
  </w:style>
  <w:style w:type="paragraph" w:customStyle="1" w:styleId="tableheader">
    <w:name w:val="table header"/>
    <w:uiPriority w:val="99"/>
    <w:rsid w:val="00087FE9"/>
    <w:pPr>
      <w:widowControl w:val="0"/>
      <w:autoSpaceDE w:val="0"/>
      <w:autoSpaceDN w:val="0"/>
      <w:adjustRightInd w:val="0"/>
      <w:spacing w:after="0" w:line="240" w:lineRule="auto"/>
    </w:pPr>
    <w:rPr>
      <w:rFonts w:ascii="Times New Roman" w:eastAsiaTheme="minorEastAsia" w:hAnsi="Times New Roman" w:cs="Times New Roman"/>
      <w:b/>
      <w:sz w:val="24"/>
      <w:szCs w:val="24"/>
    </w:rPr>
  </w:style>
  <w:style w:type="character" w:customStyle="1" w:styleId="Heading3Char">
    <w:name w:val="Heading 3 Char"/>
    <w:basedOn w:val="DefaultParagraphFont"/>
    <w:link w:val="Heading3"/>
    <w:uiPriority w:val="9"/>
    <w:semiHidden/>
    <w:rsid w:val="001834C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834CB"/>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8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CB"/>
  </w:style>
  <w:style w:type="paragraph" w:styleId="Footer">
    <w:name w:val="footer"/>
    <w:basedOn w:val="Normal"/>
    <w:link w:val="FooterChar"/>
    <w:uiPriority w:val="99"/>
    <w:unhideWhenUsed/>
    <w:rsid w:val="0018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CB"/>
  </w:style>
  <w:style w:type="paragraph" w:customStyle="1" w:styleId="tabletitle">
    <w:name w:val="table title"/>
    <w:uiPriority w:val="99"/>
    <w:rsid w:val="00A74F37"/>
    <w:pPr>
      <w:widowControl w:val="0"/>
      <w:autoSpaceDE w:val="0"/>
      <w:autoSpaceDN w:val="0"/>
      <w:adjustRightInd w:val="0"/>
      <w:spacing w:after="0" w:line="240" w:lineRule="auto"/>
    </w:pPr>
    <w:rPr>
      <w:rFonts w:ascii="Times New Roman" w:eastAsiaTheme="minorEastAsia"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87FE9"/>
    <w:pPr>
      <w:widowControl w:val="0"/>
      <w:autoSpaceDE w:val="0"/>
      <w:autoSpaceDN w:val="0"/>
      <w:adjustRightInd w:val="0"/>
      <w:spacing w:before="240" w:after="240" w:line="240" w:lineRule="auto"/>
      <w:outlineLvl w:val="0"/>
    </w:pPr>
    <w:rPr>
      <w:rFonts w:ascii="Times New Roman" w:eastAsia="Times New Roman" w:hAnsi="Times New Roman" w:cs="Times New Roman"/>
      <w:b/>
      <w:bCs/>
      <w:sz w:val="32"/>
      <w:szCs w:val="48"/>
      <w:lang w:eastAsia="en-CA"/>
    </w:rPr>
  </w:style>
  <w:style w:type="paragraph" w:styleId="Heading2">
    <w:name w:val="heading 2"/>
    <w:basedOn w:val="Normal"/>
    <w:next w:val="Normal"/>
    <w:link w:val="Heading2Char"/>
    <w:uiPriority w:val="9"/>
    <w:semiHidden/>
    <w:unhideWhenUsed/>
    <w:qFormat/>
    <w:rsid w:val="00087F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34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11"/>
    <w:rPr>
      <w:rFonts w:ascii="Tahoma" w:hAnsi="Tahoma" w:cs="Tahoma"/>
      <w:sz w:val="16"/>
      <w:szCs w:val="16"/>
    </w:rPr>
  </w:style>
  <w:style w:type="character" w:customStyle="1" w:styleId="Heading1Char">
    <w:name w:val="Heading 1 Char"/>
    <w:basedOn w:val="DefaultParagraphFont"/>
    <w:link w:val="Heading1"/>
    <w:uiPriority w:val="9"/>
    <w:rsid w:val="00087FE9"/>
    <w:rPr>
      <w:rFonts w:ascii="Times New Roman" w:eastAsia="Times New Roman" w:hAnsi="Times New Roman" w:cs="Times New Roman"/>
      <w:b/>
      <w:bCs/>
      <w:sz w:val="32"/>
      <w:szCs w:val="48"/>
      <w:lang w:eastAsia="en-CA"/>
    </w:rPr>
  </w:style>
  <w:style w:type="character" w:customStyle="1" w:styleId="Heading2Char">
    <w:name w:val="Heading 2 Char"/>
    <w:basedOn w:val="DefaultParagraphFont"/>
    <w:link w:val="Heading2"/>
    <w:uiPriority w:val="9"/>
    <w:semiHidden/>
    <w:rsid w:val="00087FE9"/>
    <w:rPr>
      <w:rFonts w:asciiTheme="majorHAnsi" w:eastAsiaTheme="majorEastAsia" w:hAnsiTheme="majorHAnsi" w:cstheme="majorBidi"/>
      <w:b/>
      <w:bCs/>
      <w:color w:val="4F81BD" w:themeColor="accent1"/>
      <w:sz w:val="26"/>
      <w:szCs w:val="26"/>
    </w:rPr>
  </w:style>
  <w:style w:type="paragraph" w:customStyle="1" w:styleId="tableheader">
    <w:name w:val="table header"/>
    <w:uiPriority w:val="99"/>
    <w:rsid w:val="00087FE9"/>
    <w:pPr>
      <w:widowControl w:val="0"/>
      <w:autoSpaceDE w:val="0"/>
      <w:autoSpaceDN w:val="0"/>
      <w:adjustRightInd w:val="0"/>
      <w:spacing w:after="0" w:line="240" w:lineRule="auto"/>
    </w:pPr>
    <w:rPr>
      <w:rFonts w:ascii="Times New Roman" w:eastAsiaTheme="minorEastAsia" w:hAnsi="Times New Roman" w:cs="Times New Roman"/>
      <w:b/>
      <w:sz w:val="24"/>
      <w:szCs w:val="24"/>
    </w:rPr>
  </w:style>
  <w:style w:type="character" w:customStyle="1" w:styleId="Heading3Char">
    <w:name w:val="Heading 3 Char"/>
    <w:basedOn w:val="DefaultParagraphFont"/>
    <w:link w:val="Heading3"/>
    <w:uiPriority w:val="9"/>
    <w:semiHidden/>
    <w:rsid w:val="001834C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834CB"/>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8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CB"/>
  </w:style>
  <w:style w:type="paragraph" w:styleId="Footer">
    <w:name w:val="footer"/>
    <w:basedOn w:val="Normal"/>
    <w:link w:val="FooterChar"/>
    <w:uiPriority w:val="99"/>
    <w:unhideWhenUsed/>
    <w:rsid w:val="0018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CB"/>
  </w:style>
  <w:style w:type="paragraph" w:customStyle="1" w:styleId="tabletitle">
    <w:name w:val="table title"/>
    <w:uiPriority w:val="99"/>
    <w:rsid w:val="00A74F37"/>
    <w:pPr>
      <w:widowControl w:val="0"/>
      <w:autoSpaceDE w:val="0"/>
      <w:autoSpaceDN w:val="0"/>
      <w:adjustRightInd w:val="0"/>
      <w:spacing w:after="0" w:line="240" w:lineRule="auto"/>
    </w:pPr>
    <w:rPr>
      <w:rFonts w:ascii="Times New Roman" w:eastAsiaTheme="min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B153-AB03-4B1B-9A51-CF9CC78B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Suzanne Khoury</cp:lastModifiedBy>
  <cp:revision>2</cp:revision>
  <cp:lastPrinted>2020-05-12T17:08:00Z</cp:lastPrinted>
  <dcterms:created xsi:type="dcterms:W3CDTF">2020-05-12T18:19:00Z</dcterms:created>
  <dcterms:modified xsi:type="dcterms:W3CDTF">2020-05-12T18:19:00Z</dcterms:modified>
</cp:coreProperties>
</file>