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760AF2">
      <w:pPr>
        <w:rPr>
          <w:b/>
        </w:rPr>
      </w:pPr>
      <w:bookmarkStart w:id="0" w:name="_GoBack"/>
      <w:bookmarkEnd w:id="0"/>
      <w:r>
        <w:rPr>
          <w:noProof/>
        </w:rPr>
        <w:drawing>
          <wp:inline distT="0" distB="0" distL="0" distR="0" wp14:anchorId="01F87C95" wp14:editId="34D0085E">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760AF2" w:rsidRPr="007E4CE6" w:rsidRDefault="00760AF2">
      <w:pPr>
        <w:rPr>
          <w:b/>
        </w:rPr>
      </w:pPr>
    </w:p>
    <w:p w:rsidR="00D006C7" w:rsidRPr="0074537C" w:rsidRDefault="0066236A" w:rsidP="006107A2">
      <w:pPr>
        <w:jc w:val="center"/>
        <w:rPr>
          <w:rFonts w:eastAsia="HelenPro-Regular"/>
          <w:b/>
          <w:sz w:val="28"/>
          <w:szCs w:val="28"/>
        </w:rPr>
      </w:pPr>
      <w:r w:rsidRPr="0074537C">
        <w:rPr>
          <w:rFonts w:eastAsia="HelenPro-Regular"/>
          <w:b/>
          <w:sz w:val="28"/>
          <w:szCs w:val="28"/>
        </w:rPr>
        <w:t>OPIATES</w:t>
      </w:r>
    </w:p>
    <w:p w:rsidR="0056023B" w:rsidRPr="0074537C" w:rsidRDefault="00F1102D" w:rsidP="006107A2">
      <w:pPr>
        <w:jc w:val="center"/>
        <w:rPr>
          <w:b/>
          <w:sz w:val="28"/>
          <w:szCs w:val="28"/>
        </w:rPr>
      </w:pPr>
      <w:r w:rsidRPr="0074537C">
        <w:rPr>
          <w:b/>
          <w:sz w:val="28"/>
          <w:szCs w:val="28"/>
        </w:rPr>
        <w:t>URINE</w:t>
      </w:r>
    </w:p>
    <w:p w:rsidR="006107A2" w:rsidRPr="0074537C" w:rsidRDefault="0088112F" w:rsidP="006107A2">
      <w:pPr>
        <w:jc w:val="center"/>
        <w:rPr>
          <w:b/>
          <w:caps/>
          <w:sz w:val="28"/>
          <w:szCs w:val="28"/>
        </w:rPr>
      </w:pPr>
      <w:r w:rsidRPr="0074537C">
        <w:rPr>
          <w:b/>
          <w:caps/>
          <w:sz w:val="28"/>
          <w:szCs w:val="28"/>
        </w:rPr>
        <w:t>ABBOTT ARCHITECT</w:t>
      </w:r>
    </w:p>
    <w:p w:rsidR="006559EB" w:rsidRPr="0074537C" w:rsidRDefault="006559EB" w:rsidP="006559EB">
      <w:pPr>
        <w:rPr>
          <w:b/>
          <w:sz w:val="28"/>
          <w:szCs w:val="28"/>
        </w:rPr>
      </w:pPr>
    </w:p>
    <w:p w:rsidR="008A7F96" w:rsidRPr="0074537C" w:rsidRDefault="008A7F96" w:rsidP="008A7F96">
      <w:pPr>
        <w:rPr>
          <w:b/>
          <w:color w:val="FF0000"/>
          <w:sz w:val="28"/>
          <w:szCs w:val="28"/>
        </w:rPr>
      </w:pPr>
      <w:r w:rsidRPr="0074537C">
        <w:rPr>
          <w:b/>
          <w:sz w:val="28"/>
          <w:szCs w:val="28"/>
        </w:rPr>
        <w:t xml:space="preserve">Intended Use </w:t>
      </w:r>
    </w:p>
    <w:p w:rsidR="00CE7D0A" w:rsidRPr="0074537C" w:rsidRDefault="008314C4" w:rsidP="008314C4">
      <w:pPr>
        <w:autoSpaceDE w:val="0"/>
        <w:autoSpaceDN w:val="0"/>
        <w:adjustRightInd w:val="0"/>
        <w:rPr>
          <w:rFonts w:eastAsia="HelenPro-Regular"/>
        </w:rPr>
      </w:pPr>
      <w:r w:rsidRPr="0074537C">
        <w:rPr>
          <w:rFonts w:eastAsia="HelenPro-Regular"/>
        </w:rPr>
        <w:t xml:space="preserve">The MULTIGENT Opiates assay is intended for the qualitative and semiquantitative determination of opiates in human urine on the ARCHITECT </w:t>
      </w:r>
      <w:r w:rsidRPr="0074537C">
        <w:rPr>
          <w:rFonts w:eastAsia="HelenPro-Regular"/>
          <w:i/>
          <w:iCs/>
        </w:rPr>
        <w:t xml:space="preserve">c </w:t>
      </w:r>
      <w:r w:rsidRPr="0074537C">
        <w:rPr>
          <w:rFonts w:eastAsia="HelenPro-Regular"/>
        </w:rPr>
        <w:t xml:space="preserve">Systems. The cutoffs for the qualitative applications are </w:t>
      </w:r>
      <w:r w:rsidR="006D586B" w:rsidRPr="0074537C">
        <w:rPr>
          <w:rFonts w:eastAsia="HelenPro-Regular"/>
        </w:rPr>
        <w:t>300 ng/mL and 2,000 ng/mL</w:t>
      </w:r>
      <w:r w:rsidR="00273779" w:rsidRPr="0074537C">
        <w:rPr>
          <w:rFonts w:eastAsia="HelenPro-Regular"/>
        </w:rPr>
        <w:t>.</w:t>
      </w:r>
    </w:p>
    <w:p w:rsidR="002D6FB9" w:rsidRPr="0074537C" w:rsidRDefault="00F1102D" w:rsidP="00CE7D0A">
      <w:pPr>
        <w:autoSpaceDE w:val="0"/>
        <w:autoSpaceDN w:val="0"/>
        <w:adjustRightInd w:val="0"/>
        <w:rPr>
          <w:rFonts w:eastAsia="HelenPro-Regular"/>
        </w:rPr>
      </w:pPr>
      <w:r w:rsidRPr="0074537C">
        <w:rPr>
          <w:rFonts w:eastAsia="HelenPro-Regular"/>
        </w:rPr>
        <w:t>The assay is intended for use in clinical laboratories. This assay provides only a preliminary analytical test result. A more specific alternate chemical method must be used to obtain a confirmed analytical result. Gas Chromatography/Mass Spectrometry (GC/MS) is the preferred confirmatory method. Clinical consideration and professional judgment should be applied to any drug of abuse test result, particularly when preliminary positive results are used.</w:t>
      </w:r>
    </w:p>
    <w:p w:rsidR="00DC16C5" w:rsidRPr="0074537C" w:rsidRDefault="00DC16C5" w:rsidP="00DC16C5">
      <w:pPr>
        <w:jc w:val="both"/>
        <w:rPr>
          <w:b/>
        </w:rPr>
      </w:pPr>
    </w:p>
    <w:p w:rsidR="0009322F" w:rsidRPr="0074537C" w:rsidRDefault="006559EB" w:rsidP="006107A2">
      <w:pPr>
        <w:jc w:val="both"/>
      </w:pPr>
      <w:r w:rsidRPr="0074537C">
        <w:rPr>
          <w:b/>
        </w:rPr>
        <w:t>Clinical Significance</w:t>
      </w:r>
      <w:r w:rsidR="006107A2" w:rsidRPr="0074537C">
        <w:t xml:space="preserve"> </w:t>
      </w:r>
    </w:p>
    <w:p w:rsidR="00A062F7" w:rsidRPr="0074537C" w:rsidRDefault="008314C4" w:rsidP="008314C4">
      <w:pPr>
        <w:autoSpaceDE w:val="0"/>
        <w:autoSpaceDN w:val="0"/>
        <w:adjustRightInd w:val="0"/>
        <w:rPr>
          <w:rFonts w:eastAsia="HelenPro-Regular"/>
        </w:rPr>
      </w:pPr>
      <w:r w:rsidRPr="0074537C">
        <w:rPr>
          <w:rFonts w:eastAsia="HelenPro-Regular"/>
        </w:rPr>
        <w:t>Opiate compounds, such as morphine and codeine, are naturally occurring alkaloids of opium and are widely used as analgesics. Although drug abusers may abuse morphine and codeine, another opiate compound, heroin, is synthesized from morphine and is the most commonly abused opiate. When ingested or injected, heroin is metabolized to the molecule, 6-monoacetyl morphine, which is hydrolyzed back to morphine. Opiates are rapidly metabolized by the body and excreted in urine, allowing immunoassays to detect recent use of morphine, codeine, and/or heroin. Codeine is excreted in urine with over 95% of a single dose being eliminated within 48 hours; heroin is rapidly deacetylated to 6-acetylmorphine; up to 87% of a morphine dose is eliminated in 72 hours.</w:t>
      </w:r>
    </w:p>
    <w:p w:rsidR="00B5389B" w:rsidRPr="0074537C" w:rsidRDefault="00B5389B" w:rsidP="008A7F96">
      <w:pPr>
        <w:jc w:val="both"/>
        <w:rPr>
          <w:b/>
        </w:rPr>
      </w:pPr>
    </w:p>
    <w:p w:rsidR="008A7F96" w:rsidRPr="0074537C" w:rsidRDefault="008A7F96" w:rsidP="008A7F96">
      <w:pPr>
        <w:jc w:val="both"/>
        <w:rPr>
          <w:color w:val="FF0000"/>
        </w:rPr>
      </w:pPr>
      <w:r w:rsidRPr="0074537C">
        <w:rPr>
          <w:b/>
        </w:rPr>
        <w:t>Principle</w:t>
      </w:r>
      <w:r w:rsidRPr="0074537C">
        <w:t xml:space="preserve"> </w:t>
      </w:r>
    </w:p>
    <w:p w:rsidR="008314C4" w:rsidRPr="0074537C" w:rsidRDefault="008314C4" w:rsidP="008314C4">
      <w:pPr>
        <w:autoSpaceDE w:val="0"/>
        <w:autoSpaceDN w:val="0"/>
        <w:adjustRightInd w:val="0"/>
        <w:rPr>
          <w:rFonts w:eastAsia="HelenPro-Regular"/>
        </w:rPr>
      </w:pPr>
      <w:r w:rsidRPr="0074537C">
        <w:rPr>
          <w:rFonts w:eastAsia="HelenPro-Regular"/>
        </w:rPr>
        <w:t xml:space="preserve">The MULTIGENT Opiates assay is a homogeneous enzyme immunoassay using ready-to-use liquid reagents. The assay uses monoclonal antibodies that detect opiates in urine. The assay is based on the competition between an enzyme labeled drug and the drug from the urine for a fixed number of specific antibody binding sites. In the absence of drug from the sample, the specific antibody binds to the drug labeled with glucose-6-phosphate dehydrogenase (G6PDH) and the enzyme activity is inhibited. This phenomenon creates a direct relationship between the drug concentration in the urine and the enzyme activity. The G6PDH enzyme activity is determined spectrophotometrically at 340/412 nm (416 nm for </w:t>
      </w:r>
      <w:r w:rsidRPr="0074537C">
        <w:rPr>
          <w:rFonts w:eastAsia="HelenPro-Regular"/>
          <w:i/>
          <w:iCs/>
        </w:rPr>
        <w:t xml:space="preserve">c </w:t>
      </w:r>
      <w:r w:rsidRPr="0074537C">
        <w:rPr>
          <w:rFonts w:eastAsia="HelenPro-Regular"/>
        </w:rPr>
        <w:t xml:space="preserve">4000 and </w:t>
      </w:r>
      <w:r w:rsidRPr="0074537C">
        <w:rPr>
          <w:rFonts w:eastAsia="HelenPro-Regular"/>
          <w:i/>
          <w:iCs/>
        </w:rPr>
        <w:t xml:space="preserve">c </w:t>
      </w:r>
      <w:r w:rsidRPr="0074537C">
        <w:rPr>
          <w:rFonts w:eastAsia="HelenPro-Regular"/>
        </w:rPr>
        <w:t>16000) by measuring its ability to convert nicotinamide adenine dinucleotide (NAD) to NADH.</w:t>
      </w:r>
    </w:p>
    <w:p w:rsidR="008314C4" w:rsidRPr="0074537C" w:rsidRDefault="008314C4" w:rsidP="008314C4">
      <w:pPr>
        <w:rPr>
          <w:rFonts w:eastAsia="HelenPro-Bold"/>
          <w:b/>
          <w:bCs/>
        </w:rPr>
      </w:pPr>
    </w:p>
    <w:p w:rsidR="00FF2A54" w:rsidRDefault="008314C4" w:rsidP="008314C4">
      <w:pPr>
        <w:rPr>
          <w:rFonts w:eastAsia="HelenPro-Regular"/>
        </w:rPr>
      </w:pPr>
      <w:r w:rsidRPr="0074537C">
        <w:rPr>
          <w:rFonts w:eastAsia="HelenPro-Bold"/>
          <w:b/>
          <w:bCs/>
        </w:rPr>
        <w:t xml:space="preserve">Methodology: </w:t>
      </w:r>
      <w:r w:rsidRPr="0074537C">
        <w:rPr>
          <w:rFonts w:eastAsia="HelenPro-Regular"/>
        </w:rPr>
        <w:t>Enzyme Immunoassay</w:t>
      </w:r>
    </w:p>
    <w:p w:rsidR="00E45518" w:rsidRDefault="00E45518" w:rsidP="008314C4">
      <w:pPr>
        <w:rPr>
          <w:rFonts w:eastAsia="HelenPro-Regular"/>
        </w:rPr>
      </w:pPr>
    </w:p>
    <w:p w:rsidR="00E45518" w:rsidRDefault="00E45518" w:rsidP="008314C4">
      <w:pPr>
        <w:rPr>
          <w:rFonts w:eastAsia="HelenPro-Regular"/>
        </w:rPr>
      </w:pPr>
    </w:p>
    <w:p w:rsidR="00E45518" w:rsidRPr="0074537C" w:rsidRDefault="00E45518" w:rsidP="008314C4">
      <w:pPr>
        <w:rPr>
          <w:b/>
        </w:rPr>
      </w:pPr>
    </w:p>
    <w:p w:rsidR="00B5389B" w:rsidRPr="0074537C" w:rsidRDefault="00B5389B" w:rsidP="006559EB">
      <w:pPr>
        <w:rPr>
          <w:b/>
          <w:sz w:val="28"/>
          <w:szCs w:val="28"/>
        </w:rPr>
      </w:pPr>
    </w:p>
    <w:p w:rsidR="006559EB" w:rsidRPr="0074537C" w:rsidRDefault="006559EB" w:rsidP="006559EB">
      <w:pPr>
        <w:rPr>
          <w:b/>
          <w:sz w:val="28"/>
          <w:szCs w:val="28"/>
        </w:rPr>
      </w:pPr>
      <w:r w:rsidRPr="0074537C">
        <w:rPr>
          <w:b/>
          <w:sz w:val="28"/>
          <w:szCs w:val="28"/>
        </w:rPr>
        <w:lastRenderedPageBreak/>
        <w:t>Specimen Collection and Handling</w:t>
      </w:r>
      <w:r w:rsidR="00D60AFA" w:rsidRPr="0074537C">
        <w:rPr>
          <w:b/>
          <w:sz w:val="28"/>
          <w:szCs w:val="28"/>
        </w:rPr>
        <w:t xml:space="preserve"> </w:t>
      </w:r>
    </w:p>
    <w:p w:rsidR="004A03BD" w:rsidRPr="0074537C" w:rsidRDefault="004A03BD" w:rsidP="006559EB">
      <w:pPr>
        <w:rPr>
          <w:b/>
        </w:rPr>
      </w:pPr>
    </w:p>
    <w:p w:rsidR="00F1102D" w:rsidRPr="0074537C" w:rsidRDefault="00F1102D" w:rsidP="00F1102D">
      <w:pPr>
        <w:autoSpaceDE w:val="0"/>
        <w:autoSpaceDN w:val="0"/>
        <w:adjustRightInd w:val="0"/>
        <w:rPr>
          <w:rFonts w:eastAsia="HelenPro-Regular"/>
        </w:rPr>
      </w:pPr>
      <w:r w:rsidRPr="0074537C">
        <w:rPr>
          <w:rFonts w:eastAsia="HelenPro-Regular"/>
        </w:rPr>
        <w:t>Collect urine specimens in clean plastic or glass containers. Testing of fresh urine specimens is suggested. Samples within a pH range of 3 to 11 are suitable for testing with this assay.</w:t>
      </w:r>
    </w:p>
    <w:p w:rsidR="00F1102D" w:rsidRPr="0074537C" w:rsidRDefault="00F1102D" w:rsidP="00F1102D">
      <w:pPr>
        <w:autoSpaceDE w:val="0"/>
        <w:autoSpaceDN w:val="0"/>
        <w:adjustRightInd w:val="0"/>
        <w:rPr>
          <w:rFonts w:eastAsia="HelenPro-Regular"/>
        </w:rPr>
      </w:pPr>
      <w:r w:rsidRPr="0074537C">
        <w:rPr>
          <w:rFonts w:eastAsia="HelenPro-Regular"/>
        </w:rPr>
        <w:t>The Clinical and Laboratory Standards Institute (formerly NCCLS) Urine Drug Testing in the Clinical Laboratory; Approved Guideline states that prior to analysis, urine specimens may be stored at 2 to 8°C for five working days. For longer storage prior to analysis, or for sample retention after analysis, this document recommends freezing at –20°C or less. Laboratories following the Substance Abuse and Mental Health Services Administration (SAMHSA) mandatory guidelines should refer to SAMHSA “Short-Term Refrigerated Storage” and “Long-Term Storage” requirements. Thaw and mix frozen specimens prior to analysis.</w:t>
      </w:r>
    </w:p>
    <w:p w:rsidR="00AB793D" w:rsidRPr="0074537C" w:rsidRDefault="00F1102D" w:rsidP="00652424">
      <w:pPr>
        <w:autoSpaceDE w:val="0"/>
        <w:autoSpaceDN w:val="0"/>
        <w:adjustRightInd w:val="0"/>
        <w:rPr>
          <w:rFonts w:eastAsia="HelenPro-Regular"/>
        </w:rPr>
      </w:pPr>
      <w:r w:rsidRPr="0074537C">
        <w:rPr>
          <w:rFonts w:eastAsia="HelenPro-Bold"/>
          <w:b/>
          <w:bCs/>
        </w:rPr>
        <w:t xml:space="preserve">NOTE: </w:t>
      </w:r>
      <w:r w:rsidRPr="0074537C">
        <w:rPr>
          <w:rFonts w:eastAsia="HelenPro-Regular"/>
        </w:rPr>
        <w:t xml:space="preserve">Stored specimens must be inspected for particulates. If present, mix and centrifuge the specimen to remove particulates prior to testing. </w:t>
      </w:r>
      <w:r w:rsidR="00652424" w:rsidRPr="0074537C">
        <w:rPr>
          <w:rFonts w:eastAsia="HelenPro-Regular"/>
        </w:rPr>
        <w:t>An effort should be made to keep pipetted samples free of gross debris. It is recommended that highly turbid specimens be centrifuged before analysis. Adulteration of the urine sample may cause erroneous results. If adulteration is suspected, obtain another sample and forward both specimens to the laboratory for testing.</w:t>
      </w:r>
    </w:p>
    <w:p w:rsidR="00652424" w:rsidRPr="0074537C" w:rsidRDefault="00652424" w:rsidP="00AE6F5B">
      <w:pPr>
        <w:rPr>
          <w:b/>
          <w:sz w:val="28"/>
          <w:szCs w:val="28"/>
        </w:rPr>
      </w:pPr>
    </w:p>
    <w:p w:rsidR="007E4CE6" w:rsidRPr="0074537C" w:rsidRDefault="00AE6F5B" w:rsidP="00AE6F5B">
      <w:pPr>
        <w:rPr>
          <w:b/>
        </w:rPr>
      </w:pPr>
      <w:r w:rsidRPr="0074537C">
        <w:rPr>
          <w:b/>
          <w:sz w:val="28"/>
          <w:szCs w:val="28"/>
        </w:rPr>
        <w:t>Materials and Equipment Required</w:t>
      </w:r>
      <w:r w:rsidR="00D60AFA" w:rsidRPr="0074537C">
        <w:rPr>
          <w:b/>
          <w:sz w:val="28"/>
          <w:szCs w:val="28"/>
        </w:rPr>
        <w:t xml:space="preserve"> </w:t>
      </w:r>
    </w:p>
    <w:p w:rsidR="00F7103F" w:rsidRPr="0074537C" w:rsidRDefault="00F7103F" w:rsidP="00973EAF">
      <w:pPr>
        <w:ind w:firstLine="720"/>
      </w:pPr>
      <w:r w:rsidRPr="0074537C">
        <w:rPr>
          <w:b/>
        </w:rPr>
        <w:t>TEST INSTRUMENT</w:t>
      </w:r>
      <w:r w:rsidRPr="0074537C">
        <w:t>:  Abbott ARCHITECT System</w:t>
      </w:r>
    </w:p>
    <w:p w:rsidR="006D40ED" w:rsidRPr="0074537C" w:rsidRDefault="006D40ED" w:rsidP="00F7103F">
      <w:pPr>
        <w:rPr>
          <w:b/>
        </w:rPr>
      </w:pPr>
    </w:p>
    <w:p w:rsidR="00F7103F" w:rsidRPr="0074537C" w:rsidRDefault="00F7103F" w:rsidP="00973EAF">
      <w:pPr>
        <w:ind w:firstLine="720"/>
        <w:rPr>
          <w:b/>
        </w:rPr>
      </w:pPr>
      <w:r w:rsidRPr="0074537C">
        <w:rPr>
          <w:b/>
        </w:rPr>
        <w:t>MATERIALS PROVIDED</w:t>
      </w:r>
    </w:p>
    <w:p w:rsidR="00F7103F" w:rsidRPr="0074537C" w:rsidRDefault="00F7103F" w:rsidP="00F7103F"/>
    <w:p w:rsidR="00F7103F" w:rsidRPr="0074537C" w:rsidRDefault="00F7103F" w:rsidP="00973EAF">
      <w:pPr>
        <w:ind w:firstLine="720"/>
      </w:pPr>
      <w:r w:rsidRPr="0074537C">
        <w:rPr>
          <w:rFonts w:eastAsia="HelenPro-Regular"/>
        </w:rPr>
        <w:t xml:space="preserve"> </w:t>
      </w:r>
      <w:r w:rsidR="00652424" w:rsidRPr="0074537C">
        <w:rPr>
          <w:rFonts w:eastAsia="HelenPro-Regular"/>
        </w:rPr>
        <w:t>3L34 MULTIGENT Opiates</w:t>
      </w:r>
    </w:p>
    <w:p w:rsidR="00A062F7" w:rsidRPr="0074537C" w:rsidRDefault="00A062F7" w:rsidP="00973EAF">
      <w:pPr>
        <w:ind w:firstLine="720"/>
        <w:rPr>
          <w:b/>
        </w:rPr>
      </w:pPr>
    </w:p>
    <w:p w:rsidR="00F7103F" w:rsidRPr="0074537C" w:rsidRDefault="00F7103F" w:rsidP="00973EAF">
      <w:pPr>
        <w:ind w:firstLine="720"/>
        <w:rPr>
          <w:b/>
        </w:rPr>
      </w:pPr>
      <w:r w:rsidRPr="0074537C">
        <w:rPr>
          <w:b/>
        </w:rPr>
        <w:t>MATERIALS REQUIRED BUT NOT PROVIDED</w:t>
      </w:r>
    </w:p>
    <w:p w:rsidR="00F7103F" w:rsidRPr="0074537C" w:rsidRDefault="00F7103F" w:rsidP="00F7103F"/>
    <w:p w:rsidR="00652424" w:rsidRPr="0074537C" w:rsidRDefault="00652424" w:rsidP="00652424">
      <w:pPr>
        <w:pStyle w:val="ListParagraph"/>
        <w:numPr>
          <w:ilvl w:val="0"/>
          <w:numId w:val="17"/>
        </w:numPr>
        <w:autoSpaceDE w:val="0"/>
        <w:autoSpaceDN w:val="0"/>
        <w:adjustRightInd w:val="0"/>
        <w:rPr>
          <w:rFonts w:eastAsia="HelenPro-Regular"/>
        </w:rPr>
      </w:pPr>
      <w:r w:rsidRPr="0074537C">
        <w:rPr>
          <w:rFonts w:eastAsia="HelenPro-Regular"/>
        </w:rPr>
        <w:t>3L43-05 MULTIGENT DOA MC Neg Cal</w:t>
      </w:r>
    </w:p>
    <w:p w:rsidR="00652424" w:rsidRPr="0074537C" w:rsidRDefault="00BD1C0E" w:rsidP="00652424">
      <w:pPr>
        <w:pStyle w:val="ListParagraph"/>
        <w:numPr>
          <w:ilvl w:val="0"/>
          <w:numId w:val="17"/>
        </w:numPr>
        <w:autoSpaceDE w:val="0"/>
        <w:autoSpaceDN w:val="0"/>
        <w:adjustRightInd w:val="0"/>
        <w:rPr>
          <w:rFonts w:eastAsia="HelenPro-Regular"/>
        </w:rPr>
      </w:pPr>
      <w:r>
        <w:rPr>
          <w:rFonts w:eastAsia="HelenPro-Regular"/>
        </w:rPr>
        <w:t>3L34-02 MULTIGENT OPIATES 300 CALIBRATOR</w:t>
      </w:r>
    </w:p>
    <w:p w:rsidR="00EF7552" w:rsidRPr="0074537C" w:rsidRDefault="00EF7552" w:rsidP="00507B0C">
      <w:pPr>
        <w:rPr>
          <w:b/>
          <w:sz w:val="28"/>
          <w:szCs w:val="28"/>
        </w:rPr>
      </w:pPr>
    </w:p>
    <w:p w:rsidR="00EF7552" w:rsidRPr="0074537C" w:rsidRDefault="00EF7552" w:rsidP="00507B0C">
      <w:pPr>
        <w:rPr>
          <w:b/>
          <w:sz w:val="28"/>
          <w:szCs w:val="28"/>
        </w:rPr>
      </w:pPr>
    </w:p>
    <w:p w:rsidR="00EF7552" w:rsidRPr="0074537C" w:rsidRDefault="00EF7552" w:rsidP="00507B0C">
      <w:pPr>
        <w:rPr>
          <w:b/>
          <w:sz w:val="28"/>
          <w:szCs w:val="28"/>
        </w:rPr>
      </w:pPr>
    </w:p>
    <w:p w:rsidR="00507B0C" w:rsidRPr="0074537C" w:rsidRDefault="00507B0C" w:rsidP="00507B0C">
      <w:pPr>
        <w:rPr>
          <w:b/>
          <w:sz w:val="28"/>
          <w:szCs w:val="28"/>
        </w:rPr>
      </w:pPr>
      <w:r w:rsidRPr="0074537C">
        <w:rPr>
          <w:b/>
          <w:sz w:val="28"/>
          <w:szCs w:val="28"/>
        </w:rPr>
        <w:t xml:space="preserve">Reagent Handling and Storage: </w:t>
      </w:r>
    </w:p>
    <w:p w:rsidR="00F7103F" w:rsidRPr="0074537C" w:rsidRDefault="00F7103F" w:rsidP="00F7103F">
      <w:pPr>
        <w:pStyle w:val="txt"/>
        <w:numPr>
          <w:ilvl w:val="12"/>
          <w:numId w:val="0"/>
        </w:numPr>
        <w:rPr>
          <w:b/>
          <w:sz w:val="24"/>
          <w:szCs w:val="24"/>
        </w:rPr>
      </w:pPr>
      <w:r w:rsidRPr="0074537C">
        <w:rPr>
          <w:b/>
          <w:i/>
          <w:sz w:val="24"/>
          <w:szCs w:val="24"/>
        </w:rPr>
        <w:t>CAUTION</w:t>
      </w:r>
      <w:r w:rsidRPr="0074537C">
        <w:rPr>
          <w:b/>
          <w:sz w:val="24"/>
          <w:szCs w:val="24"/>
        </w:rPr>
        <w:t>:</w:t>
      </w:r>
    </w:p>
    <w:p w:rsidR="00F7103F" w:rsidRPr="0074537C" w:rsidRDefault="00F7103F" w:rsidP="00F7103F">
      <w:pPr>
        <w:rPr>
          <w:rFonts w:eastAsia="HelenPro-Regular"/>
        </w:rPr>
      </w:pPr>
      <w:r w:rsidRPr="0074537C">
        <w:rPr>
          <w:rFonts w:eastAsia="HelenPro-Regular"/>
        </w:rPr>
        <w:t>1. For in vitro diagnostic use.</w:t>
      </w:r>
    </w:p>
    <w:p w:rsidR="00F7103F" w:rsidRPr="0074537C" w:rsidRDefault="00F7103F" w:rsidP="00F7103F">
      <w:pPr>
        <w:rPr>
          <w:rFonts w:eastAsia="HelenPro-Regular"/>
        </w:rPr>
      </w:pPr>
      <w:r w:rsidRPr="0074537C">
        <w:rPr>
          <w:rFonts w:eastAsia="HelenPro-Regular"/>
        </w:rPr>
        <w:t>2. Do not use components beyond the expiration date.</w:t>
      </w:r>
    </w:p>
    <w:p w:rsidR="00F7103F" w:rsidRPr="0074537C" w:rsidRDefault="00F7103F" w:rsidP="00F7103F">
      <w:pPr>
        <w:rPr>
          <w:rFonts w:eastAsia="HelenPro-Regular"/>
        </w:rPr>
      </w:pPr>
      <w:r w:rsidRPr="0074537C">
        <w:rPr>
          <w:rFonts w:eastAsia="HelenPro-Regular"/>
        </w:rPr>
        <w:t>3. Do not mix materials from different kit lot numbers.</w:t>
      </w:r>
    </w:p>
    <w:p w:rsidR="00F7103F" w:rsidRPr="0074537C" w:rsidRDefault="00F7103F" w:rsidP="00F7103F">
      <w:pPr>
        <w:rPr>
          <w:rFonts w:eastAsia="HelenPro-Regular"/>
        </w:rPr>
      </w:pPr>
      <w:r w:rsidRPr="0074537C">
        <w:rPr>
          <w:rFonts w:eastAsia="HelenPro-Regular"/>
          <w:b/>
          <w:bCs/>
        </w:rPr>
        <w:t xml:space="preserve">CAUTION: </w:t>
      </w:r>
      <w:r w:rsidRPr="0074537C">
        <w:rPr>
          <w:rFonts w:eastAsia="HelenPro-Regular"/>
        </w:rPr>
        <w:t>This product requires the handling of human specimens.</w:t>
      </w:r>
    </w:p>
    <w:p w:rsidR="00F7103F" w:rsidRPr="0074537C" w:rsidRDefault="00F7103F" w:rsidP="00F7103F">
      <w:pPr>
        <w:rPr>
          <w:rFonts w:eastAsia="HelenPro-Regular"/>
        </w:rPr>
      </w:pPr>
      <w:r w:rsidRPr="0074537C">
        <w:rPr>
          <w:rFonts w:eastAsia="HelenPro-Regular"/>
        </w:rPr>
        <w:t>It is recommended that all human sourced materials be considered</w:t>
      </w:r>
    </w:p>
    <w:p w:rsidR="00F7103F" w:rsidRPr="0074537C" w:rsidRDefault="00F7103F" w:rsidP="00F7103F">
      <w:pPr>
        <w:rPr>
          <w:rFonts w:eastAsia="HelenPro-Regular"/>
        </w:rPr>
      </w:pPr>
      <w:r w:rsidRPr="0074537C">
        <w:rPr>
          <w:rFonts w:eastAsia="HelenPro-Regular"/>
        </w:rPr>
        <w:t>potentially infectious and be handled in accordance with the OSHA</w:t>
      </w:r>
    </w:p>
    <w:p w:rsidR="004A03BD" w:rsidRPr="0074537C" w:rsidRDefault="00F7103F" w:rsidP="00DC16C5">
      <w:pPr>
        <w:rPr>
          <w:rFonts w:eastAsia="HelenPro-Regular"/>
        </w:rPr>
      </w:pPr>
      <w:r w:rsidRPr="0074537C">
        <w:rPr>
          <w:rFonts w:eastAsia="HelenPro-Regular"/>
        </w:rPr>
        <w:t>Standard on Bloodborne Pathogens. Biosafety Level 2 or other</w:t>
      </w:r>
      <w:r w:rsidR="00DC16C5" w:rsidRPr="0074537C">
        <w:rPr>
          <w:rFonts w:eastAsia="HelenPro-Regular"/>
        </w:rPr>
        <w:t xml:space="preserve"> </w:t>
      </w:r>
      <w:r w:rsidRPr="0074537C">
        <w:rPr>
          <w:rFonts w:eastAsia="HelenPro-Regular"/>
        </w:rPr>
        <w:t>appropriate biosafety practices should be used for materials that contain or are suspected of containing infectious agents.</w:t>
      </w:r>
    </w:p>
    <w:p w:rsidR="00F1102D" w:rsidRPr="0074537C" w:rsidRDefault="00F1102D" w:rsidP="00F1102D">
      <w:pPr>
        <w:autoSpaceDE w:val="0"/>
        <w:autoSpaceDN w:val="0"/>
        <w:adjustRightInd w:val="0"/>
        <w:rPr>
          <w:rFonts w:eastAsia="HelenPro-Regular"/>
        </w:rPr>
      </w:pPr>
      <w:r w:rsidRPr="0074537C">
        <w:rPr>
          <w:rFonts w:eastAsia="HelenPro-Regular"/>
        </w:rPr>
        <w:t>• The following warning and precaution apply to R1 and R2:</w:t>
      </w:r>
    </w:p>
    <w:p w:rsidR="00F1102D" w:rsidRPr="0074537C" w:rsidRDefault="00F1102D" w:rsidP="00F1102D">
      <w:pPr>
        <w:autoSpaceDE w:val="0"/>
        <w:autoSpaceDN w:val="0"/>
        <w:adjustRightInd w:val="0"/>
        <w:ind w:firstLine="720"/>
        <w:rPr>
          <w:rFonts w:eastAsia="HelenPro-Regular"/>
        </w:rPr>
      </w:pPr>
      <w:r w:rsidRPr="0074537C">
        <w:rPr>
          <w:rFonts w:eastAsia="HelenPro-Regular"/>
        </w:rPr>
        <w:t>Contains sodium azide.</w:t>
      </w:r>
    </w:p>
    <w:p w:rsidR="00F1102D" w:rsidRPr="0074537C" w:rsidRDefault="00F1102D" w:rsidP="00F1102D">
      <w:pPr>
        <w:autoSpaceDE w:val="0"/>
        <w:autoSpaceDN w:val="0"/>
        <w:adjustRightInd w:val="0"/>
        <w:rPr>
          <w:rFonts w:eastAsia="HelenPro-Regular"/>
        </w:rPr>
      </w:pPr>
      <w:r w:rsidRPr="0074537C">
        <w:rPr>
          <w:rFonts w:eastAsia="HelenPro-Regular"/>
        </w:rPr>
        <w:lastRenderedPageBreak/>
        <w:t>EUH032 Contact with acids liberates very toxic gas.</w:t>
      </w:r>
    </w:p>
    <w:p w:rsidR="0038442D" w:rsidRPr="0074537C" w:rsidRDefault="00F1102D" w:rsidP="00F1102D">
      <w:pPr>
        <w:autoSpaceDE w:val="0"/>
        <w:autoSpaceDN w:val="0"/>
        <w:adjustRightInd w:val="0"/>
        <w:rPr>
          <w:rFonts w:eastAsia="HelenPro-Regular"/>
        </w:rPr>
      </w:pPr>
      <w:r w:rsidRPr="0074537C">
        <w:rPr>
          <w:rFonts w:eastAsia="HelenPro-Regular"/>
        </w:rPr>
        <w:t>These materials and their containers must be disposed of in a safe way.</w:t>
      </w:r>
    </w:p>
    <w:p w:rsidR="00DC16C5" w:rsidRPr="0074537C" w:rsidRDefault="00DC16C5" w:rsidP="0038442D">
      <w:pPr>
        <w:autoSpaceDE w:val="0"/>
        <w:autoSpaceDN w:val="0"/>
        <w:adjustRightInd w:val="0"/>
        <w:rPr>
          <w:rFonts w:eastAsia="HelenPro-Bold"/>
          <w:b/>
          <w:bCs/>
        </w:rPr>
      </w:pPr>
    </w:p>
    <w:p w:rsidR="0038442D" w:rsidRPr="0074537C" w:rsidRDefault="0038442D" w:rsidP="0038442D">
      <w:pPr>
        <w:autoSpaceDE w:val="0"/>
        <w:autoSpaceDN w:val="0"/>
        <w:adjustRightInd w:val="0"/>
        <w:rPr>
          <w:rFonts w:eastAsia="HelenPro-Bold"/>
          <w:b/>
          <w:bCs/>
        </w:rPr>
      </w:pPr>
      <w:r w:rsidRPr="0074537C">
        <w:rPr>
          <w:rFonts w:eastAsia="HelenPro-Bold"/>
          <w:b/>
          <w:bCs/>
        </w:rPr>
        <w:t>Reagent Handling</w:t>
      </w:r>
    </w:p>
    <w:p w:rsidR="00C32412" w:rsidRPr="0074537C" w:rsidRDefault="00C32412" w:rsidP="006245F4">
      <w:pPr>
        <w:autoSpaceDE w:val="0"/>
        <w:autoSpaceDN w:val="0"/>
        <w:adjustRightInd w:val="0"/>
        <w:rPr>
          <w:rFonts w:eastAsia="HelenPro-Regular"/>
        </w:rPr>
      </w:pPr>
      <w:r w:rsidRPr="0074537C">
        <w:rPr>
          <w:rFonts w:eastAsia="HelenPro-Regular"/>
        </w:rPr>
        <w:t xml:space="preserve">• R1 Ready for use. </w:t>
      </w:r>
      <w:r w:rsidR="006245F4" w:rsidRPr="0074537C">
        <w:rPr>
          <w:rFonts w:eastAsia="HelenPro-Regular"/>
        </w:rPr>
        <w:t>Before use, invert several times, avoiding the formation of bubbles.</w:t>
      </w:r>
    </w:p>
    <w:p w:rsidR="00C32412" w:rsidRPr="0074537C" w:rsidRDefault="00C32412" w:rsidP="006245F4">
      <w:pPr>
        <w:autoSpaceDE w:val="0"/>
        <w:autoSpaceDN w:val="0"/>
        <w:adjustRightInd w:val="0"/>
        <w:rPr>
          <w:rFonts w:eastAsia="HelenPro-Regular"/>
        </w:rPr>
      </w:pPr>
      <w:r w:rsidRPr="0074537C">
        <w:rPr>
          <w:rFonts w:eastAsia="HelenPro-Regular"/>
        </w:rPr>
        <w:t xml:space="preserve">• R2 Ready for use. </w:t>
      </w:r>
      <w:r w:rsidR="006245F4" w:rsidRPr="0074537C">
        <w:rPr>
          <w:rFonts w:eastAsia="HelenPro-Regular"/>
        </w:rPr>
        <w:t>Before use, invert several times, avoiding the formation of bubbles.</w:t>
      </w:r>
    </w:p>
    <w:p w:rsidR="00C32412" w:rsidRPr="0074537C" w:rsidRDefault="00C32412" w:rsidP="00C32412">
      <w:pPr>
        <w:autoSpaceDE w:val="0"/>
        <w:autoSpaceDN w:val="0"/>
        <w:adjustRightInd w:val="0"/>
        <w:rPr>
          <w:rFonts w:eastAsia="HelenPro-Regular"/>
        </w:rPr>
      </w:pPr>
      <w:r w:rsidRPr="0074537C">
        <w:rPr>
          <w:rFonts w:eastAsia="HelenPro-Regular"/>
        </w:rPr>
        <w:t>• Remove air bubbles, if present in the reagent cartridge, with a new applicator stick. Alternatively, allow the reagent to sit at the appropriate storage temperature to allow the bubbles to dissipate.</w:t>
      </w:r>
    </w:p>
    <w:p w:rsidR="00C32412" w:rsidRPr="0074537C" w:rsidRDefault="00C32412" w:rsidP="00C32412">
      <w:pPr>
        <w:autoSpaceDE w:val="0"/>
        <w:autoSpaceDN w:val="0"/>
        <w:adjustRightInd w:val="0"/>
        <w:rPr>
          <w:rFonts w:eastAsia="HelenPro-Regular"/>
        </w:rPr>
      </w:pPr>
      <w:r w:rsidRPr="0074537C">
        <w:rPr>
          <w:rFonts w:eastAsia="HelenPro-Regular"/>
        </w:rPr>
        <w:t>To minimize volume depletion, do not use a transfer pipette to remove the bubbles.</w:t>
      </w:r>
    </w:p>
    <w:p w:rsidR="00C32412" w:rsidRPr="0074537C" w:rsidRDefault="00C32412" w:rsidP="00C32412">
      <w:pPr>
        <w:autoSpaceDE w:val="0"/>
        <w:autoSpaceDN w:val="0"/>
        <w:adjustRightInd w:val="0"/>
        <w:rPr>
          <w:rFonts w:eastAsia="HelenPro-Regular"/>
        </w:rPr>
      </w:pPr>
      <w:r w:rsidRPr="0074537C">
        <w:rPr>
          <w:rFonts w:eastAsia="HelenPro-Bold"/>
          <w:b/>
          <w:bCs/>
        </w:rPr>
        <w:t xml:space="preserve">CAUTION: </w:t>
      </w:r>
      <w:r w:rsidRPr="0074537C">
        <w:rPr>
          <w:rFonts w:eastAsia="HelenPro-Regular"/>
        </w:rPr>
        <w:t>Reagent bubbles may interfere with proper detection of reagent level in the cartridge, causing insufficient reagent aspiration that could impact results.</w:t>
      </w:r>
    </w:p>
    <w:p w:rsidR="006245F4" w:rsidRPr="0074537C" w:rsidRDefault="006245F4" w:rsidP="006245F4">
      <w:pPr>
        <w:autoSpaceDE w:val="0"/>
        <w:autoSpaceDN w:val="0"/>
        <w:adjustRightInd w:val="0"/>
        <w:rPr>
          <w:rFonts w:eastAsia="HelenPro-Regular"/>
        </w:rPr>
      </w:pPr>
      <w:r w:rsidRPr="0074537C">
        <w:rPr>
          <w:rFonts w:eastAsia="HelenPro-Regular"/>
        </w:rPr>
        <w:t>• When either the R1 or the R2 reagent cartridge becomes empty, replace both cartridges and verify with controls according to the established quality control requirements for your laboratory.</w:t>
      </w:r>
    </w:p>
    <w:p w:rsidR="002D6FB9" w:rsidRPr="0074537C" w:rsidRDefault="002D6FB9" w:rsidP="0038442D">
      <w:pPr>
        <w:autoSpaceDE w:val="0"/>
        <w:autoSpaceDN w:val="0"/>
        <w:adjustRightInd w:val="0"/>
        <w:rPr>
          <w:rFonts w:eastAsia="HelenPro-Bold"/>
          <w:b/>
          <w:bCs/>
        </w:rPr>
      </w:pPr>
    </w:p>
    <w:p w:rsidR="0038442D" w:rsidRPr="0074537C" w:rsidRDefault="0038442D" w:rsidP="0038442D">
      <w:pPr>
        <w:autoSpaceDE w:val="0"/>
        <w:autoSpaceDN w:val="0"/>
        <w:adjustRightInd w:val="0"/>
        <w:rPr>
          <w:rFonts w:eastAsia="HelenPro-Bold"/>
          <w:b/>
          <w:bCs/>
        </w:rPr>
      </w:pPr>
      <w:r w:rsidRPr="0074537C">
        <w:rPr>
          <w:rFonts w:eastAsia="HelenPro-Bold"/>
          <w:b/>
          <w:bCs/>
        </w:rPr>
        <w:t>Reagent Storage</w:t>
      </w:r>
    </w:p>
    <w:p w:rsidR="00C32412" w:rsidRPr="0074537C" w:rsidRDefault="00C32412" w:rsidP="00C32412">
      <w:pPr>
        <w:autoSpaceDE w:val="0"/>
        <w:autoSpaceDN w:val="0"/>
        <w:adjustRightInd w:val="0"/>
        <w:rPr>
          <w:rFonts w:eastAsia="HelenPro-Regular"/>
        </w:rPr>
      </w:pPr>
      <w:r w:rsidRPr="0074537C">
        <w:rPr>
          <w:rFonts w:eastAsia="HelenPro-Regular"/>
        </w:rPr>
        <w:t xml:space="preserve">• Reagent stability is </w:t>
      </w:r>
      <w:r w:rsidR="00F1102D" w:rsidRPr="0074537C">
        <w:rPr>
          <w:rFonts w:eastAsia="HelenPro-Regular"/>
        </w:rPr>
        <w:t>56</w:t>
      </w:r>
      <w:r w:rsidR="00AA6D00" w:rsidRPr="0074537C">
        <w:rPr>
          <w:rFonts w:eastAsia="HelenPro-Regular"/>
        </w:rPr>
        <w:t xml:space="preserve"> </w:t>
      </w:r>
      <w:r w:rsidRPr="0074537C">
        <w:rPr>
          <w:rFonts w:eastAsia="HelenPro-Regular"/>
        </w:rPr>
        <w:t>days if the reagent is uncapped and onboard.</w:t>
      </w:r>
    </w:p>
    <w:p w:rsidR="0038442D" w:rsidRPr="0074537C" w:rsidRDefault="00C32412" w:rsidP="00C32412">
      <w:pPr>
        <w:autoSpaceDE w:val="0"/>
        <w:autoSpaceDN w:val="0"/>
        <w:adjustRightInd w:val="0"/>
        <w:rPr>
          <w:rFonts w:eastAsia="HelenPro-Regular"/>
        </w:rPr>
      </w:pPr>
      <w:r w:rsidRPr="0074537C">
        <w:rPr>
          <w:rFonts w:eastAsia="HelenPro-Regular"/>
        </w:rPr>
        <w:t>• Unopened reagents are stable until the expiration date when stored at 2 to 8°C.</w:t>
      </w:r>
    </w:p>
    <w:p w:rsidR="004C476C" w:rsidRPr="0074537C" w:rsidRDefault="004C476C" w:rsidP="004C476C">
      <w:pPr>
        <w:autoSpaceDE w:val="0"/>
        <w:autoSpaceDN w:val="0"/>
        <w:adjustRightInd w:val="0"/>
        <w:rPr>
          <w:rFonts w:eastAsia="HelenPro-Bold"/>
          <w:b/>
          <w:bCs/>
        </w:rPr>
      </w:pPr>
      <w:r w:rsidRPr="0074537C">
        <w:rPr>
          <w:rFonts w:eastAsia="HelenPro-Regular"/>
        </w:rPr>
        <w:t xml:space="preserve">• </w:t>
      </w:r>
      <w:r w:rsidRPr="0074537C">
        <w:rPr>
          <w:rFonts w:eastAsia="HelenPro-Bold"/>
          <w:b/>
          <w:bCs/>
        </w:rPr>
        <w:t>Do not freeze reagents or expose them to temperatures above 32</w:t>
      </w:r>
      <w:r w:rsidRPr="0074537C">
        <w:rPr>
          <w:rFonts w:eastAsia="HelenPro-Regular"/>
        </w:rPr>
        <w:t>°</w:t>
      </w:r>
      <w:r w:rsidRPr="0074537C">
        <w:rPr>
          <w:rFonts w:eastAsia="HelenPro-Bold"/>
          <w:b/>
          <w:bCs/>
        </w:rPr>
        <w:t>C.</w:t>
      </w:r>
    </w:p>
    <w:p w:rsidR="002D6FB9" w:rsidRPr="0074537C" w:rsidRDefault="002D6FB9" w:rsidP="00B36577">
      <w:pPr>
        <w:spacing w:after="72"/>
        <w:rPr>
          <w:rStyle w:val="BodyBold"/>
          <w:rFonts w:ascii="Times New Roman" w:hAnsi="Times New Roman"/>
          <w:sz w:val="24"/>
          <w:szCs w:val="24"/>
        </w:rPr>
      </w:pPr>
    </w:p>
    <w:p w:rsidR="00CA11D0" w:rsidRPr="0074537C" w:rsidRDefault="00B36577" w:rsidP="00B36577">
      <w:pPr>
        <w:spacing w:after="72"/>
      </w:pPr>
      <w:r w:rsidRPr="0074537C">
        <w:rPr>
          <w:rStyle w:val="BodyBold"/>
          <w:rFonts w:ascii="Times New Roman" w:hAnsi="Times New Roman"/>
          <w:sz w:val="24"/>
          <w:szCs w:val="24"/>
          <w:lang w:val="ru-RU"/>
        </w:rPr>
        <w:t>Reagent Preparation:</w:t>
      </w:r>
      <w:r w:rsidRPr="0074537C">
        <w:rPr>
          <w:lang w:val="ru-RU"/>
        </w:rPr>
        <w:t xml:space="preserve"> </w:t>
      </w:r>
    </w:p>
    <w:p w:rsidR="00D64E39" w:rsidRPr="0074537C" w:rsidRDefault="00652424" w:rsidP="00652424">
      <w:pPr>
        <w:autoSpaceDE w:val="0"/>
        <w:autoSpaceDN w:val="0"/>
        <w:adjustRightInd w:val="0"/>
        <w:rPr>
          <w:rFonts w:eastAsia="HelenPro-Regular"/>
        </w:rPr>
      </w:pPr>
      <w:r w:rsidRPr="0074537C">
        <w:rPr>
          <w:rFonts w:eastAsia="HelenPro-Regular"/>
        </w:rPr>
        <w:t>3L34-20 MULTIGENT Opiates is supplied as a liquid, ready-to-use, two-reagent kit which contains:</w:t>
      </w:r>
      <w:r w:rsidR="006D586B" w:rsidRPr="0074537C">
        <w:rPr>
          <w:rFonts w:eastAsia="HelenPro-Regular"/>
        </w:rPr>
        <w:t xml:space="preserve"> </w:t>
      </w:r>
      <w:r w:rsidR="00020469" w:rsidRPr="0074537C">
        <w:rPr>
          <w:rFonts w:eastAsia="HelenPro-Regular"/>
          <w:b/>
          <w:bCs/>
        </w:rPr>
        <w:t>R1 &amp; R2</w:t>
      </w:r>
    </w:p>
    <w:p w:rsidR="00D64E39" w:rsidRPr="0074537C" w:rsidRDefault="00D64E39" w:rsidP="00D64E39">
      <w:pPr>
        <w:rPr>
          <w:rFonts w:eastAsia="HelenPro-Regular"/>
        </w:rPr>
      </w:pPr>
    </w:p>
    <w:p w:rsidR="00AB793D" w:rsidRPr="0074537C" w:rsidRDefault="00652424" w:rsidP="00AB793D">
      <w:pPr>
        <w:rPr>
          <w:rFonts w:eastAsia="HelenPro-Regular"/>
        </w:rPr>
      </w:pPr>
      <w:r w:rsidRPr="0074537C">
        <w:rPr>
          <w:noProof/>
        </w:rPr>
        <w:drawing>
          <wp:inline distT="0" distB="0" distL="0" distR="0" wp14:anchorId="21B3B3D9" wp14:editId="06073F03">
            <wp:extent cx="4276725" cy="1743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76725" cy="1743075"/>
                    </a:xfrm>
                    <a:prstGeom prst="rect">
                      <a:avLst/>
                    </a:prstGeom>
                  </pic:spPr>
                </pic:pic>
              </a:graphicData>
            </a:graphic>
          </wp:inline>
        </w:drawing>
      </w:r>
    </w:p>
    <w:p w:rsidR="00415171" w:rsidRPr="0074537C" w:rsidRDefault="00415171" w:rsidP="00F1102D">
      <w:pPr>
        <w:autoSpaceDE w:val="0"/>
        <w:autoSpaceDN w:val="0"/>
        <w:adjustRightInd w:val="0"/>
        <w:rPr>
          <w:b/>
        </w:rPr>
      </w:pPr>
    </w:p>
    <w:p w:rsidR="00F1102D" w:rsidRPr="0074537C" w:rsidRDefault="00B36577" w:rsidP="00F1102D">
      <w:pPr>
        <w:autoSpaceDE w:val="0"/>
        <w:autoSpaceDN w:val="0"/>
        <w:adjustRightInd w:val="0"/>
      </w:pPr>
      <w:r w:rsidRPr="0074537C">
        <w:rPr>
          <w:b/>
        </w:rPr>
        <w:t>Calibrator:</w:t>
      </w:r>
      <w:r w:rsidRPr="0074537C">
        <w:t xml:space="preserve">  </w:t>
      </w:r>
    </w:p>
    <w:p w:rsidR="00F1102D" w:rsidRDefault="00F1102D" w:rsidP="00F1102D">
      <w:pPr>
        <w:pStyle w:val="ListParagraph"/>
        <w:numPr>
          <w:ilvl w:val="0"/>
          <w:numId w:val="16"/>
        </w:numPr>
        <w:autoSpaceDE w:val="0"/>
        <w:autoSpaceDN w:val="0"/>
        <w:adjustRightInd w:val="0"/>
        <w:rPr>
          <w:rFonts w:eastAsia="HelenPro-Regular"/>
        </w:rPr>
      </w:pPr>
      <w:r w:rsidRPr="0074537C">
        <w:rPr>
          <w:rFonts w:eastAsia="HelenPro-Regular"/>
        </w:rPr>
        <w:t>3L43-05 MULTIGENT DOA MC Neg Cal</w:t>
      </w:r>
    </w:p>
    <w:p w:rsidR="00536F20" w:rsidRPr="0074537C" w:rsidRDefault="00536F20" w:rsidP="00536F20">
      <w:pPr>
        <w:pStyle w:val="ListParagraph"/>
        <w:numPr>
          <w:ilvl w:val="0"/>
          <w:numId w:val="16"/>
        </w:numPr>
        <w:autoSpaceDE w:val="0"/>
        <w:autoSpaceDN w:val="0"/>
        <w:adjustRightInd w:val="0"/>
        <w:rPr>
          <w:rFonts w:eastAsia="HelenPro-Regular"/>
        </w:rPr>
      </w:pPr>
      <w:r>
        <w:rPr>
          <w:rFonts w:eastAsia="HelenPro-Regular"/>
        </w:rPr>
        <w:t>3L34-02 MULTIGENT OPIATES 300 CALIBRATOR</w:t>
      </w:r>
    </w:p>
    <w:p w:rsidR="00536F20" w:rsidRPr="00536F20" w:rsidRDefault="00536F20" w:rsidP="00536F20">
      <w:pPr>
        <w:autoSpaceDE w:val="0"/>
        <w:autoSpaceDN w:val="0"/>
        <w:adjustRightInd w:val="0"/>
        <w:ind w:left="360"/>
        <w:rPr>
          <w:rFonts w:eastAsia="HelenPro-Regular"/>
        </w:rPr>
      </w:pPr>
    </w:p>
    <w:p w:rsidR="00652424" w:rsidRPr="0074537C" w:rsidRDefault="00652424" w:rsidP="0074537C">
      <w:pPr>
        <w:pStyle w:val="ListParagraph"/>
        <w:autoSpaceDE w:val="0"/>
        <w:autoSpaceDN w:val="0"/>
        <w:adjustRightInd w:val="0"/>
        <w:rPr>
          <w:rFonts w:eastAsia="HelenPro-Regular"/>
        </w:rPr>
      </w:pPr>
    </w:p>
    <w:p w:rsidR="00652424" w:rsidRPr="0074537C" w:rsidRDefault="00652424" w:rsidP="00652424">
      <w:pPr>
        <w:pStyle w:val="ListParagraph"/>
        <w:autoSpaceDE w:val="0"/>
        <w:autoSpaceDN w:val="0"/>
        <w:adjustRightInd w:val="0"/>
        <w:rPr>
          <w:rFonts w:eastAsia="HelenPro-Regular"/>
        </w:rPr>
      </w:pPr>
    </w:p>
    <w:p w:rsidR="00973EAF" w:rsidRPr="0074537C" w:rsidRDefault="00B36577" w:rsidP="00973EAF">
      <w:pPr>
        <w:spacing w:after="43"/>
      </w:pPr>
      <w:r w:rsidRPr="0074537C">
        <w:rPr>
          <w:b/>
          <w:szCs w:val="14"/>
        </w:rPr>
        <w:t>Quality Control:</w:t>
      </w:r>
      <w:r w:rsidR="00CA11D0" w:rsidRPr="0074537C">
        <w:rPr>
          <w:szCs w:val="14"/>
        </w:rPr>
        <w:t xml:space="preserve">  </w:t>
      </w:r>
      <w:r w:rsidR="0056023B" w:rsidRPr="0074537C">
        <w:rPr>
          <w:szCs w:val="14"/>
        </w:rPr>
        <w:t xml:space="preserve">Minimum 2 levels of </w:t>
      </w:r>
      <w:r w:rsidR="00E54D14" w:rsidRPr="0074537C">
        <w:t>DOA Urine</w:t>
      </w:r>
      <w:r w:rsidR="0025031C" w:rsidRPr="0074537C">
        <w:rPr>
          <w:b/>
        </w:rPr>
        <w:t xml:space="preserve"> </w:t>
      </w:r>
      <w:r w:rsidR="0025031C" w:rsidRPr="0074537C">
        <w:t>Control</w:t>
      </w:r>
      <w:r w:rsidR="0061553C" w:rsidRPr="0074537C">
        <w:t xml:space="preserve"> </w:t>
      </w:r>
      <w:r w:rsidR="00E54D14" w:rsidRPr="0074537C">
        <w:t>run every 24 hours</w:t>
      </w:r>
    </w:p>
    <w:p w:rsidR="00652424" w:rsidRDefault="00DF4F4E" w:rsidP="00E54D14">
      <w:pPr>
        <w:autoSpaceDE w:val="0"/>
        <w:autoSpaceDN w:val="0"/>
        <w:adjustRightInd w:val="0"/>
      </w:pPr>
      <w:r>
        <w:t>Bio-Rad</w:t>
      </w:r>
    </w:p>
    <w:p w:rsidR="00DF4F4E" w:rsidRDefault="00DF4F4E" w:rsidP="00E54D14">
      <w:pPr>
        <w:autoSpaceDE w:val="0"/>
        <w:autoSpaceDN w:val="0"/>
        <w:adjustRightInd w:val="0"/>
      </w:pPr>
      <w:r>
        <w:t>BR683 S10 Low Opiate Urine Toxicology Control</w:t>
      </w:r>
    </w:p>
    <w:p w:rsidR="00DF4F4E" w:rsidRDefault="00DF4F4E" w:rsidP="00E54D14">
      <w:pPr>
        <w:autoSpaceDE w:val="0"/>
        <w:autoSpaceDN w:val="0"/>
        <w:adjustRightInd w:val="0"/>
      </w:pPr>
      <w:r>
        <w:t>BR706 S20 Low Opiate Urine Toxicology Control</w:t>
      </w:r>
    </w:p>
    <w:p w:rsidR="00DF4F4E" w:rsidRDefault="00DF4F4E" w:rsidP="00E54D14">
      <w:pPr>
        <w:autoSpaceDE w:val="0"/>
        <w:autoSpaceDN w:val="0"/>
        <w:adjustRightInd w:val="0"/>
      </w:pPr>
    </w:p>
    <w:p w:rsidR="00DF4F4E" w:rsidRPr="0074537C" w:rsidRDefault="00DF4F4E" w:rsidP="00E54D14">
      <w:pPr>
        <w:autoSpaceDE w:val="0"/>
        <w:autoSpaceDN w:val="0"/>
        <w:adjustRightInd w:val="0"/>
        <w:rPr>
          <w:rFonts w:eastAsia="HelenPro-Regular"/>
        </w:rPr>
      </w:pPr>
    </w:p>
    <w:p w:rsidR="00D60AFA" w:rsidRPr="0074537C" w:rsidRDefault="00AE6F5B" w:rsidP="00D60AFA">
      <w:pPr>
        <w:spacing w:after="43"/>
        <w:rPr>
          <w:i/>
          <w:color w:val="FF0000"/>
          <w:szCs w:val="15"/>
        </w:rPr>
      </w:pPr>
      <w:r w:rsidRPr="0074537C">
        <w:rPr>
          <w:b/>
          <w:sz w:val="28"/>
          <w:szCs w:val="28"/>
        </w:rPr>
        <w:t>Calibration</w:t>
      </w:r>
      <w:r w:rsidR="00D60AFA" w:rsidRPr="0074537C">
        <w:rPr>
          <w:b/>
          <w:sz w:val="28"/>
          <w:szCs w:val="28"/>
        </w:rPr>
        <w:t xml:space="preserve"> </w:t>
      </w:r>
    </w:p>
    <w:p w:rsidR="00AE6F5B" w:rsidRPr="0074537C" w:rsidRDefault="00AE6F5B" w:rsidP="00AE6F5B">
      <w:pPr>
        <w:rPr>
          <w:b/>
          <w:sz w:val="28"/>
          <w:szCs w:val="28"/>
        </w:rPr>
      </w:pPr>
    </w:p>
    <w:p w:rsidR="00644800" w:rsidRPr="0074537C" w:rsidRDefault="00644800" w:rsidP="00644800">
      <w:pPr>
        <w:ind w:firstLine="720"/>
        <w:rPr>
          <w:b/>
        </w:rPr>
      </w:pPr>
      <w:r w:rsidRPr="0074537C">
        <w:rPr>
          <w:b/>
        </w:rPr>
        <w:t xml:space="preserve">Frequency:  </w:t>
      </w:r>
    </w:p>
    <w:p w:rsidR="00CC3D62" w:rsidRPr="0074537C" w:rsidRDefault="00E4787B" w:rsidP="00E54D14">
      <w:pPr>
        <w:autoSpaceDE w:val="0"/>
        <w:autoSpaceDN w:val="0"/>
        <w:adjustRightInd w:val="0"/>
        <w:ind w:left="720"/>
        <w:rPr>
          <w:rFonts w:eastAsia="HelenPro-Regular"/>
        </w:rPr>
      </w:pPr>
      <w:r w:rsidRPr="0074537C">
        <w:t xml:space="preserve">Calibration is stable for </w:t>
      </w:r>
      <w:r w:rsidR="00652424" w:rsidRPr="0074537C">
        <w:t>13</w:t>
      </w:r>
      <w:r w:rsidRPr="0074537C">
        <w:t xml:space="preserve"> days (</w:t>
      </w:r>
      <w:r w:rsidR="00652424" w:rsidRPr="0074537C">
        <w:t>312</w:t>
      </w:r>
      <w:r w:rsidRPr="0074537C">
        <w:t xml:space="preserve"> hours)</w:t>
      </w:r>
      <w:r w:rsidR="00AF597C" w:rsidRPr="0074537C">
        <w:t xml:space="preserve"> for any one lot.</w:t>
      </w:r>
      <w:r w:rsidRPr="0074537C">
        <w:t xml:space="preserve"> </w:t>
      </w:r>
      <w:r w:rsidR="00E54D14" w:rsidRPr="0074537C">
        <w:t xml:space="preserve"> </w:t>
      </w:r>
    </w:p>
    <w:p w:rsidR="0055619E" w:rsidRPr="0074537C" w:rsidRDefault="0055619E" w:rsidP="00CC3D62">
      <w:pPr>
        <w:autoSpaceDE w:val="0"/>
        <w:autoSpaceDN w:val="0"/>
        <w:adjustRightInd w:val="0"/>
        <w:ind w:left="720"/>
        <w:rPr>
          <w:b/>
          <w:highlight w:val="cyan"/>
        </w:rPr>
      </w:pPr>
    </w:p>
    <w:p w:rsidR="00CC3D62" w:rsidRPr="0074537C" w:rsidRDefault="00CC3D62" w:rsidP="00CC3D62">
      <w:pPr>
        <w:autoSpaceDE w:val="0"/>
        <w:autoSpaceDN w:val="0"/>
        <w:adjustRightInd w:val="0"/>
        <w:ind w:left="720"/>
        <w:rPr>
          <w:b/>
        </w:rPr>
      </w:pPr>
      <w:r w:rsidRPr="0074537C">
        <w:rPr>
          <w:b/>
        </w:rPr>
        <w:t>A new calibration is required:</w:t>
      </w:r>
    </w:p>
    <w:p w:rsidR="00CC3D62" w:rsidRPr="0074537C" w:rsidRDefault="00CC3D62" w:rsidP="00CC3D62">
      <w:pPr>
        <w:autoSpaceDE w:val="0"/>
        <w:autoSpaceDN w:val="0"/>
        <w:adjustRightInd w:val="0"/>
        <w:ind w:left="720"/>
        <w:rPr>
          <w:b/>
        </w:rPr>
      </w:pPr>
    </w:p>
    <w:p w:rsidR="0056023B" w:rsidRPr="0074537C" w:rsidRDefault="0056023B" w:rsidP="0056023B">
      <w:pPr>
        <w:numPr>
          <w:ilvl w:val="0"/>
          <w:numId w:val="5"/>
        </w:numPr>
        <w:autoSpaceDE w:val="0"/>
        <w:autoSpaceDN w:val="0"/>
        <w:adjustRightInd w:val="0"/>
      </w:pPr>
      <w:r w:rsidRPr="0074537C">
        <w:rPr>
          <w:rFonts w:eastAsia="HelenPro-Regular"/>
        </w:rPr>
        <w:t>If quality control results do not meet acceptance criteria defined by your</w:t>
      </w:r>
      <w:r w:rsidRPr="0074537C">
        <w:t xml:space="preserve"> </w:t>
      </w:r>
      <w:r w:rsidRPr="0074537C">
        <w:rPr>
          <w:rFonts w:eastAsia="HelenPro-Regular"/>
        </w:rPr>
        <w:t>laboratory, patient values may be suspect. Follow the established quality</w:t>
      </w:r>
      <w:r w:rsidRPr="0074537C">
        <w:t xml:space="preserve"> </w:t>
      </w:r>
      <w:r w:rsidRPr="0074537C">
        <w:rPr>
          <w:rFonts w:eastAsia="HelenPro-Regular"/>
        </w:rPr>
        <w:t>control procedures for your laboratory. Recalibration may be necessary.</w:t>
      </w:r>
    </w:p>
    <w:p w:rsidR="00CC3D62" w:rsidRPr="0074537C" w:rsidRDefault="0056023B" w:rsidP="00912FE4">
      <w:pPr>
        <w:numPr>
          <w:ilvl w:val="0"/>
          <w:numId w:val="5"/>
        </w:numPr>
        <w:autoSpaceDE w:val="0"/>
        <w:autoSpaceDN w:val="0"/>
        <w:adjustRightInd w:val="0"/>
      </w:pPr>
      <w:r w:rsidRPr="0074537C">
        <w:rPr>
          <w:rFonts w:eastAsia="HelenPro-Regular"/>
        </w:rPr>
        <w:t>Review quality control results and acceptance criteria following a</w:t>
      </w:r>
      <w:r w:rsidR="00912FE4" w:rsidRPr="0074537C">
        <w:t xml:space="preserve"> </w:t>
      </w:r>
      <w:r w:rsidRPr="0074537C">
        <w:rPr>
          <w:rFonts w:eastAsia="HelenPro-Regular"/>
        </w:rPr>
        <w:t>change of reagent or calibrator lot.</w:t>
      </w:r>
    </w:p>
    <w:p w:rsidR="00CC3D62" w:rsidRPr="0074537C" w:rsidRDefault="00CC3D62" w:rsidP="00E4787B">
      <w:pPr>
        <w:autoSpaceDE w:val="0"/>
        <w:autoSpaceDN w:val="0"/>
        <w:adjustRightInd w:val="0"/>
        <w:ind w:left="720"/>
      </w:pPr>
    </w:p>
    <w:p w:rsidR="006B7455" w:rsidRPr="0074537C" w:rsidRDefault="006B7455" w:rsidP="00E54D14">
      <w:pPr>
        <w:pStyle w:val="ListParagraph"/>
        <w:autoSpaceDE w:val="0"/>
        <w:autoSpaceDN w:val="0"/>
        <w:adjustRightInd w:val="0"/>
        <w:rPr>
          <w:b/>
        </w:rPr>
      </w:pPr>
    </w:p>
    <w:p w:rsidR="00E54D14" w:rsidRPr="0074537C" w:rsidRDefault="005E3AB5" w:rsidP="00E54D14">
      <w:pPr>
        <w:pStyle w:val="ListParagraph"/>
        <w:autoSpaceDE w:val="0"/>
        <w:autoSpaceDN w:val="0"/>
        <w:adjustRightInd w:val="0"/>
        <w:rPr>
          <w:rFonts w:eastAsia="HelenPro-Regular"/>
        </w:rPr>
      </w:pPr>
      <w:r w:rsidRPr="0074537C">
        <w:rPr>
          <w:b/>
        </w:rPr>
        <w:t>Calibrator Required:</w:t>
      </w:r>
      <w:r w:rsidRPr="0074537C">
        <w:t xml:space="preserve">  </w:t>
      </w:r>
    </w:p>
    <w:p w:rsidR="00E54D14" w:rsidRDefault="00E54D14" w:rsidP="00E54D14">
      <w:pPr>
        <w:pStyle w:val="ListParagraph"/>
        <w:numPr>
          <w:ilvl w:val="0"/>
          <w:numId w:val="16"/>
        </w:numPr>
        <w:autoSpaceDE w:val="0"/>
        <w:autoSpaceDN w:val="0"/>
        <w:adjustRightInd w:val="0"/>
        <w:rPr>
          <w:rFonts w:eastAsia="HelenPro-Regular"/>
        </w:rPr>
      </w:pPr>
      <w:r w:rsidRPr="0074537C">
        <w:rPr>
          <w:rFonts w:eastAsia="HelenPro-Regular"/>
        </w:rPr>
        <w:t>3L43-05 MULTIGENT DOA MC Neg Cal</w:t>
      </w:r>
    </w:p>
    <w:p w:rsidR="00536F20" w:rsidRPr="0074537C" w:rsidRDefault="00536F20" w:rsidP="00536F20">
      <w:pPr>
        <w:pStyle w:val="ListParagraph"/>
        <w:numPr>
          <w:ilvl w:val="0"/>
          <w:numId w:val="16"/>
        </w:numPr>
        <w:autoSpaceDE w:val="0"/>
        <w:autoSpaceDN w:val="0"/>
        <w:adjustRightInd w:val="0"/>
        <w:rPr>
          <w:rFonts w:eastAsia="HelenPro-Regular"/>
        </w:rPr>
      </w:pPr>
      <w:r>
        <w:rPr>
          <w:rFonts w:eastAsia="HelenPro-Regular"/>
        </w:rPr>
        <w:t>3L34-02 MULTIGENT OPIATES 300 CALIBRATOR</w:t>
      </w:r>
    </w:p>
    <w:p w:rsidR="00536F20" w:rsidRPr="0074537C" w:rsidRDefault="00536F20" w:rsidP="00536F20">
      <w:pPr>
        <w:pStyle w:val="ListParagraph"/>
        <w:autoSpaceDE w:val="0"/>
        <w:autoSpaceDN w:val="0"/>
        <w:adjustRightInd w:val="0"/>
        <w:rPr>
          <w:rFonts w:eastAsia="HelenPro-Regular"/>
        </w:rPr>
      </w:pPr>
    </w:p>
    <w:p w:rsidR="00714F24" w:rsidRPr="0074537C" w:rsidRDefault="00714F24" w:rsidP="00536F20">
      <w:pPr>
        <w:spacing w:after="43"/>
        <w:rPr>
          <w:color w:val="000000"/>
          <w:szCs w:val="14"/>
        </w:rPr>
      </w:pPr>
    </w:p>
    <w:p w:rsidR="0025031C" w:rsidRPr="0074537C" w:rsidRDefault="0025031C" w:rsidP="004F5F8A">
      <w:pPr>
        <w:ind w:firstLine="720"/>
        <w:rPr>
          <w:b/>
        </w:rPr>
      </w:pPr>
      <w:r w:rsidRPr="0074537C">
        <w:rPr>
          <w:b/>
        </w:rPr>
        <w:t>Reagents:</w:t>
      </w:r>
    </w:p>
    <w:p w:rsidR="00A31B8F" w:rsidRPr="0074537C" w:rsidRDefault="00A31B8F" w:rsidP="00CD2C07">
      <w:pPr>
        <w:autoSpaceDE w:val="0"/>
        <w:autoSpaceDN w:val="0"/>
        <w:adjustRightInd w:val="0"/>
        <w:ind w:left="720"/>
        <w:rPr>
          <w:rFonts w:eastAsia="HelenPro-Regular"/>
        </w:rPr>
      </w:pPr>
      <w:r w:rsidRPr="0074537C">
        <w:rPr>
          <w:rFonts w:eastAsia="HelenPro-Regular"/>
        </w:rPr>
        <w:t>The MULTIGENT DOA MC I Calibrators and Controls are liquid and</w:t>
      </w:r>
      <w:r w:rsidR="00CD2C07" w:rsidRPr="0074537C">
        <w:rPr>
          <w:rFonts w:eastAsia="HelenPro-Regular"/>
        </w:rPr>
        <w:t xml:space="preserve"> </w:t>
      </w:r>
      <w:r w:rsidRPr="0074537C">
        <w:rPr>
          <w:rFonts w:eastAsia="HelenPro-Regular"/>
        </w:rPr>
        <w:t>ready-to-use. They are prepared by spiking negative human urine with</w:t>
      </w:r>
      <w:r w:rsidR="00CD2C07" w:rsidRPr="0074537C">
        <w:rPr>
          <w:rFonts w:eastAsia="HelenPro-Regular"/>
        </w:rPr>
        <w:t xml:space="preserve"> </w:t>
      </w:r>
      <w:r w:rsidRPr="0074537C">
        <w:rPr>
          <w:rFonts w:eastAsia="HelenPro-Regular"/>
        </w:rPr>
        <w:t>known quantities of compounds indicated in Table 1.</w:t>
      </w:r>
    </w:p>
    <w:p w:rsidR="00A31B8F" w:rsidRPr="0074537C" w:rsidRDefault="00A31B8F" w:rsidP="00CD2C07">
      <w:pPr>
        <w:autoSpaceDE w:val="0"/>
        <w:autoSpaceDN w:val="0"/>
        <w:adjustRightInd w:val="0"/>
        <w:ind w:left="720"/>
        <w:rPr>
          <w:rFonts w:eastAsia="HelenPro-Regular"/>
        </w:rPr>
      </w:pPr>
      <w:r w:rsidRPr="0074537C">
        <w:rPr>
          <w:rFonts w:eastAsia="HelenPro-Regular"/>
        </w:rPr>
        <w:t>For qualitative analysis, the MULTIGENT DOA MC Neg Cal and the</w:t>
      </w:r>
      <w:r w:rsidR="00CD2C07" w:rsidRPr="0074537C">
        <w:rPr>
          <w:rFonts w:eastAsia="HelenPro-Regular"/>
        </w:rPr>
        <w:t xml:space="preserve"> </w:t>
      </w:r>
      <w:r w:rsidRPr="0074537C">
        <w:rPr>
          <w:rFonts w:eastAsia="HelenPro-Regular"/>
        </w:rPr>
        <w:t>MULTIGENT DOA MC I Cal 2 are used for system calibration. The</w:t>
      </w:r>
      <w:r w:rsidR="00CD2C07" w:rsidRPr="0074537C">
        <w:rPr>
          <w:rFonts w:eastAsia="HelenPro-Regular"/>
        </w:rPr>
        <w:t xml:space="preserve"> </w:t>
      </w:r>
      <w:r w:rsidRPr="0074537C">
        <w:rPr>
          <w:rFonts w:eastAsia="HelenPro-Regular"/>
        </w:rPr>
        <w:t>concentration of the MULTIGENT DOA MC I Cal 2 determines the cutoff</w:t>
      </w:r>
      <w:r w:rsidR="00CD2C07" w:rsidRPr="0074537C">
        <w:rPr>
          <w:rFonts w:eastAsia="HelenPro-Regular"/>
        </w:rPr>
        <w:t xml:space="preserve"> </w:t>
      </w:r>
      <w:r w:rsidRPr="0074537C">
        <w:rPr>
          <w:rFonts w:eastAsia="HelenPro-Regular"/>
        </w:rPr>
        <w:t>between “positive” and “negative” samples.</w:t>
      </w:r>
    </w:p>
    <w:p w:rsidR="00A31B8F" w:rsidRPr="0074537C" w:rsidRDefault="00A31B8F" w:rsidP="00CD2C07">
      <w:pPr>
        <w:autoSpaceDE w:val="0"/>
        <w:autoSpaceDN w:val="0"/>
        <w:adjustRightInd w:val="0"/>
        <w:ind w:left="720"/>
        <w:rPr>
          <w:rFonts w:eastAsia="HelenPro-Regular"/>
        </w:rPr>
      </w:pPr>
      <w:r w:rsidRPr="0074537C">
        <w:rPr>
          <w:rFonts w:eastAsia="HelenPro-Regular"/>
        </w:rPr>
        <w:t>When an estimate of drug concentration is required, a calibration curve</w:t>
      </w:r>
      <w:r w:rsidR="00CD2C07" w:rsidRPr="0074537C">
        <w:rPr>
          <w:rFonts w:eastAsia="HelenPro-Regular"/>
        </w:rPr>
        <w:t xml:space="preserve"> </w:t>
      </w:r>
      <w:r w:rsidRPr="0074537C">
        <w:rPr>
          <w:rFonts w:eastAsia="HelenPro-Regular"/>
        </w:rPr>
        <w:t>can be established with the MULTIGENT DOA MC Neg Cal and the</w:t>
      </w:r>
      <w:r w:rsidR="00CD2C07" w:rsidRPr="0074537C">
        <w:rPr>
          <w:rFonts w:eastAsia="HelenPro-Regular"/>
        </w:rPr>
        <w:t xml:space="preserve"> </w:t>
      </w:r>
      <w:r w:rsidRPr="0074537C">
        <w:rPr>
          <w:rFonts w:eastAsia="HelenPro-Regular"/>
        </w:rPr>
        <w:t>MULTIGENT DOA MC I Cal 1, 2, 3, and 4.</w:t>
      </w:r>
    </w:p>
    <w:p w:rsidR="00A31B8F" w:rsidRPr="0074537C" w:rsidRDefault="00A31B8F" w:rsidP="00CD2C07">
      <w:pPr>
        <w:autoSpaceDE w:val="0"/>
        <w:autoSpaceDN w:val="0"/>
        <w:adjustRightInd w:val="0"/>
        <w:ind w:left="720"/>
        <w:rPr>
          <w:rFonts w:eastAsia="HelenPro-Regular"/>
        </w:rPr>
      </w:pPr>
      <w:r w:rsidRPr="0074537C">
        <w:rPr>
          <w:rFonts w:eastAsia="HelenPro-Regular"/>
        </w:rPr>
        <w:t>The MULTIGENT DOA MC I Control Set is used to validate assay</w:t>
      </w:r>
      <w:r w:rsidR="00CD2C07" w:rsidRPr="0074537C">
        <w:rPr>
          <w:rFonts w:eastAsia="HelenPro-Regular"/>
        </w:rPr>
        <w:t xml:space="preserve"> </w:t>
      </w:r>
      <w:r w:rsidRPr="0074537C">
        <w:rPr>
          <w:rFonts w:eastAsia="HelenPro-Regular"/>
        </w:rPr>
        <w:t>performance.</w:t>
      </w:r>
    </w:p>
    <w:p w:rsidR="00A31B8F" w:rsidRPr="0074537C" w:rsidRDefault="00A31B8F" w:rsidP="00CD2C07">
      <w:pPr>
        <w:autoSpaceDE w:val="0"/>
        <w:autoSpaceDN w:val="0"/>
        <w:adjustRightInd w:val="0"/>
        <w:ind w:left="720"/>
        <w:rPr>
          <w:rFonts w:eastAsia="HelenPro-Regular"/>
        </w:rPr>
      </w:pPr>
      <w:r w:rsidRPr="0074537C">
        <w:rPr>
          <w:rFonts w:eastAsia="HelenPro-Regular"/>
        </w:rPr>
        <w:t>The MULTIGENT DOA MC Neg Cal is a drug-free human urine pool</w:t>
      </w:r>
      <w:r w:rsidR="00CD2C07" w:rsidRPr="0074537C">
        <w:rPr>
          <w:rFonts w:eastAsia="HelenPro-Regular"/>
        </w:rPr>
        <w:t xml:space="preserve"> </w:t>
      </w:r>
      <w:r w:rsidRPr="0074537C">
        <w:rPr>
          <w:rFonts w:eastAsia="HelenPro-Regular"/>
        </w:rPr>
        <w:t>that is used as zero drug calibrator and can also be used for dilution of</w:t>
      </w:r>
      <w:r w:rsidR="00CD2C07" w:rsidRPr="0074537C">
        <w:rPr>
          <w:rFonts w:eastAsia="HelenPro-Regular"/>
        </w:rPr>
        <w:t xml:space="preserve"> </w:t>
      </w:r>
      <w:r w:rsidRPr="0074537C">
        <w:rPr>
          <w:rFonts w:eastAsia="HelenPro-Regular"/>
        </w:rPr>
        <w:t>samples with levels exceeding the highest calibrator.</w:t>
      </w:r>
    </w:p>
    <w:p w:rsidR="00A31B8F" w:rsidRPr="0074537C" w:rsidRDefault="00A31B8F" w:rsidP="00CD2C07">
      <w:pPr>
        <w:ind w:left="720" w:firstLine="720"/>
        <w:rPr>
          <w:b/>
        </w:rPr>
      </w:pPr>
      <w:r w:rsidRPr="0074537C">
        <w:rPr>
          <w:noProof/>
        </w:rPr>
        <w:lastRenderedPageBreak/>
        <w:drawing>
          <wp:inline distT="0" distB="0" distL="0" distR="0" wp14:anchorId="5F090BE3" wp14:editId="7919ED56">
            <wp:extent cx="4238625" cy="4476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38625" cy="4476750"/>
                    </a:xfrm>
                    <a:prstGeom prst="rect">
                      <a:avLst/>
                    </a:prstGeom>
                  </pic:spPr>
                </pic:pic>
              </a:graphicData>
            </a:graphic>
          </wp:inline>
        </w:drawing>
      </w:r>
    </w:p>
    <w:p w:rsidR="00DA6C6A" w:rsidRPr="0074537C" w:rsidRDefault="00DA6C6A" w:rsidP="00CD2C07">
      <w:pPr>
        <w:ind w:left="720"/>
      </w:pPr>
    </w:p>
    <w:p w:rsidR="00F3700B" w:rsidRPr="0074537C" w:rsidRDefault="0037463A" w:rsidP="00CD2C07">
      <w:pPr>
        <w:ind w:left="720"/>
      </w:pPr>
      <w:r w:rsidRPr="0074537C">
        <w:rPr>
          <w:b/>
        </w:rPr>
        <w:t xml:space="preserve">Calibrator Preparation: </w:t>
      </w:r>
    </w:p>
    <w:p w:rsidR="003D38B7" w:rsidRPr="0074537C" w:rsidRDefault="00CD2C07" w:rsidP="00CD2C07">
      <w:pPr>
        <w:ind w:firstLine="720"/>
      </w:pPr>
      <w:r w:rsidRPr="0074537C">
        <w:t>Liquid, ready to use</w:t>
      </w:r>
    </w:p>
    <w:p w:rsidR="00683421" w:rsidRPr="0074537C" w:rsidRDefault="00683421" w:rsidP="00CD2C07">
      <w:pPr>
        <w:ind w:left="720" w:firstLine="720"/>
        <w:rPr>
          <w:b/>
        </w:rPr>
      </w:pPr>
    </w:p>
    <w:p w:rsidR="004F5F8A" w:rsidRPr="0074537C" w:rsidRDefault="0025031C" w:rsidP="00CD2C07">
      <w:pPr>
        <w:ind w:firstLine="720"/>
        <w:rPr>
          <w:b/>
        </w:rPr>
      </w:pPr>
      <w:r w:rsidRPr="0074537C">
        <w:rPr>
          <w:b/>
        </w:rPr>
        <w:t>Calibration Procedure:</w:t>
      </w:r>
      <w:r w:rsidR="0006502B" w:rsidRPr="0074537C">
        <w:rPr>
          <w:b/>
        </w:rPr>
        <w:t xml:space="preserve"> </w:t>
      </w:r>
    </w:p>
    <w:p w:rsidR="00CD2C07" w:rsidRPr="0074537C" w:rsidRDefault="00CD2C07" w:rsidP="00CD2C07">
      <w:pPr>
        <w:autoSpaceDE w:val="0"/>
        <w:autoSpaceDN w:val="0"/>
        <w:adjustRightInd w:val="0"/>
        <w:ind w:left="720"/>
        <w:rPr>
          <w:rFonts w:eastAsia="HelenPro-Regular"/>
        </w:rPr>
      </w:pPr>
      <w:r w:rsidRPr="0074537C">
        <w:rPr>
          <w:rFonts w:eastAsia="HelenPro-Regular"/>
        </w:rPr>
        <w:t>Before performing the assay, refer to the ASSAY PARAMETERS which are included in the specific MULTIGENT DOA reagent package inserts.</w:t>
      </w:r>
    </w:p>
    <w:p w:rsidR="00CD2C07" w:rsidRPr="0074537C" w:rsidRDefault="00CD2C07" w:rsidP="00CD2C07">
      <w:pPr>
        <w:autoSpaceDE w:val="0"/>
        <w:autoSpaceDN w:val="0"/>
        <w:adjustRightInd w:val="0"/>
        <w:ind w:left="720"/>
        <w:rPr>
          <w:rFonts w:eastAsia="HelenPro-Regular"/>
        </w:rPr>
      </w:pPr>
      <w:r w:rsidRPr="0074537C">
        <w:rPr>
          <w:rFonts w:eastAsia="HelenPro-Regular"/>
        </w:rPr>
        <w:t>The parameters contain additional instructions for using qualitative and semiquantitative protocols. For further instructions refer to the CALIBRATION and QUALITY CONTROL sections of the MULTIGENT DOA reagent inserts.</w:t>
      </w:r>
    </w:p>
    <w:p w:rsidR="00CD2C07" w:rsidRPr="0074537C" w:rsidRDefault="00CD2C07" w:rsidP="00CD2C07">
      <w:pPr>
        <w:autoSpaceDE w:val="0"/>
        <w:autoSpaceDN w:val="0"/>
        <w:adjustRightInd w:val="0"/>
        <w:ind w:left="720"/>
        <w:rPr>
          <w:rFonts w:eastAsia="HelenPro-Regular"/>
        </w:rPr>
      </w:pPr>
      <w:r w:rsidRPr="0074537C">
        <w:rPr>
          <w:rFonts w:eastAsia="HelenPro-Regular"/>
        </w:rPr>
        <w:t>1. Verify that the calibrator values are correct in the instrument parameter files.</w:t>
      </w:r>
    </w:p>
    <w:p w:rsidR="00CD2C07" w:rsidRPr="0074537C" w:rsidRDefault="00CD2C07" w:rsidP="00CD2C07">
      <w:pPr>
        <w:autoSpaceDE w:val="0"/>
        <w:autoSpaceDN w:val="0"/>
        <w:adjustRightInd w:val="0"/>
        <w:ind w:left="720"/>
        <w:rPr>
          <w:rFonts w:eastAsia="HelenPro-Regular"/>
        </w:rPr>
      </w:pPr>
      <w:r w:rsidRPr="0074537C">
        <w:rPr>
          <w:rFonts w:eastAsia="HelenPro-Regular"/>
        </w:rPr>
        <w:t>2. Mix bottles by gentle inversion several times.</w:t>
      </w:r>
    </w:p>
    <w:p w:rsidR="00CD2C07" w:rsidRPr="0074537C" w:rsidRDefault="00CD2C07" w:rsidP="00CD2C07">
      <w:pPr>
        <w:autoSpaceDE w:val="0"/>
        <w:autoSpaceDN w:val="0"/>
        <w:adjustRightInd w:val="0"/>
        <w:ind w:left="720"/>
        <w:rPr>
          <w:rFonts w:eastAsia="HelenPro-Regular"/>
        </w:rPr>
      </w:pPr>
      <w:r w:rsidRPr="0074537C">
        <w:rPr>
          <w:rFonts w:eastAsia="HelenPro-Regular"/>
        </w:rPr>
        <w:t>3. Open the bottles, place appropriate amounts of the required calibrators and/or controls in separate sample cups, and place in the assigned positions.</w:t>
      </w:r>
    </w:p>
    <w:p w:rsidR="00CD2C07" w:rsidRPr="0074537C" w:rsidRDefault="00CD2C07" w:rsidP="00CD2C07">
      <w:pPr>
        <w:autoSpaceDE w:val="0"/>
        <w:autoSpaceDN w:val="0"/>
        <w:adjustRightInd w:val="0"/>
        <w:ind w:left="720"/>
        <w:rPr>
          <w:rFonts w:eastAsia="HelenPro-Bold"/>
          <w:b/>
          <w:bCs/>
        </w:rPr>
      </w:pPr>
      <w:r w:rsidRPr="0074537C">
        <w:rPr>
          <w:rFonts w:eastAsia="HelenPro-Regular"/>
        </w:rPr>
        <w:t xml:space="preserve">4. Calibrate as outlined in </w:t>
      </w:r>
      <w:r w:rsidRPr="0074537C">
        <w:rPr>
          <w:rFonts w:eastAsia="HelenPro-Regular"/>
          <w:i/>
          <w:iCs/>
        </w:rPr>
        <w:t xml:space="preserve">Section 6 </w:t>
      </w:r>
      <w:r w:rsidRPr="0074537C">
        <w:rPr>
          <w:rFonts w:eastAsia="HelenPro-Regular"/>
        </w:rPr>
        <w:t xml:space="preserve">of the </w:t>
      </w:r>
      <w:r w:rsidRPr="0074537C">
        <w:rPr>
          <w:rFonts w:eastAsia="HelenPro-Bold"/>
          <w:b/>
          <w:bCs/>
        </w:rPr>
        <w:t>ARCHITECT System Operations Manual</w:t>
      </w:r>
      <w:r w:rsidRPr="0074537C">
        <w:rPr>
          <w:rFonts w:eastAsia="HelenPro-Regular"/>
        </w:rPr>
        <w:t>.</w:t>
      </w:r>
    </w:p>
    <w:p w:rsidR="00CD2C07" w:rsidRPr="0074537C" w:rsidRDefault="00CD2C07" w:rsidP="00CD2C07">
      <w:pPr>
        <w:autoSpaceDE w:val="0"/>
        <w:autoSpaceDN w:val="0"/>
        <w:adjustRightInd w:val="0"/>
        <w:ind w:left="720"/>
        <w:rPr>
          <w:rFonts w:eastAsia="HelenPro-Regular"/>
        </w:rPr>
      </w:pPr>
      <w:r w:rsidRPr="0074537C">
        <w:rPr>
          <w:rFonts w:eastAsia="HelenPro-Regular"/>
        </w:rPr>
        <w:t xml:space="preserve">5. Follow the established quality control procedures for your laboratory and the instructions found in </w:t>
      </w:r>
      <w:r w:rsidRPr="0074537C">
        <w:rPr>
          <w:rFonts w:eastAsia="HelenPro-Regular"/>
          <w:i/>
          <w:iCs/>
        </w:rPr>
        <w:t xml:space="preserve">Section 5 </w:t>
      </w:r>
      <w:r w:rsidRPr="0074537C">
        <w:rPr>
          <w:rFonts w:eastAsia="HelenPro-Regular"/>
        </w:rPr>
        <w:t xml:space="preserve">of the </w:t>
      </w:r>
      <w:r w:rsidRPr="0074537C">
        <w:rPr>
          <w:rFonts w:eastAsia="HelenPro-Bold"/>
          <w:b/>
          <w:bCs/>
        </w:rPr>
        <w:t>ARCHITECT System</w:t>
      </w:r>
      <w:r w:rsidRPr="0074537C">
        <w:rPr>
          <w:rFonts w:eastAsia="HelenPro-Regular"/>
        </w:rPr>
        <w:t xml:space="preserve"> </w:t>
      </w:r>
      <w:r w:rsidRPr="0074537C">
        <w:rPr>
          <w:rFonts w:eastAsia="HelenPro-Bold"/>
          <w:b/>
          <w:bCs/>
        </w:rPr>
        <w:t>Operations Manual</w:t>
      </w:r>
      <w:r w:rsidRPr="0074537C">
        <w:rPr>
          <w:rFonts w:eastAsia="HelenPro-Regular"/>
        </w:rPr>
        <w:t>.</w:t>
      </w:r>
    </w:p>
    <w:p w:rsidR="00CD2C07" w:rsidRPr="0074537C" w:rsidRDefault="00CD2C07" w:rsidP="00CD2C07">
      <w:pPr>
        <w:autoSpaceDE w:val="0"/>
        <w:autoSpaceDN w:val="0"/>
        <w:adjustRightInd w:val="0"/>
        <w:ind w:left="720"/>
        <w:rPr>
          <w:rFonts w:eastAsia="HelenPro-Regular"/>
        </w:rPr>
      </w:pPr>
      <w:r w:rsidRPr="0074537C">
        <w:rPr>
          <w:rFonts w:eastAsia="HelenPro-Regular"/>
        </w:rPr>
        <w:t>6. Cap bottles tightly and return to refrigerated storage after use.</w:t>
      </w:r>
    </w:p>
    <w:p w:rsidR="00AD402C" w:rsidRDefault="00CD2C07" w:rsidP="00CD2C07">
      <w:pPr>
        <w:autoSpaceDE w:val="0"/>
        <w:autoSpaceDN w:val="0"/>
        <w:adjustRightInd w:val="0"/>
        <w:ind w:left="720"/>
        <w:rPr>
          <w:rFonts w:eastAsia="HelenPro-Regular"/>
        </w:rPr>
      </w:pPr>
      <w:r w:rsidRPr="0074537C">
        <w:rPr>
          <w:rFonts w:eastAsia="HelenPro-Regular"/>
        </w:rPr>
        <w:t>7. Verify control results are within acceptable limits before reporting patient results.</w:t>
      </w:r>
    </w:p>
    <w:p w:rsidR="00536F20" w:rsidRPr="0074537C" w:rsidRDefault="00536F20" w:rsidP="00CD2C07">
      <w:pPr>
        <w:autoSpaceDE w:val="0"/>
        <w:autoSpaceDN w:val="0"/>
        <w:adjustRightInd w:val="0"/>
        <w:ind w:left="720"/>
        <w:rPr>
          <w:rFonts w:eastAsia="HelenPro-Regular"/>
        </w:rPr>
      </w:pPr>
    </w:p>
    <w:p w:rsidR="00CD2C07" w:rsidRPr="0074537C" w:rsidRDefault="00CD2C07" w:rsidP="00CD2C07">
      <w:pPr>
        <w:ind w:left="1440"/>
        <w:rPr>
          <w:rFonts w:eastAsia="HelenPro-Regular"/>
        </w:rPr>
      </w:pPr>
    </w:p>
    <w:p w:rsidR="00CD2C07" w:rsidRPr="0074537C" w:rsidRDefault="00CD2C07" w:rsidP="00CD2C07">
      <w:pPr>
        <w:autoSpaceDE w:val="0"/>
        <w:autoSpaceDN w:val="0"/>
        <w:adjustRightInd w:val="0"/>
        <w:ind w:left="720"/>
        <w:rPr>
          <w:rFonts w:eastAsia="HelenPro-Bold"/>
          <w:b/>
          <w:bCs/>
        </w:rPr>
      </w:pPr>
      <w:r w:rsidRPr="0074537C">
        <w:rPr>
          <w:rFonts w:eastAsia="HelenPro-Bold"/>
          <w:b/>
          <w:bCs/>
        </w:rPr>
        <w:t>RESULTS</w:t>
      </w:r>
    </w:p>
    <w:p w:rsidR="006B7455" w:rsidRPr="0074537C" w:rsidRDefault="00D117C7" w:rsidP="00CD2C07">
      <w:pPr>
        <w:autoSpaceDE w:val="0"/>
        <w:autoSpaceDN w:val="0"/>
        <w:adjustRightInd w:val="0"/>
        <w:ind w:left="720"/>
        <w:rPr>
          <w:rFonts w:eastAsia="HelenPro-Bold"/>
          <w:b/>
          <w:bCs/>
          <w:u w:val="single"/>
        </w:rPr>
      </w:pPr>
      <w:r w:rsidRPr="0074537C">
        <w:rPr>
          <w:rFonts w:eastAsia="HelenPro-Regular"/>
          <w:u w:val="single"/>
        </w:rPr>
        <w:t>MULTIGENT DOA MC Cal can be used qualitative or to establish a calibration curve up to 1,000 ng/mL</w:t>
      </w:r>
      <w:r w:rsidR="006B7455" w:rsidRPr="0074537C">
        <w:rPr>
          <w:rFonts w:eastAsia="HelenPro-Regular"/>
          <w:u w:val="single"/>
        </w:rPr>
        <w:t>:</w:t>
      </w:r>
    </w:p>
    <w:p w:rsidR="00CD2C07" w:rsidRPr="0074537C" w:rsidRDefault="00CD2C07" w:rsidP="00CD2C07">
      <w:pPr>
        <w:autoSpaceDE w:val="0"/>
        <w:autoSpaceDN w:val="0"/>
        <w:adjustRightInd w:val="0"/>
        <w:ind w:left="720"/>
        <w:rPr>
          <w:rFonts w:eastAsia="HelenPro-Regular"/>
        </w:rPr>
      </w:pPr>
      <w:r w:rsidRPr="0074537C">
        <w:rPr>
          <w:rFonts w:eastAsia="HelenPro-Regular"/>
        </w:rPr>
        <w:t>The MULTIGENT DOA MC I Cal 2 is used as a qualitative cutoff reference for distinguishing between “positive” and “negative” samples.</w:t>
      </w:r>
    </w:p>
    <w:p w:rsidR="00CD2C07" w:rsidRPr="0074537C" w:rsidRDefault="00CD2C07" w:rsidP="00CD2C07">
      <w:pPr>
        <w:autoSpaceDE w:val="0"/>
        <w:autoSpaceDN w:val="0"/>
        <w:adjustRightInd w:val="0"/>
        <w:ind w:left="720"/>
        <w:rPr>
          <w:rFonts w:eastAsia="HelenPro-Regular"/>
        </w:rPr>
      </w:pPr>
      <w:r w:rsidRPr="0074537C">
        <w:rPr>
          <w:rFonts w:eastAsia="HelenPro-Regular"/>
        </w:rPr>
        <w:t>A sample that gives a change in absorbance rate (ΔmAU/min) equal to or greater than the MULTIGENT DOA MC I Cal 2 is considered positive.</w:t>
      </w:r>
    </w:p>
    <w:p w:rsidR="00CD2C07" w:rsidRPr="0074537C" w:rsidRDefault="00CD2C07" w:rsidP="00CD2C07">
      <w:pPr>
        <w:autoSpaceDE w:val="0"/>
        <w:autoSpaceDN w:val="0"/>
        <w:adjustRightInd w:val="0"/>
        <w:ind w:left="720"/>
        <w:rPr>
          <w:rFonts w:eastAsia="HelenPro-Regular"/>
        </w:rPr>
      </w:pPr>
      <w:r w:rsidRPr="0074537C">
        <w:rPr>
          <w:rFonts w:eastAsia="HelenPro-Regular"/>
        </w:rPr>
        <w:t>A sample that gives a change in absorbance rate (ΔmAU/min) less than that obtained with the MULTIGENT DOA MC I Cal 2 is considered negative.</w:t>
      </w:r>
    </w:p>
    <w:p w:rsidR="00CD2C07" w:rsidRPr="0074537C" w:rsidRDefault="00CD2C07" w:rsidP="00CD2C07">
      <w:pPr>
        <w:autoSpaceDE w:val="0"/>
        <w:autoSpaceDN w:val="0"/>
        <w:adjustRightInd w:val="0"/>
        <w:ind w:left="720"/>
        <w:rPr>
          <w:rFonts w:eastAsia="HelenPro-Regular"/>
        </w:rPr>
      </w:pPr>
      <w:r w:rsidRPr="0074537C">
        <w:rPr>
          <w:rFonts w:eastAsia="HelenPro-Regular"/>
        </w:rPr>
        <w:t>When an estimate of the drug concentration is required, a calibration curve can be established with the MULTIGENT DOA MC Neg Cal and MULTIGENT DOA MC I Cal 1, 2, 3, and 4. The concentration of the sample can be obtained by quantitation from the calibration curve.</w:t>
      </w:r>
    </w:p>
    <w:p w:rsidR="00CD2C07" w:rsidRPr="0074537C" w:rsidRDefault="00CD2C07" w:rsidP="00CD2C07">
      <w:pPr>
        <w:autoSpaceDE w:val="0"/>
        <w:autoSpaceDN w:val="0"/>
        <w:adjustRightInd w:val="0"/>
        <w:ind w:left="720"/>
        <w:rPr>
          <w:rFonts w:eastAsia="HelenPro-Regular"/>
        </w:rPr>
      </w:pPr>
      <w:r w:rsidRPr="0074537C">
        <w:rPr>
          <w:rFonts w:eastAsia="HelenPro-Regular"/>
        </w:rPr>
        <w:t>When the sample concentration is greater than the highest calibrator, it may be diluted with the MULTIGENT DOA MC Neg Cal and retested.</w:t>
      </w:r>
    </w:p>
    <w:p w:rsidR="00CD2C07" w:rsidRPr="0074537C" w:rsidRDefault="00CD2C07" w:rsidP="00CD2C07">
      <w:pPr>
        <w:autoSpaceDE w:val="0"/>
        <w:autoSpaceDN w:val="0"/>
        <w:adjustRightInd w:val="0"/>
        <w:ind w:left="720"/>
        <w:rPr>
          <w:rFonts w:eastAsia="HelenPro-Regular"/>
        </w:rPr>
      </w:pPr>
      <w:r w:rsidRPr="0074537C">
        <w:rPr>
          <w:rFonts w:eastAsia="HelenPro-Regular"/>
        </w:rPr>
        <w:t>The MULTIGENT DOA MC I Control Set should be used to validate assay performance. The result of the controls should be within the range established by each laboratory.</w:t>
      </w:r>
    </w:p>
    <w:p w:rsidR="006B7455" w:rsidRPr="0074537C" w:rsidRDefault="006B7455" w:rsidP="00CD2C07">
      <w:pPr>
        <w:autoSpaceDE w:val="0"/>
        <w:autoSpaceDN w:val="0"/>
        <w:adjustRightInd w:val="0"/>
        <w:ind w:left="720"/>
        <w:rPr>
          <w:rFonts w:eastAsia="HelenPro-Regular"/>
        </w:rPr>
      </w:pPr>
    </w:p>
    <w:p w:rsidR="00AF597C" w:rsidRPr="0074537C" w:rsidRDefault="00AF597C" w:rsidP="0055619E">
      <w:pPr>
        <w:ind w:left="720"/>
        <w:rPr>
          <w:b/>
          <w:bCs/>
        </w:rPr>
      </w:pPr>
      <w:r w:rsidRPr="0074537C">
        <w:rPr>
          <w:b/>
          <w:bCs/>
        </w:rPr>
        <w:t>Troubleshooting and Overall Acceptance Criteria Failure</w:t>
      </w:r>
    </w:p>
    <w:p w:rsidR="00AF597C" w:rsidRPr="0074537C" w:rsidRDefault="00AF597C" w:rsidP="00AF597C">
      <w:pPr>
        <w:ind w:left="900"/>
        <w:rPr>
          <w:bCs/>
        </w:rPr>
      </w:pPr>
    </w:p>
    <w:p w:rsidR="00AF597C" w:rsidRPr="0074537C" w:rsidRDefault="0055619E" w:rsidP="00AF597C">
      <w:pPr>
        <w:ind w:left="720"/>
        <w:rPr>
          <w:bCs/>
          <w:highlight w:val="cyan"/>
        </w:rPr>
      </w:pPr>
      <w:r w:rsidRPr="0074537C">
        <w:rPr>
          <w:bCs/>
        </w:rPr>
        <w:t>See ARCHITECT Operations Manual for further calibration troubleshooting.</w:t>
      </w:r>
    </w:p>
    <w:p w:rsidR="0055619E" w:rsidRPr="0074537C" w:rsidRDefault="0055619E" w:rsidP="004F5F8A">
      <w:pPr>
        <w:ind w:left="720"/>
      </w:pPr>
    </w:p>
    <w:p w:rsidR="00912FE4" w:rsidRPr="0074537C" w:rsidRDefault="00912FE4" w:rsidP="0025031C">
      <w:pPr>
        <w:rPr>
          <w:b/>
          <w:sz w:val="28"/>
          <w:szCs w:val="28"/>
        </w:rPr>
      </w:pPr>
    </w:p>
    <w:p w:rsidR="00D60AFA" w:rsidRPr="0074537C" w:rsidRDefault="0025031C" w:rsidP="00D60AFA">
      <w:pPr>
        <w:spacing w:after="43"/>
        <w:rPr>
          <w:i/>
          <w:color w:val="FF0000"/>
          <w:szCs w:val="15"/>
        </w:rPr>
      </w:pPr>
      <w:r w:rsidRPr="0074537C">
        <w:rPr>
          <w:b/>
          <w:sz w:val="28"/>
          <w:szCs w:val="28"/>
        </w:rPr>
        <w:t>Quality Control:</w:t>
      </w:r>
      <w:r w:rsidR="00D60AFA" w:rsidRPr="0074537C">
        <w:rPr>
          <w:b/>
          <w:sz w:val="28"/>
          <w:szCs w:val="28"/>
        </w:rPr>
        <w:t xml:space="preserve"> </w:t>
      </w:r>
    </w:p>
    <w:p w:rsidR="00F3700B" w:rsidRPr="0074537C" w:rsidRDefault="00F3700B" w:rsidP="00F3700B">
      <w:pPr>
        <w:autoSpaceDE w:val="0"/>
        <w:autoSpaceDN w:val="0"/>
        <w:adjustRightInd w:val="0"/>
        <w:ind w:left="720"/>
        <w:rPr>
          <w:rFonts w:eastAsia="HelenPro-Regular"/>
        </w:rPr>
      </w:pPr>
      <w:r w:rsidRPr="0074537C">
        <w:rPr>
          <w:rFonts w:eastAsia="HelenPro-Regular"/>
        </w:rPr>
        <w:t>Abbott recommends, refer to your laboratory standard operating procedure(s) and/or quality assurance plan for additional quality control requirements and potential corrective actions:</w:t>
      </w:r>
    </w:p>
    <w:p w:rsidR="00F3700B" w:rsidRPr="0074537C" w:rsidRDefault="00F3700B" w:rsidP="00F3700B">
      <w:pPr>
        <w:autoSpaceDE w:val="0"/>
        <w:autoSpaceDN w:val="0"/>
        <w:adjustRightInd w:val="0"/>
        <w:ind w:left="720"/>
        <w:rPr>
          <w:rFonts w:eastAsia="HelenPro-Regular"/>
        </w:rPr>
      </w:pPr>
      <w:r w:rsidRPr="0074537C">
        <w:rPr>
          <w:rFonts w:eastAsia="HelenPro-Regular"/>
        </w:rPr>
        <w:t>• Two levels of controls (normal and abnormal) are to be run every 24 hours.</w:t>
      </w:r>
    </w:p>
    <w:p w:rsidR="00F3700B" w:rsidRPr="0074537C" w:rsidRDefault="00F3700B" w:rsidP="00F3700B">
      <w:pPr>
        <w:autoSpaceDE w:val="0"/>
        <w:autoSpaceDN w:val="0"/>
        <w:adjustRightInd w:val="0"/>
        <w:ind w:left="720"/>
        <w:rPr>
          <w:rFonts w:eastAsia="HelenPro-Regular"/>
        </w:rPr>
      </w:pPr>
      <w:r w:rsidRPr="0074537C">
        <w:rPr>
          <w:rFonts w:eastAsia="HelenPro-Regular"/>
        </w:rPr>
        <w:t>• If more frequent control monitoring is required, follow the established quality control procedures for your laboratory.</w:t>
      </w:r>
    </w:p>
    <w:p w:rsidR="00F3700B" w:rsidRPr="0074537C" w:rsidRDefault="00F3700B" w:rsidP="00F3700B">
      <w:pPr>
        <w:autoSpaceDE w:val="0"/>
        <w:autoSpaceDN w:val="0"/>
        <w:adjustRightInd w:val="0"/>
        <w:ind w:left="720"/>
        <w:rPr>
          <w:rFonts w:eastAsia="HelenPro-Regular"/>
        </w:rPr>
      </w:pPr>
      <w:r w:rsidRPr="0074537C">
        <w:rPr>
          <w:rFonts w:eastAsia="HelenPro-Regular"/>
        </w:rPr>
        <w:t>• If quality control results do not meet the acceptance criteria defined by your laboratory, patient values may be suspect. Follow the established quality control procedures for your laboratory.</w:t>
      </w:r>
    </w:p>
    <w:p w:rsidR="00F3700B" w:rsidRPr="0074537C" w:rsidRDefault="00F3700B" w:rsidP="00F3700B">
      <w:pPr>
        <w:autoSpaceDE w:val="0"/>
        <w:autoSpaceDN w:val="0"/>
        <w:adjustRightInd w:val="0"/>
        <w:ind w:left="720"/>
        <w:rPr>
          <w:rFonts w:eastAsia="HelenPro-Regular"/>
        </w:rPr>
      </w:pPr>
      <w:r w:rsidRPr="0074537C">
        <w:rPr>
          <w:rFonts w:eastAsia="HelenPro-Regular"/>
        </w:rPr>
        <w:t>Recalibration may be necessary.</w:t>
      </w:r>
    </w:p>
    <w:p w:rsidR="00973EAF" w:rsidRPr="0074537C" w:rsidRDefault="00F3700B" w:rsidP="00F3700B">
      <w:pPr>
        <w:autoSpaceDE w:val="0"/>
        <w:autoSpaceDN w:val="0"/>
        <w:adjustRightInd w:val="0"/>
        <w:ind w:left="720"/>
        <w:rPr>
          <w:rFonts w:eastAsia="HelenPro-Regular"/>
        </w:rPr>
      </w:pPr>
      <w:r w:rsidRPr="0074537C">
        <w:rPr>
          <w:rFonts w:eastAsia="HelenPro-Regular"/>
        </w:rPr>
        <w:t>• Review quality control results and acceptance criteria following a change of reagent or calibrator lot.</w:t>
      </w:r>
    </w:p>
    <w:p w:rsidR="00F3700B" w:rsidRPr="0074537C" w:rsidRDefault="00F3700B" w:rsidP="00F66836">
      <w:pPr>
        <w:rPr>
          <w:b/>
          <w:sz w:val="28"/>
          <w:szCs w:val="28"/>
        </w:rPr>
      </w:pPr>
    </w:p>
    <w:p w:rsidR="00F66836" w:rsidRPr="0074537C" w:rsidRDefault="00F66836" w:rsidP="00F66836">
      <w:pPr>
        <w:rPr>
          <w:b/>
          <w:sz w:val="28"/>
          <w:szCs w:val="28"/>
        </w:rPr>
      </w:pPr>
      <w:r w:rsidRPr="0074537C">
        <w:rPr>
          <w:b/>
          <w:sz w:val="28"/>
          <w:szCs w:val="28"/>
        </w:rPr>
        <w:t>Procedure</w:t>
      </w:r>
      <w:r w:rsidR="006D40ED" w:rsidRPr="0074537C">
        <w:rPr>
          <w:b/>
          <w:sz w:val="28"/>
          <w:szCs w:val="28"/>
        </w:rPr>
        <w:t xml:space="preserve"> </w:t>
      </w:r>
    </w:p>
    <w:p w:rsidR="00B36577" w:rsidRPr="0074537C" w:rsidRDefault="00A554D4" w:rsidP="002C7FD5">
      <w:pPr>
        <w:rPr>
          <w:rFonts w:eastAsia="HelenPro-Regular"/>
        </w:rPr>
      </w:pPr>
      <w:r w:rsidRPr="0074537C">
        <w:rPr>
          <w:rFonts w:eastAsia="HelenPro-Regular"/>
        </w:rPr>
        <w:t xml:space="preserve">For a detailed description of how to run an assay, refer to </w:t>
      </w:r>
      <w:r w:rsidRPr="0074537C">
        <w:rPr>
          <w:i/>
          <w:iCs/>
        </w:rPr>
        <w:t xml:space="preserve">Section 5 </w:t>
      </w:r>
      <w:r w:rsidRPr="0074537C">
        <w:rPr>
          <w:rFonts w:eastAsia="HelenPro-Regular"/>
        </w:rPr>
        <w:t xml:space="preserve">of the </w:t>
      </w:r>
      <w:r w:rsidRPr="0074537C">
        <w:rPr>
          <w:b/>
          <w:bCs/>
        </w:rPr>
        <w:t>ARCHITECT System Operations Manual</w:t>
      </w:r>
      <w:r w:rsidRPr="0074537C">
        <w:rPr>
          <w:rFonts w:eastAsia="HelenPro-Regular"/>
        </w:rPr>
        <w:t>.</w:t>
      </w:r>
    </w:p>
    <w:p w:rsidR="00162724" w:rsidRPr="0074537C" w:rsidRDefault="00162724" w:rsidP="002C7FD5">
      <w:pPr>
        <w:rPr>
          <w:rFonts w:eastAsia="HelenPro-Regular"/>
        </w:rPr>
      </w:pPr>
    </w:p>
    <w:p w:rsidR="00536F20" w:rsidRDefault="00536F20" w:rsidP="009615C8">
      <w:pPr>
        <w:autoSpaceDE w:val="0"/>
        <w:autoSpaceDN w:val="0"/>
        <w:adjustRightInd w:val="0"/>
        <w:rPr>
          <w:rFonts w:eastAsia="HelenPro-Bold"/>
          <w:b/>
          <w:bCs/>
        </w:rPr>
      </w:pPr>
    </w:p>
    <w:p w:rsidR="00536F20" w:rsidRDefault="00536F20" w:rsidP="009615C8">
      <w:pPr>
        <w:autoSpaceDE w:val="0"/>
        <w:autoSpaceDN w:val="0"/>
        <w:adjustRightInd w:val="0"/>
        <w:rPr>
          <w:rFonts w:eastAsia="HelenPro-Bold"/>
          <w:b/>
          <w:bCs/>
        </w:rPr>
      </w:pPr>
    </w:p>
    <w:p w:rsidR="00536F20" w:rsidRDefault="00536F20" w:rsidP="009615C8">
      <w:pPr>
        <w:autoSpaceDE w:val="0"/>
        <w:autoSpaceDN w:val="0"/>
        <w:adjustRightInd w:val="0"/>
        <w:rPr>
          <w:rFonts w:eastAsia="HelenPro-Bold"/>
          <w:b/>
          <w:bCs/>
        </w:rPr>
      </w:pPr>
    </w:p>
    <w:p w:rsidR="00536F20" w:rsidRDefault="00536F20" w:rsidP="009615C8">
      <w:pPr>
        <w:autoSpaceDE w:val="0"/>
        <w:autoSpaceDN w:val="0"/>
        <w:adjustRightInd w:val="0"/>
        <w:rPr>
          <w:rFonts w:eastAsia="HelenPro-Bold"/>
          <w:b/>
          <w:bCs/>
        </w:rPr>
      </w:pPr>
    </w:p>
    <w:p w:rsidR="00536F20" w:rsidRDefault="00536F20" w:rsidP="009615C8">
      <w:pPr>
        <w:autoSpaceDE w:val="0"/>
        <w:autoSpaceDN w:val="0"/>
        <w:adjustRightInd w:val="0"/>
        <w:rPr>
          <w:rFonts w:eastAsia="HelenPro-Bold"/>
          <w:b/>
          <w:bCs/>
        </w:rPr>
      </w:pPr>
    </w:p>
    <w:p w:rsidR="00536F20" w:rsidRDefault="00536F20" w:rsidP="009615C8">
      <w:pPr>
        <w:autoSpaceDE w:val="0"/>
        <w:autoSpaceDN w:val="0"/>
        <w:adjustRightInd w:val="0"/>
        <w:rPr>
          <w:rFonts w:eastAsia="HelenPro-Bold"/>
          <w:b/>
          <w:bCs/>
        </w:rPr>
      </w:pPr>
    </w:p>
    <w:p w:rsidR="00536F20" w:rsidRDefault="00536F20" w:rsidP="009615C8">
      <w:pPr>
        <w:autoSpaceDE w:val="0"/>
        <w:autoSpaceDN w:val="0"/>
        <w:adjustRightInd w:val="0"/>
        <w:rPr>
          <w:rFonts w:eastAsia="HelenPro-Bold"/>
          <w:b/>
          <w:bCs/>
        </w:rPr>
      </w:pPr>
    </w:p>
    <w:p w:rsidR="009615C8" w:rsidRPr="0074537C" w:rsidRDefault="009615C8" w:rsidP="009615C8">
      <w:pPr>
        <w:autoSpaceDE w:val="0"/>
        <w:autoSpaceDN w:val="0"/>
        <w:adjustRightInd w:val="0"/>
        <w:rPr>
          <w:rFonts w:eastAsia="HelenPro-Bold"/>
          <w:b/>
          <w:bCs/>
        </w:rPr>
      </w:pPr>
      <w:r w:rsidRPr="0074537C">
        <w:rPr>
          <w:rFonts w:eastAsia="HelenPro-Bold"/>
          <w:b/>
          <w:bCs/>
        </w:rPr>
        <w:t>Qualitative Analysis</w:t>
      </w:r>
    </w:p>
    <w:p w:rsidR="009615C8" w:rsidRPr="0074537C" w:rsidRDefault="00652424" w:rsidP="009615C8">
      <w:pPr>
        <w:autoSpaceDE w:val="0"/>
        <w:autoSpaceDN w:val="0"/>
        <w:adjustRightInd w:val="0"/>
        <w:rPr>
          <w:rFonts w:eastAsia="HelenPro-Regular"/>
        </w:rPr>
      </w:pPr>
      <w:r w:rsidRPr="0074537C">
        <w:rPr>
          <w:noProof/>
        </w:rPr>
        <w:drawing>
          <wp:inline distT="0" distB="0" distL="0" distR="0" wp14:anchorId="72B2EF54" wp14:editId="559469B8">
            <wp:extent cx="4286250" cy="2457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86250" cy="2457450"/>
                    </a:xfrm>
                    <a:prstGeom prst="rect">
                      <a:avLst/>
                    </a:prstGeom>
                  </pic:spPr>
                </pic:pic>
              </a:graphicData>
            </a:graphic>
          </wp:inline>
        </w:drawing>
      </w:r>
    </w:p>
    <w:p w:rsidR="009615C8" w:rsidRPr="0074537C" w:rsidRDefault="009615C8" w:rsidP="009615C8">
      <w:pPr>
        <w:autoSpaceDE w:val="0"/>
        <w:autoSpaceDN w:val="0"/>
        <w:adjustRightInd w:val="0"/>
        <w:rPr>
          <w:rFonts w:eastAsia="HelenPro-Bold"/>
          <w:b/>
          <w:bCs/>
        </w:rPr>
      </w:pPr>
    </w:p>
    <w:p w:rsidR="009615C8" w:rsidRPr="0074537C" w:rsidRDefault="009615C8" w:rsidP="00F3700B">
      <w:pPr>
        <w:rPr>
          <w:b/>
          <w:sz w:val="28"/>
          <w:szCs w:val="28"/>
        </w:rPr>
      </w:pPr>
    </w:p>
    <w:p w:rsidR="006D40ED" w:rsidRPr="0074537C" w:rsidRDefault="00132081" w:rsidP="00F3700B">
      <w:pPr>
        <w:rPr>
          <w:i/>
          <w:color w:val="FF0000"/>
          <w:sz w:val="28"/>
          <w:szCs w:val="28"/>
        </w:rPr>
      </w:pPr>
      <w:r w:rsidRPr="0074537C">
        <w:rPr>
          <w:b/>
          <w:sz w:val="28"/>
          <w:szCs w:val="28"/>
        </w:rPr>
        <w:t>Calculations</w:t>
      </w:r>
      <w:r w:rsidR="00D60AFA" w:rsidRPr="0074537C">
        <w:rPr>
          <w:b/>
          <w:sz w:val="28"/>
          <w:szCs w:val="28"/>
        </w:rPr>
        <w:t xml:space="preserve"> </w:t>
      </w:r>
    </w:p>
    <w:p w:rsidR="00A554D4" w:rsidRPr="0074537C" w:rsidRDefault="00A554D4" w:rsidP="00AB793D">
      <w:pPr>
        <w:rPr>
          <w:rFonts w:eastAsia="HelenPro-Regular"/>
        </w:rPr>
      </w:pPr>
      <w:r w:rsidRPr="0074537C">
        <w:rPr>
          <w:rFonts w:eastAsia="HelenPro-Regular"/>
        </w:rPr>
        <w:t xml:space="preserve">Refer to </w:t>
      </w:r>
      <w:r w:rsidRPr="0074537C">
        <w:rPr>
          <w:rFonts w:eastAsia="HelenPro-Regular"/>
          <w:i/>
          <w:iCs/>
        </w:rPr>
        <w:t xml:space="preserve">Appendix C </w:t>
      </w:r>
      <w:r w:rsidRPr="0074537C">
        <w:rPr>
          <w:rFonts w:eastAsia="HelenPro-Regular"/>
        </w:rPr>
        <w:t xml:space="preserve">of the </w:t>
      </w:r>
      <w:r w:rsidRPr="0074537C">
        <w:rPr>
          <w:rFonts w:eastAsia="HelenPro-Regular"/>
          <w:b/>
          <w:bCs/>
        </w:rPr>
        <w:t xml:space="preserve">ARCHITECT System Operations Manual </w:t>
      </w:r>
      <w:r w:rsidRPr="0074537C">
        <w:rPr>
          <w:rFonts w:eastAsia="HelenPro-Regular"/>
        </w:rPr>
        <w:t>for</w:t>
      </w:r>
      <w:r w:rsidR="00D64E39" w:rsidRPr="0074537C">
        <w:rPr>
          <w:rFonts w:eastAsia="HelenPro-Regular"/>
        </w:rPr>
        <w:t xml:space="preserve"> </w:t>
      </w:r>
      <w:r w:rsidRPr="0074537C">
        <w:rPr>
          <w:rFonts w:eastAsia="HelenPro-Regular"/>
        </w:rPr>
        <w:t>information on results calculations.</w:t>
      </w:r>
    </w:p>
    <w:p w:rsidR="00F92520" w:rsidRPr="0074537C" w:rsidRDefault="00F92520" w:rsidP="00A554D4">
      <w:pPr>
        <w:ind w:left="1530"/>
        <w:rPr>
          <w:rFonts w:eastAsia="HelenPro-Regular"/>
        </w:rPr>
      </w:pPr>
    </w:p>
    <w:p w:rsidR="000A090B" w:rsidRPr="0074537C" w:rsidRDefault="00132081" w:rsidP="000A090B">
      <w:pPr>
        <w:jc w:val="both"/>
        <w:rPr>
          <w:sz w:val="28"/>
          <w:szCs w:val="28"/>
        </w:rPr>
      </w:pPr>
      <w:r w:rsidRPr="0074537C">
        <w:rPr>
          <w:b/>
          <w:sz w:val="28"/>
          <w:szCs w:val="28"/>
        </w:rPr>
        <w:t>Reporting Results</w:t>
      </w:r>
      <w:r w:rsidR="000A090B" w:rsidRPr="0074537C">
        <w:rPr>
          <w:sz w:val="28"/>
          <w:szCs w:val="28"/>
        </w:rPr>
        <w:t xml:space="preserve"> </w:t>
      </w:r>
    </w:p>
    <w:p w:rsidR="0074537C" w:rsidRPr="0074537C" w:rsidRDefault="0074537C" w:rsidP="000A090B">
      <w:pPr>
        <w:jc w:val="both"/>
        <w:rPr>
          <w:sz w:val="28"/>
          <w:szCs w:val="28"/>
        </w:rPr>
      </w:pPr>
    </w:p>
    <w:p w:rsidR="00652424" w:rsidRPr="0074537C" w:rsidRDefault="00652424" w:rsidP="00652424">
      <w:pPr>
        <w:autoSpaceDE w:val="0"/>
        <w:autoSpaceDN w:val="0"/>
        <w:adjustRightInd w:val="0"/>
        <w:rPr>
          <w:rFonts w:eastAsia="HelenPro-Bold"/>
          <w:bCs/>
        </w:rPr>
      </w:pPr>
      <w:r w:rsidRPr="0074537C">
        <w:rPr>
          <w:rFonts w:eastAsia="HelenPro-Bold"/>
          <w:b/>
          <w:bCs/>
        </w:rPr>
        <w:t>Qualitative Results</w:t>
      </w:r>
      <w:r w:rsidR="0074537C" w:rsidRPr="0074537C">
        <w:rPr>
          <w:rFonts w:eastAsia="HelenPro-Bold"/>
          <w:b/>
          <w:bCs/>
        </w:rPr>
        <w:t xml:space="preserve">: </w:t>
      </w:r>
      <w:r w:rsidR="00536F20">
        <w:rPr>
          <w:rFonts w:eastAsia="HelenPro-Bold"/>
          <w:bCs/>
        </w:rPr>
        <w:t>Cutoff = 300</w:t>
      </w:r>
      <w:r w:rsidR="0074537C" w:rsidRPr="0074537C">
        <w:rPr>
          <w:rFonts w:eastAsia="HelenPro-Bold"/>
          <w:bCs/>
        </w:rPr>
        <w:t xml:space="preserve"> ng/mL</w:t>
      </w:r>
    </w:p>
    <w:p w:rsidR="0074537C" w:rsidRPr="0074537C" w:rsidRDefault="0074537C" w:rsidP="00652424">
      <w:pPr>
        <w:autoSpaceDE w:val="0"/>
        <w:autoSpaceDN w:val="0"/>
        <w:adjustRightInd w:val="0"/>
        <w:rPr>
          <w:rFonts w:eastAsia="HelenPro-Bold"/>
          <w:bCs/>
        </w:rPr>
      </w:pPr>
    </w:p>
    <w:p w:rsidR="00652424" w:rsidRPr="0074537C" w:rsidRDefault="00652424" w:rsidP="00652424">
      <w:pPr>
        <w:autoSpaceDE w:val="0"/>
        <w:autoSpaceDN w:val="0"/>
        <w:adjustRightInd w:val="0"/>
        <w:rPr>
          <w:rFonts w:eastAsia="HelenPro-Regular"/>
        </w:rPr>
      </w:pPr>
      <w:r w:rsidRPr="0074537C">
        <w:rPr>
          <w:rFonts w:eastAsia="HelenPro-Regular"/>
        </w:rPr>
        <w:t>A sample that exhibits a change in absorbance rate (ΔmAU/min) equal to or greater than the value obtained with the cutoff calibrator is considered positive.</w:t>
      </w:r>
    </w:p>
    <w:p w:rsidR="00652424" w:rsidRPr="0074537C" w:rsidRDefault="00652424" w:rsidP="00652424">
      <w:pPr>
        <w:autoSpaceDE w:val="0"/>
        <w:autoSpaceDN w:val="0"/>
        <w:adjustRightInd w:val="0"/>
        <w:rPr>
          <w:rFonts w:eastAsia="HelenPro-Regular"/>
        </w:rPr>
      </w:pPr>
      <w:r w:rsidRPr="0074537C">
        <w:rPr>
          <w:rFonts w:eastAsia="HelenPro-Regular"/>
        </w:rPr>
        <w:t>A sample that exhibits a change in absorbance rate (ΔmAU/min) lower than the value obtained with the cutoff calibrator is considered negative.</w:t>
      </w:r>
    </w:p>
    <w:p w:rsidR="0074537C" w:rsidRPr="0074537C" w:rsidRDefault="0074537C" w:rsidP="00AB793D">
      <w:pPr>
        <w:rPr>
          <w:b/>
          <w:bCs/>
          <w:sz w:val="28"/>
          <w:szCs w:val="28"/>
        </w:rPr>
      </w:pPr>
    </w:p>
    <w:p w:rsidR="0074537C" w:rsidRPr="0074537C" w:rsidRDefault="0074537C" w:rsidP="00AB793D">
      <w:pPr>
        <w:rPr>
          <w:b/>
          <w:bCs/>
          <w:sz w:val="28"/>
          <w:szCs w:val="28"/>
        </w:rPr>
      </w:pPr>
    </w:p>
    <w:p w:rsidR="00912FE4" w:rsidRPr="0074537C" w:rsidRDefault="00912FE4" w:rsidP="00AB793D">
      <w:pPr>
        <w:rPr>
          <w:b/>
          <w:bCs/>
          <w:sz w:val="28"/>
          <w:szCs w:val="28"/>
        </w:rPr>
      </w:pPr>
      <w:r w:rsidRPr="0074537C">
        <w:rPr>
          <w:b/>
          <w:bCs/>
          <w:sz w:val="28"/>
          <w:szCs w:val="28"/>
        </w:rPr>
        <w:t>Specific Performance Characteristics</w:t>
      </w:r>
      <w:r w:rsidR="00D60AFA" w:rsidRPr="0074537C">
        <w:rPr>
          <w:b/>
          <w:bCs/>
          <w:sz w:val="28"/>
          <w:szCs w:val="28"/>
        </w:rPr>
        <w:t xml:space="preserve"> </w:t>
      </w:r>
    </w:p>
    <w:p w:rsidR="0038442D" w:rsidRPr="0074537C" w:rsidRDefault="0038442D" w:rsidP="00AB793D">
      <w:pPr>
        <w:rPr>
          <w:b/>
        </w:rPr>
      </w:pPr>
    </w:p>
    <w:p w:rsidR="00D5211B" w:rsidRPr="0074537C" w:rsidRDefault="005E3D52" w:rsidP="00AB793D">
      <w:pPr>
        <w:rPr>
          <w:i/>
          <w:color w:val="FF0000"/>
        </w:rPr>
      </w:pPr>
      <w:r w:rsidRPr="0074537C">
        <w:rPr>
          <w:b/>
        </w:rPr>
        <w:t>Performance Characteristics</w:t>
      </w:r>
      <w:r w:rsidR="00973EAF" w:rsidRPr="0074537C">
        <w:rPr>
          <w:b/>
        </w:rPr>
        <w:t xml:space="preserve"> </w:t>
      </w:r>
    </w:p>
    <w:p w:rsidR="00B45FE2" w:rsidRPr="0074537C" w:rsidRDefault="00B45FE2" w:rsidP="00B45FE2">
      <w:pPr>
        <w:autoSpaceDE w:val="0"/>
        <w:autoSpaceDN w:val="0"/>
        <w:adjustRightInd w:val="0"/>
        <w:rPr>
          <w:rFonts w:eastAsia="HelenPro-Bold"/>
          <w:b/>
          <w:bCs/>
        </w:rPr>
      </w:pPr>
    </w:p>
    <w:p w:rsidR="00E54D14" w:rsidRPr="0074537C" w:rsidRDefault="00E54D14" w:rsidP="00E54D14">
      <w:pPr>
        <w:autoSpaceDE w:val="0"/>
        <w:autoSpaceDN w:val="0"/>
        <w:adjustRightInd w:val="0"/>
        <w:rPr>
          <w:rFonts w:eastAsia="HelenPro-Bold"/>
          <w:b/>
          <w:bCs/>
        </w:rPr>
      </w:pPr>
      <w:r w:rsidRPr="0074537C">
        <w:rPr>
          <w:rFonts w:eastAsia="HelenPro-Bold"/>
          <w:b/>
          <w:bCs/>
        </w:rPr>
        <w:t>Sensitivity</w:t>
      </w:r>
    </w:p>
    <w:p w:rsidR="00082815" w:rsidRPr="0074537C" w:rsidRDefault="00652424" w:rsidP="00652424">
      <w:pPr>
        <w:autoSpaceDE w:val="0"/>
        <w:autoSpaceDN w:val="0"/>
        <w:adjustRightInd w:val="0"/>
        <w:rPr>
          <w:rFonts w:eastAsia="HelenPro-Regular"/>
        </w:rPr>
      </w:pPr>
      <w:r w:rsidRPr="0074537C">
        <w:rPr>
          <w:rFonts w:eastAsia="HelenPro-Regular"/>
        </w:rPr>
        <w:t xml:space="preserve">Sensitivity is defined as the lowest concentration that can be differentiated from the negative urine with 99% confidence. Using the parameters for the semiquantitative range of up to 1,000 ng/mL or cutoff of 300 ng/mL, the sensitivity is 10.3 ng/mL. Performance studies for MULTIGENT Opiates produced a sensitivity of 10.3 ng/mL on an ARCHITECT </w:t>
      </w:r>
      <w:r w:rsidRPr="0074537C">
        <w:rPr>
          <w:rFonts w:eastAsia="HelenPro-Regular"/>
          <w:i/>
          <w:iCs/>
        </w:rPr>
        <w:t xml:space="preserve">c </w:t>
      </w:r>
      <w:r w:rsidRPr="0074537C">
        <w:rPr>
          <w:rFonts w:eastAsia="HelenPro-Regular"/>
        </w:rPr>
        <w:t xml:space="preserve">System. Using the parameters for the semiquantitative range of up to 6,000 ng/ mL or cutoff of 2,000 ng/mL, the sensitivity is 44.1 ng/mL. Performance studies for MULTIGENT Opiates produced a sensitivity of 44.1 ng/mL on an ARCHITECT </w:t>
      </w:r>
      <w:r w:rsidRPr="0074537C">
        <w:rPr>
          <w:rFonts w:eastAsia="HelenPro-Regular"/>
          <w:i/>
          <w:iCs/>
        </w:rPr>
        <w:t xml:space="preserve">c </w:t>
      </w:r>
      <w:r w:rsidRPr="0074537C">
        <w:rPr>
          <w:rFonts w:eastAsia="HelenPro-Regular"/>
        </w:rPr>
        <w:t>System.</w:t>
      </w:r>
    </w:p>
    <w:p w:rsidR="00652424" w:rsidRDefault="00652424" w:rsidP="00E54D14">
      <w:pPr>
        <w:autoSpaceDE w:val="0"/>
        <w:autoSpaceDN w:val="0"/>
        <w:adjustRightInd w:val="0"/>
        <w:rPr>
          <w:rFonts w:eastAsia="HelenPro-Bold"/>
          <w:b/>
          <w:bCs/>
        </w:rPr>
      </w:pPr>
    </w:p>
    <w:p w:rsidR="00EE6BD9" w:rsidRDefault="00EE6BD9" w:rsidP="00E54D14">
      <w:pPr>
        <w:autoSpaceDE w:val="0"/>
        <w:autoSpaceDN w:val="0"/>
        <w:adjustRightInd w:val="0"/>
        <w:rPr>
          <w:rFonts w:eastAsia="HelenPro-Bold"/>
          <w:b/>
          <w:bCs/>
        </w:rPr>
      </w:pPr>
    </w:p>
    <w:p w:rsidR="00EE6BD9" w:rsidRPr="0074537C" w:rsidRDefault="00EE6BD9" w:rsidP="00E54D14">
      <w:pPr>
        <w:autoSpaceDE w:val="0"/>
        <w:autoSpaceDN w:val="0"/>
        <w:adjustRightInd w:val="0"/>
        <w:rPr>
          <w:rFonts w:eastAsia="HelenPro-Bold"/>
          <w:b/>
          <w:bCs/>
        </w:rPr>
      </w:pPr>
    </w:p>
    <w:p w:rsidR="00E54D14" w:rsidRPr="0074537C" w:rsidRDefault="00E54D14" w:rsidP="00E54D14">
      <w:pPr>
        <w:autoSpaceDE w:val="0"/>
        <w:autoSpaceDN w:val="0"/>
        <w:adjustRightInd w:val="0"/>
        <w:rPr>
          <w:rFonts w:eastAsia="HelenPro-Bold"/>
          <w:b/>
          <w:bCs/>
        </w:rPr>
      </w:pPr>
      <w:r w:rsidRPr="0074537C">
        <w:rPr>
          <w:rFonts w:eastAsia="HelenPro-Bold"/>
          <w:b/>
          <w:bCs/>
        </w:rPr>
        <w:t>Accuracy</w:t>
      </w:r>
    </w:p>
    <w:p w:rsidR="00415171" w:rsidRPr="0074537C" w:rsidRDefault="00652424" w:rsidP="00652424">
      <w:pPr>
        <w:autoSpaceDE w:val="0"/>
        <w:autoSpaceDN w:val="0"/>
        <w:adjustRightInd w:val="0"/>
        <w:rPr>
          <w:rFonts w:eastAsia="HelenPro-Regular"/>
        </w:rPr>
      </w:pPr>
      <w:r w:rsidRPr="0074537C">
        <w:rPr>
          <w:rFonts w:eastAsia="HelenPro-Regular"/>
        </w:rPr>
        <w:t>One hundred seventy-nine clinical urine specimens were tested using the 300 ng/mL calibrator as the cutoff and analyzed by GC/MS. Ninety-one samples were positive, 81 were negative, and seven had false positive results. One hundred sixty-three clinical urine specimens were tested using the 2,000 ng/mL calibrator as the cutoff and analyzed by GC/MS. Eighty-nine were positive, 70 were negative, and four had false positive results.</w:t>
      </w:r>
    </w:p>
    <w:p w:rsidR="00652424" w:rsidRPr="0074537C" w:rsidRDefault="00652424" w:rsidP="009615C8">
      <w:pPr>
        <w:autoSpaceDE w:val="0"/>
        <w:autoSpaceDN w:val="0"/>
        <w:adjustRightInd w:val="0"/>
        <w:rPr>
          <w:b/>
          <w:bCs/>
          <w:i/>
          <w:iCs/>
        </w:rPr>
      </w:pPr>
    </w:p>
    <w:p w:rsidR="00EF7552" w:rsidRDefault="00EF7552" w:rsidP="00EF7552">
      <w:pPr>
        <w:autoSpaceDE w:val="0"/>
        <w:autoSpaceDN w:val="0"/>
        <w:adjustRightInd w:val="0"/>
        <w:rPr>
          <w:rFonts w:eastAsia="HelenPro-Bold"/>
          <w:b/>
          <w:bCs/>
        </w:rPr>
      </w:pPr>
      <w:r w:rsidRPr="0074537C">
        <w:rPr>
          <w:rFonts w:eastAsia="HelenPro-Bold"/>
          <w:b/>
          <w:bCs/>
        </w:rPr>
        <w:t>Qualitative</w:t>
      </w:r>
    </w:p>
    <w:p w:rsidR="00695650" w:rsidRPr="00695650" w:rsidRDefault="00695650" w:rsidP="00695650">
      <w:pPr>
        <w:autoSpaceDE w:val="0"/>
        <w:autoSpaceDN w:val="0"/>
        <w:adjustRightInd w:val="0"/>
        <w:rPr>
          <w:rFonts w:eastAsia="HelenPro-Bold"/>
          <w:bCs/>
        </w:rPr>
      </w:pPr>
      <w:r w:rsidRPr="00695650">
        <w:rPr>
          <w:rFonts w:eastAsia="HelenPro-Bold"/>
          <w:bCs/>
          <w:i/>
        </w:rPr>
        <w:t>300 ng/mL Cutoff</w:t>
      </w:r>
    </w:p>
    <w:p w:rsidR="00695650" w:rsidRDefault="00695650" w:rsidP="00695650">
      <w:pPr>
        <w:autoSpaceDE w:val="0"/>
        <w:autoSpaceDN w:val="0"/>
        <w:adjustRightInd w:val="0"/>
        <w:rPr>
          <w:rFonts w:eastAsia="HelenPro-Bold"/>
          <w:bCs/>
        </w:rPr>
      </w:pPr>
      <w:r w:rsidRPr="00695650">
        <w:rPr>
          <w:rFonts w:eastAsia="HelenPro-Bold"/>
          <w:bCs/>
        </w:rPr>
        <w:t>There was 100% agreement between the two methods. Fifty-two samples were positive and 57 were negative on both analyzers. Seven samples had results between the cutoff calibrator and –50% of the cutoff calibrator. Fourteen samples had results between the cutoff calibrator and +50% of the cutoff calibrator.</w:t>
      </w:r>
    </w:p>
    <w:p w:rsidR="00C50220" w:rsidRDefault="00C50220" w:rsidP="00695650">
      <w:pPr>
        <w:autoSpaceDE w:val="0"/>
        <w:autoSpaceDN w:val="0"/>
        <w:adjustRightInd w:val="0"/>
        <w:rPr>
          <w:rFonts w:eastAsia="HelenPro-Bold"/>
          <w:bCs/>
        </w:rPr>
      </w:pPr>
    </w:p>
    <w:p w:rsidR="00C50220" w:rsidRDefault="00C50220" w:rsidP="00695650">
      <w:pPr>
        <w:autoSpaceDE w:val="0"/>
        <w:autoSpaceDN w:val="0"/>
        <w:adjustRightInd w:val="0"/>
        <w:rPr>
          <w:rFonts w:eastAsia="HelenPro-Bold"/>
          <w:bCs/>
        </w:rPr>
      </w:pPr>
      <w:r>
        <w:rPr>
          <w:rFonts w:eastAsia="HelenPro-Bold"/>
          <w:bCs/>
          <w:noProof/>
        </w:rPr>
        <w:drawing>
          <wp:inline distT="0" distB="0" distL="0" distR="0">
            <wp:extent cx="4067175" cy="13725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7175" cy="1372581"/>
                    </a:xfrm>
                    <a:prstGeom prst="rect">
                      <a:avLst/>
                    </a:prstGeom>
                    <a:noFill/>
                    <a:ln>
                      <a:noFill/>
                    </a:ln>
                  </pic:spPr>
                </pic:pic>
              </a:graphicData>
            </a:graphic>
          </wp:inline>
        </w:drawing>
      </w:r>
    </w:p>
    <w:p w:rsidR="00C50220" w:rsidRDefault="00C50220" w:rsidP="00695650">
      <w:pPr>
        <w:autoSpaceDE w:val="0"/>
        <w:autoSpaceDN w:val="0"/>
        <w:adjustRightInd w:val="0"/>
        <w:rPr>
          <w:rFonts w:eastAsia="HelenPro-Bold"/>
          <w:bCs/>
        </w:rPr>
      </w:pPr>
    </w:p>
    <w:p w:rsidR="00C50220" w:rsidRPr="00C50220" w:rsidRDefault="00C50220" w:rsidP="00C50220">
      <w:pPr>
        <w:widowControl w:val="0"/>
        <w:spacing w:line="170" w:lineRule="exact"/>
        <w:ind w:left="115" w:right="163"/>
        <w:rPr>
          <w:rFonts w:ascii="Arial" w:eastAsia="Arial" w:hAnsi="Arial" w:cstheme="minorBidi"/>
          <w:sz w:val="16"/>
          <w:szCs w:val="16"/>
        </w:rPr>
      </w:pPr>
      <w:r w:rsidRPr="00C50220">
        <w:rPr>
          <w:rFonts w:ascii="Arial" w:eastAsia="Arial" w:hAnsi="Arial" w:cstheme="minorBidi"/>
          <w:color w:val="231F20"/>
          <w:w w:val="90"/>
          <w:sz w:val="16"/>
          <w:szCs w:val="16"/>
        </w:rPr>
        <w:t>Samp</w:t>
      </w:r>
      <w:r w:rsidRPr="00C50220">
        <w:rPr>
          <w:rFonts w:ascii="Arial" w:eastAsia="Arial" w:hAnsi="Arial" w:cstheme="minorBidi"/>
          <w:color w:val="231F20"/>
          <w:spacing w:val="-4"/>
          <w:w w:val="90"/>
          <w:sz w:val="16"/>
          <w:szCs w:val="16"/>
        </w:rPr>
        <w:t>l</w:t>
      </w:r>
      <w:r w:rsidRPr="00C50220">
        <w:rPr>
          <w:rFonts w:ascii="Arial" w:eastAsia="Arial" w:hAnsi="Arial" w:cstheme="minorBidi"/>
          <w:color w:val="231F20"/>
          <w:w w:val="90"/>
          <w:sz w:val="16"/>
          <w:szCs w:val="16"/>
        </w:rPr>
        <w:t>es</w:t>
      </w:r>
      <w:r w:rsidRPr="00C50220">
        <w:rPr>
          <w:rFonts w:ascii="Arial" w:eastAsia="Arial" w:hAnsi="Arial" w:cstheme="minorBidi"/>
          <w:color w:val="231F20"/>
          <w:spacing w:val="1"/>
          <w:w w:val="90"/>
          <w:sz w:val="16"/>
          <w:szCs w:val="16"/>
        </w:rPr>
        <w:t xml:space="preserve"> </w:t>
      </w:r>
      <w:r w:rsidRPr="00C50220">
        <w:rPr>
          <w:rFonts w:ascii="Arial" w:eastAsia="Arial" w:hAnsi="Arial" w:cstheme="minorBidi"/>
          <w:color w:val="231F20"/>
          <w:spacing w:val="-3"/>
          <w:w w:val="90"/>
          <w:sz w:val="16"/>
          <w:szCs w:val="16"/>
        </w:rPr>
        <w:t>w</w:t>
      </w:r>
      <w:r w:rsidRPr="00C50220">
        <w:rPr>
          <w:rFonts w:ascii="Arial" w:eastAsia="Arial" w:hAnsi="Arial" w:cstheme="minorBidi"/>
          <w:color w:val="231F20"/>
          <w:w w:val="90"/>
          <w:sz w:val="16"/>
          <w:szCs w:val="16"/>
        </w:rPr>
        <w:t>e</w:t>
      </w:r>
      <w:r w:rsidRPr="00C50220">
        <w:rPr>
          <w:rFonts w:ascii="Arial" w:eastAsia="Arial" w:hAnsi="Arial" w:cstheme="minorBidi"/>
          <w:color w:val="231F20"/>
          <w:spacing w:val="-6"/>
          <w:w w:val="90"/>
          <w:sz w:val="16"/>
          <w:szCs w:val="16"/>
        </w:rPr>
        <w:t>r</w:t>
      </w:r>
      <w:r w:rsidRPr="00C50220">
        <w:rPr>
          <w:rFonts w:ascii="Arial" w:eastAsia="Arial" w:hAnsi="Arial" w:cstheme="minorBidi"/>
          <w:color w:val="231F20"/>
          <w:w w:val="90"/>
          <w:sz w:val="16"/>
          <w:szCs w:val="16"/>
        </w:rPr>
        <w:t>e</w:t>
      </w:r>
      <w:r w:rsidRPr="00C50220">
        <w:rPr>
          <w:rFonts w:ascii="Arial" w:eastAsia="Arial" w:hAnsi="Arial" w:cstheme="minorBidi"/>
          <w:color w:val="231F20"/>
          <w:spacing w:val="2"/>
          <w:w w:val="90"/>
          <w:sz w:val="16"/>
          <w:szCs w:val="16"/>
        </w:rPr>
        <w:t xml:space="preserve"> </w:t>
      </w:r>
      <w:r w:rsidRPr="00C50220">
        <w:rPr>
          <w:rFonts w:ascii="Arial" w:eastAsia="Arial" w:hAnsi="Arial" w:cstheme="minorBidi"/>
          <w:color w:val="231F20"/>
          <w:spacing w:val="-5"/>
          <w:w w:val="90"/>
          <w:sz w:val="16"/>
          <w:szCs w:val="16"/>
        </w:rPr>
        <w:t>a</w:t>
      </w:r>
      <w:r w:rsidRPr="00C50220">
        <w:rPr>
          <w:rFonts w:ascii="Arial" w:eastAsia="Arial" w:hAnsi="Arial" w:cstheme="minorBidi"/>
          <w:color w:val="231F20"/>
          <w:spacing w:val="-3"/>
          <w:w w:val="90"/>
          <w:sz w:val="16"/>
          <w:szCs w:val="16"/>
        </w:rPr>
        <w:t>l</w:t>
      </w:r>
      <w:r w:rsidRPr="00C50220">
        <w:rPr>
          <w:rFonts w:ascii="Arial" w:eastAsia="Arial" w:hAnsi="Arial" w:cstheme="minorBidi"/>
          <w:color w:val="231F20"/>
          <w:w w:val="90"/>
          <w:sz w:val="16"/>
          <w:szCs w:val="16"/>
        </w:rPr>
        <w:t>so</w:t>
      </w:r>
      <w:r w:rsidRPr="00C50220">
        <w:rPr>
          <w:rFonts w:ascii="Arial" w:eastAsia="Arial" w:hAnsi="Arial" w:cstheme="minorBidi"/>
          <w:color w:val="231F20"/>
          <w:spacing w:val="1"/>
          <w:w w:val="90"/>
          <w:sz w:val="16"/>
          <w:szCs w:val="16"/>
        </w:rPr>
        <w:t xml:space="preserve"> </w:t>
      </w:r>
      <w:r w:rsidRPr="00C50220">
        <w:rPr>
          <w:rFonts w:ascii="Arial" w:eastAsia="Arial" w:hAnsi="Arial" w:cstheme="minorBidi"/>
          <w:color w:val="231F20"/>
          <w:w w:val="90"/>
          <w:sz w:val="16"/>
          <w:szCs w:val="16"/>
        </w:rPr>
        <w:t>ass</w:t>
      </w:r>
      <w:r w:rsidRPr="00C50220">
        <w:rPr>
          <w:rFonts w:ascii="Arial" w:eastAsia="Arial" w:hAnsi="Arial" w:cstheme="minorBidi"/>
          <w:color w:val="231F20"/>
          <w:spacing w:val="-5"/>
          <w:w w:val="90"/>
          <w:sz w:val="16"/>
          <w:szCs w:val="16"/>
        </w:rPr>
        <w:t>a</w:t>
      </w:r>
      <w:r w:rsidRPr="00C50220">
        <w:rPr>
          <w:rFonts w:ascii="Arial" w:eastAsia="Arial" w:hAnsi="Arial" w:cstheme="minorBidi"/>
          <w:color w:val="231F20"/>
          <w:spacing w:val="-6"/>
          <w:w w:val="90"/>
          <w:sz w:val="16"/>
          <w:szCs w:val="16"/>
        </w:rPr>
        <w:t>y</w:t>
      </w:r>
      <w:r w:rsidRPr="00C50220">
        <w:rPr>
          <w:rFonts w:ascii="Arial" w:eastAsia="Arial" w:hAnsi="Arial" w:cstheme="minorBidi"/>
          <w:color w:val="231F20"/>
          <w:w w:val="90"/>
          <w:sz w:val="16"/>
          <w:szCs w:val="16"/>
        </w:rPr>
        <w:t>ed</w:t>
      </w:r>
      <w:r w:rsidRPr="00C50220">
        <w:rPr>
          <w:rFonts w:ascii="Arial" w:eastAsia="Arial" w:hAnsi="Arial" w:cstheme="minorBidi"/>
          <w:color w:val="231F20"/>
          <w:spacing w:val="2"/>
          <w:w w:val="90"/>
          <w:sz w:val="16"/>
          <w:szCs w:val="16"/>
        </w:rPr>
        <w:t xml:space="preserve"> </w:t>
      </w:r>
      <w:r w:rsidRPr="00C50220">
        <w:rPr>
          <w:rFonts w:ascii="Arial" w:eastAsia="Arial" w:hAnsi="Arial" w:cstheme="minorBidi"/>
          <w:color w:val="231F20"/>
          <w:w w:val="90"/>
          <w:sz w:val="16"/>
          <w:szCs w:val="16"/>
        </w:rPr>
        <w:t>on</w:t>
      </w:r>
      <w:r w:rsidRPr="00C50220">
        <w:rPr>
          <w:rFonts w:ascii="Arial" w:eastAsia="Arial" w:hAnsi="Arial" w:cstheme="minorBidi"/>
          <w:color w:val="231F20"/>
          <w:spacing w:val="2"/>
          <w:w w:val="90"/>
          <w:sz w:val="16"/>
          <w:szCs w:val="16"/>
        </w:rPr>
        <w:t xml:space="preserve"> </w:t>
      </w:r>
      <w:r w:rsidRPr="00C50220">
        <w:rPr>
          <w:rFonts w:ascii="Arial" w:eastAsia="Arial" w:hAnsi="Arial" w:cstheme="minorBidi"/>
          <w:color w:val="231F20"/>
          <w:w w:val="90"/>
          <w:sz w:val="16"/>
          <w:szCs w:val="16"/>
        </w:rPr>
        <w:t>an</w:t>
      </w:r>
      <w:r w:rsidRPr="00C50220">
        <w:rPr>
          <w:rFonts w:ascii="Arial" w:eastAsia="Arial" w:hAnsi="Arial" w:cstheme="minorBidi"/>
          <w:color w:val="231F20"/>
          <w:spacing w:val="1"/>
          <w:w w:val="90"/>
          <w:sz w:val="16"/>
          <w:szCs w:val="16"/>
        </w:rPr>
        <w:t xml:space="preserve"> </w:t>
      </w:r>
      <w:r w:rsidRPr="00C50220">
        <w:rPr>
          <w:rFonts w:ascii="Arial" w:eastAsia="Arial" w:hAnsi="Arial" w:cstheme="minorBidi"/>
          <w:color w:val="231F20"/>
          <w:spacing w:val="-6"/>
          <w:w w:val="90"/>
          <w:sz w:val="16"/>
          <w:szCs w:val="16"/>
        </w:rPr>
        <w:t>A</w:t>
      </w:r>
      <w:r w:rsidRPr="00C50220">
        <w:rPr>
          <w:rFonts w:ascii="Arial" w:eastAsia="Arial" w:hAnsi="Arial" w:cstheme="minorBidi"/>
          <w:color w:val="231F20"/>
          <w:w w:val="90"/>
          <w:sz w:val="16"/>
          <w:szCs w:val="16"/>
        </w:rPr>
        <w:t>RCH</w:t>
      </w:r>
      <w:r w:rsidRPr="00C50220">
        <w:rPr>
          <w:rFonts w:ascii="Arial" w:eastAsia="Arial" w:hAnsi="Arial" w:cstheme="minorBidi"/>
          <w:color w:val="231F20"/>
          <w:spacing w:val="-4"/>
          <w:w w:val="90"/>
          <w:sz w:val="16"/>
          <w:szCs w:val="16"/>
        </w:rPr>
        <w:t>I</w:t>
      </w:r>
      <w:r w:rsidRPr="00C50220">
        <w:rPr>
          <w:rFonts w:ascii="Arial" w:eastAsia="Arial" w:hAnsi="Arial" w:cstheme="minorBidi"/>
          <w:color w:val="231F20"/>
          <w:spacing w:val="-5"/>
          <w:w w:val="90"/>
          <w:sz w:val="16"/>
          <w:szCs w:val="16"/>
        </w:rPr>
        <w:t>T</w:t>
      </w:r>
      <w:r w:rsidRPr="00C50220">
        <w:rPr>
          <w:rFonts w:ascii="Arial" w:eastAsia="Arial" w:hAnsi="Arial" w:cstheme="minorBidi"/>
          <w:color w:val="231F20"/>
          <w:spacing w:val="-7"/>
          <w:w w:val="90"/>
          <w:sz w:val="16"/>
          <w:szCs w:val="16"/>
        </w:rPr>
        <w:t>E</w:t>
      </w:r>
      <w:r w:rsidRPr="00C50220">
        <w:rPr>
          <w:rFonts w:ascii="Arial" w:eastAsia="Arial" w:hAnsi="Arial" w:cstheme="minorBidi"/>
          <w:color w:val="231F20"/>
          <w:spacing w:val="-9"/>
          <w:w w:val="90"/>
          <w:sz w:val="16"/>
          <w:szCs w:val="16"/>
        </w:rPr>
        <w:t>C</w:t>
      </w:r>
      <w:r w:rsidRPr="00C50220">
        <w:rPr>
          <w:rFonts w:ascii="Arial" w:eastAsia="Arial" w:hAnsi="Arial" w:cstheme="minorBidi"/>
          <w:color w:val="231F20"/>
          <w:w w:val="90"/>
          <w:sz w:val="16"/>
          <w:szCs w:val="16"/>
        </w:rPr>
        <w:t>T</w:t>
      </w:r>
      <w:r w:rsidRPr="00C50220">
        <w:rPr>
          <w:rFonts w:ascii="Arial" w:eastAsia="Arial" w:hAnsi="Arial" w:cstheme="minorBidi"/>
          <w:color w:val="231F20"/>
          <w:spacing w:val="2"/>
          <w:w w:val="90"/>
          <w:sz w:val="16"/>
          <w:szCs w:val="16"/>
        </w:rPr>
        <w:t xml:space="preserve"> </w:t>
      </w:r>
      <w:r w:rsidRPr="00C50220">
        <w:rPr>
          <w:rFonts w:ascii="Arial" w:eastAsia="Arial" w:hAnsi="Arial" w:cs="Arial"/>
          <w:i/>
          <w:color w:val="231F20"/>
          <w:w w:val="90"/>
          <w:sz w:val="16"/>
          <w:szCs w:val="16"/>
        </w:rPr>
        <w:t>c</w:t>
      </w:r>
      <w:r w:rsidRPr="00C50220">
        <w:rPr>
          <w:rFonts w:ascii="Arial" w:eastAsia="Arial" w:hAnsi="Arial" w:cs="Arial"/>
          <w:i/>
          <w:color w:val="231F20"/>
          <w:spacing w:val="-23"/>
          <w:w w:val="90"/>
          <w:sz w:val="16"/>
          <w:szCs w:val="16"/>
        </w:rPr>
        <w:t xml:space="preserve"> </w:t>
      </w:r>
      <w:r w:rsidRPr="00C50220">
        <w:rPr>
          <w:rFonts w:ascii="Arial" w:eastAsia="Arial" w:hAnsi="Arial" w:cstheme="minorBidi"/>
          <w:color w:val="231F20"/>
          <w:w w:val="90"/>
          <w:sz w:val="16"/>
          <w:szCs w:val="16"/>
        </w:rPr>
        <w:t>Sy</w:t>
      </w:r>
      <w:r w:rsidRPr="00C50220">
        <w:rPr>
          <w:rFonts w:ascii="Arial" w:eastAsia="Arial" w:hAnsi="Arial" w:cstheme="minorBidi"/>
          <w:color w:val="231F20"/>
          <w:spacing w:val="-5"/>
          <w:w w:val="90"/>
          <w:sz w:val="16"/>
          <w:szCs w:val="16"/>
        </w:rPr>
        <w:t>s</w:t>
      </w:r>
      <w:r w:rsidRPr="00C50220">
        <w:rPr>
          <w:rFonts w:ascii="Arial" w:eastAsia="Arial" w:hAnsi="Arial" w:cstheme="minorBidi"/>
          <w:color w:val="231F20"/>
          <w:w w:val="90"/>
          <w:sz w:val="16"/>
          <w:szCs w:val="16"/>
        </w:rPr>
        <w:t>tem</w:t>
      </w:r>
      <w:r w:rsidRPr="00C50220">
        <w:rPr>
          <w:rFonts w:ascii="Arial" w:eastAsia="Arial" w:hAnsi="Arial" w:cstheme="minorBidi"/>
          <w:color w:val="231F20"/>
          <w:spacing w:val="2"/>
          <w:w w:val="90"/>
          <w:sz w:val="16"/>
          <w:szCs w:val="16"/>
        </w:rPr>
        <w:t xml:space="preserve"> </w:t>
      </w:r>
      <w:r w:rsidRPr="00C50220">
        <w:rPr>
          <w:rFonts w:ascii="Arial" w:eastAsia="Arial" w:hAnsi="Arial" w:cstheme="minorBidi"/>
          <w:color w:val="231F20"/>
          <w:w w:val="90"/>
          <w:sz w:val="16"/>
          <w:szCs w:val="16"/>
        </w:rPr>
        <w:t>and</w:t>
      </w:r>
      <w:r w:rsidRPr="00C50220">
        <w:rPr>
          <w:rFonts w:ascii="Arial" w:eastAsia="Arial" w:hAnsi="Arial" w:cstheme="minorBidi"/>
          <w:color w:val="231F20"/>
          <w:spacing w:val="1"/>
          <w:w w:val="90"/>
          <w:sz w:val="16"/>
          <w:szCs w:val="16"/>
        </w:rPr>
        <w:t xml:space="preserve"> </w:t>
      </w:r>
      <w:r w:rsidRPr="00C50220">
        <w:rPr>
          <w:rFonts w:ascii="Arial" w:eastAsia="Arial" w:hAnsi="Arial" w:cstheme="minorBidi"/>
          <w:color w:val="231F20"/>
          <w:w w:val="90"/>
          <w:sz w:val="16"/>
          <w:szCs w:val="16"/>
        </w:rPr>
        <w:t>the</w:t>
      </w:r>
      <w:r w:rsidRPr="00C50220">
        <w:rPr>
          <w:rFonts w:ascii="Arial" w:eastAsia="Arial" w:hAnsi="Arial" w:cstheme="minorBidi"/>
          <w:color w:val="231F20"/>
          <w:spacing w:val="2"/>
          <w:w w:val="90"/>
          <w:sz w:val="16"/>
          <w:szCs w:val="16"/>
        </w:rPr>
        <w:t xml:space="preserve"> </w:t>
      </w:r>
      <w:r w:rsidRPr="00C50220">
        <w:rPr>
          <w:rFonts w:ascii="Arial" w:eastAsia="Arial" w:hAnsi="Arial" w:cstheme="minorBidi"/>
          <w:color w:val="231F20"/>
          <w:spacing w:val="-6"/>
          <w:w w:val="90"/>
          <w:sz w:val="16"/>
          <w:szCs w:val="16"/>
        </w:rPr>
        <w:t>r</w:t>
      </w:r>
      <w:r w:rsidRPr="00C50220">
        <w:rPr>
          <w:rFonts w:ascii="Arial" w:eastAsia="Arial" w:hAnsi="Arial" w:cstheme="minorBidi"/>
          <w:color w:val="231F20"/>
          <w:w w:val="90"/>
          <w:sz w:val="16"/>
          <w:szCs w:val="16"/>
        </w:rPr>
        <w:t>esu</w:t>
      </w:r>
      <w:r w:rsidRPr="00C50220">
        <w:rPr>
          <w:rFonts w:ascii="Arial" w:eastAsia="Arial" w:hAnsi="Arial" w:cstheme="minorBidi"/>
          <w:color w:val="231F20"/>
          <w:spacing w:val="-3"/>
          <w:w w:val="90"/>
          <w:sz w:val="16"/>
          <w:szCs w:val="16"/>
        </w:rPr>
        <w:t>l</w:t>
      </w:r>
      <w:r w:rsidRPr="00C50220">
        <w:rPr>
          <w:rFonts w:ascii="Arial" w:eastAsia="Arial" w:hAnsi="Arial" w:cstheme="minorBidi"/>
          <w:color w:val="231F20"/>
          <w:w w:val="90"/>
          <w:sz w:val="16"/>
          <w:szCs w:val="16"/>
        </w:rPr>
        <w:t xml:space="preserve">ts </w:t>
      </w:r>
      <w:r w:rsidRPr="00C50220">
        <w:rPr>
          <w:rFonts w:ascii="Arial" w:eastAsia="Arial" w:hAnsi="Arial" w:cstheme="minorBidi"/>
          <w:color w:val="231F20"/>
          <w:spacing w:val="-3"/>
          <w:w w:val="90"/>
          <w:sz w:val="16"/>
          <w:szCs w:val="16"/>
        </w:rPr>
        <w:t>w</w:t>
      </w:r>
      <w:r w:rsidRPr="00C50220">
        <w:rPr>
          <w:rFonts w:ascii="Arial" w:eastAsia="Arial" w:hAnsi="Arial" w:cstheme="minorBidi"/>
          <w:color w:val="231F20"/>
          <w:w w:val="90"/>
          <w:sz w:val="16"/>
          <w:szCs w:val="16"/>
        </w:rPr>
        <w:t>e</w:t>
      </w:r>
      <w:r w:rsidRPr="00C50220">
        <w:rPr>
          <w:rFonts w:ascii="Arial" w:eastAsia="Arial" w:hAnsi="Arial" w:cstheme="minorBidi"/>
          <w:color w:val="231F20"/>
          <w:spacing w:val="-6"/>
          <w:w w:val="90"/>
          <w:sz w:val="16"/>
          <w:szCs w:val="16"/>
        </w:rPr>
        <w:t>r</w:t>
      </w:r>
      <w:r w:rsidRPr="00C50220">
        <w:rPr>
          <w:rFonts w:ascii="Arial" w:eastAsia="Arial" w:hAnsi="Arial" w:cstheme="minorBidi"/>
          <w:color w:val="231F20"/>
          <w:w w:val="90"/>
          <w:sz w:val="16"/>
          <w:szCs w:val="16"/>
        </w:rPr>
        <w:t>e</w:t>
      </w:r>
      <w:r w:rsidRPr="00C50220">
        <w:rPr>
          <w:rFonts w:ascii="Arial" w:eastAsia="Arial" w:hAnsi="Arial" w:cstheme="minorBidi"/>
          <w:color w:val="231F20"/>
          <w:spacing w:val="3"/>
          <w:w w:val="90"/>
          <w:sz w:val="16"/>
          <w:szCs w:val="16"/>
        </w:rPr>
        <w:t xml:space="preserve"> </w:t>
      </w:r>
      <w:r w:rsidRPr="00C50220">
        <w:rPr>
          <w:rFonts w:ascii="Arial" w:eastAsia="Arial" w:hAnsi="Arial" w:cstheme="minorBidi"/>
          <w:color w:val="231F20"/>
          <w:w w:val="90"/>
          <w:sz w:val="16"/>
          <w:szCs w:val="16"/>
        </w:rPr>
        <w:t>compa</w:t>
      </w:r>
      <w:r w:rsidRPr="00C50220">
        <w:rPr>
          <w:rFonts w:ascii="Arial" w:eastAsia="Arial" w:hAnsi="Arial" w:cstheme="minorBidi"/>
          <w:color w:val="231F20"/>
          <w:spacing w:val="-6"/>
          <w:w w:val="90"/>
          <w:sz w:val="16"/>
          <w:szCs w:val="16"/>
        </w:rPr>
        <w:t>r</w:t>
      </w:r>
      <w:r w:rsidRPr="00C50220">
        <w:rPr>
          <w:rFonts w:ascii="Arial" w:eastAsia="Arial" w:hAnsi="Arial" w:cstheme="minorBidi"/>
          <w:color w:val="231F20"/>
          <w:w w:val="90"/>
          <w:sz w:val="16"/>
          <w:szCs w:val="16"/>
        </w:rPr>
        <w:t>ed</w:t>
      </w:r>
      <w:r w:rsidRPr="00C50220">
        <w:rPr>
          <w:rFonts w:ascii="Arial" w:eastAsia="Arial" w:hAnsi="Arial" w:cstheme="minorBidi"/>
          <w:color w:val="231F20"/>
          <w:spacing w:val="4"/>
          <w:w w:val="90"/>
          <w:sz w:val="16"/>
          <w:szCs w:val="16"/>
        </w:rPr>
        <w:t xml:space="preserve"> </w:t>
      </w:r>
      <w:r w:rsidRPr="00C50220">
        <w:rPr>
          <w:rFonts w:ascii="Arial" w:eastAsia="Arial" w:hAnsi="Arial" w:cstheme="minorBidi"/>
          <w:color w:val="231F20"/>
          <w:spacing w:val="-1"/>
          <w:w w:val="90"/>
          <w:sz w:val="16"/>
          <w:szCs w:val="16"/>
        </w:rPr>
        <w:t>t</w:t>
      </w:r>
      <w:r w:rsidRPr="00C50220">
        <w:rPr>
          <w:rFonts w:ascii="Arial" w:eastAsia="Arial" w:hAnsi="Arial" w:cstheme="minorBidi"/>
          <w:color w:val="231F20"/>
          <w:w w:val="90"/>
          <w:sz w:val="16"/>
          <w:szCs w:val="16"/>
        </w:rPr>
        <w:t>o</w:t>
      </w:r>
      <w:r w:rsidRPr="00C50220">
        <w:rPr>
          <w:rFonts w:ascii="Arial" w:eastAsia="Arial" w:hAnsi="Arial" w:cstheme="minorBidi"/>
          <w:color w:val="231F20"/>
          <w:spacing w:val="3"/>
          <w:w w:val="90"/>
          <w:sz w:val="16"/>
          <w:szCs w:val="16"/>
        </w:rPr>
        <w:t xml:space="preserve"> </w:t>
      </w:r>
      <w:r w:rsidRPr="00C50220">
        <w:rPr>
          <w:rFonts w:ascii="Arial" w:eastAsia="Arial" w:hAnsi="Arial" w:cstheme="minorBidi"/>
          <w:color w:val="231F20"/>
          <w:w w:val="90"/>
          <w:sz w:val="16"/>
          <w:szCs w:val="16"/>
        </w:rPr>
        <w:t>the</w:t>
      </w:r>
      <w:r w:rsidRPr="00C50220">
        <w:rPr>
          <w:rFonts w:ascii="Arial" w:eastAsia="Arial" w:hAnsi="Arial" w:cstheme="minorBidi"/>
          <w:color w:val="231F20"/>
          <w:spacing w:val="4"/>
          <w:w w:val="90"/>
          <w:sz w:val="16"/>
          <w:szCs w:val="16"/>
        </w:rPr>
        <w:t xml:space="preserve"> </w:t>
      </w:r>
      <w:r w:rsidRPr="00C50220">
        <w:rPr>
          <w:rFonts w:ascii="Arial" w:eastAsia="Arial" w:hAnsi="Arial" w:cstheme="minorBidi"/>
          <w:color w:val="231F20"/>
          <w:spacing w:val="-6"/>
          <w:w w:val="90"/>
          <w:sz w:val="16"/>
          <w:szCs w:val="16"/>
        </w:rPr>
        <w:t>r</w:t>
      </w:r>
      <w:r w:rsidRPr="00C50220">
        <w:rPr>
          <w:rFonts w:ascii="Arial" w:eastAsia="Arial" w:hAnsi="Arial" w:cstheme="minorBidi"/>
          <w:color w:val="231F20"/>
          <w:w w:val="90"/>
          <w:sz w:val="16"/>
          <w:szCs w:val="16"/>
        </w:rPr>
        <w:t>esu</w:t>
      </w:r>
      <w:r w:rsidRPr="00C50220">
        <w:rPr>
          <w:rFonts w:ascii="Arial" w:eastAsia="Arial" w:hAnsi="Arial" w:cstheme="minorBidi"/>
          <w:color w:val="231F20"/>
          <w:spacing w:val="-3"/>
          <w:w w:val="90"/>
          <w:sz w:val="16"/>
          <w:szCs w:val="16"/>
        </w:rPr>
        <w:t>l</w:t>
      </w:r>
      <w:r w:rsidRPr="00C50220">
        <w:rPr>
          <w:rFonts w:ascii="Arial" w:eastAsia="Arial" w:hAnsi="Arial" w:cstheme="minorBidi"/>
          <w:color w:val="231F20"/>
          <w:w w:val="90"/>
          <w:sz w:val="16"/>
          <w:szCs w:val="16"/>
        </w:rPr>
        <w:t>ts</w:t>
      </w:r>
      <w:r w:rsidRPr="00C50220">
        <w:rPr>
          <w:rFonts w:ascii="Arial" w:eastAsia="Arial" w:hAnsi="Arial" w:cstheme="minorBidi"/>
          <w:color w:val="231F20"/>
          <w:spacing w:val="4"/>
          <w:w w:val="90"/>
          <w:sz w:val="16"/>
          <w:szCs w:val="16"/>
        </w:rPr>
        <w:t xml:space="preserve"> </w:t>
      </w:r>
      <w:r w:rsidRPr="00C50220">
        <w:rPr>
          <w:rFonts w:ascii="Arial" w:eastAsia="Arial" w:hAnsi="Arial" w:cstheme="minorBidi"/>
          <w:color w:val="231F20"/>
          <w:w w:val="90"/>
          <w:sz w:val="16"/>
          <w:szCs w:val="16"/>
        </w:rPr>
        <w:t>f</w:t>
      </w:r>
      <w:r w:rsidRPr="00C50220">
        <w:rPr>
          <w:rFonts w:ascii="Arial" w:eastAsia="Arial" w:hAnsi="Arial" w:cstheme="minorBidi"/>
          <w:color w:val="231F20"/>
          <w:spacing w:val="-7"/>
          <w:w w:val="90"/>
          <w:sz w:val="16"/>
          <w:szCs w:val="16"/>
        </w:rPr>
        <w:t>r</w:t>
      </w:r>
      <w:r w:rsidRPr="00C50220">
        <w:rPr>
          <w:rFonts w:ascii="Arial" w:eastAsia="Arial" w:hAnsi="Arial" w:cstheme="minorBidi"/>
          <w:color w:val="231F20"/>
          <w:w w:val="90"/>
          <w:sz w:val="16"/>
          <w:szCs w:val="16"/>
        </w:rPr>
        <w:t>om</w:t>
      </w:r>
      <w:r w:rsidRPr="00C50220">
        <w:rPr>
          <w:rFonts w:ascii="Arial" w:eastAsia="Arial" w:hAnsi="Arial" w:cstheme="minorBidi"/>
          <w:color w:val="231F20"/>
          <w:spacing w:val="3"/>
          <w:w w:val="90"/>
          <w:sz w:val="16"/>
          <w:szCs w:val="16"/>
        </w:rPr>
        <w:t xml:space="preserve"> </w:t>
      </w:r>
      <w:r w:rsidRPr="00C50220">
        <w:rPr>
          <w:rFonts w:ascii="Arial" w:eastAsia="Arial" w:hAnsi="Arial" w:cstheme="minorBidi"/>
          <w:color w:val="231F20"/>
          <w:w w:val="90"/>
          <w:sz w:val="16"/>
          <w:szCs w:val="16"/>
        </w:rPr>
        <w:t>the</w:t>
      </w:r>
      <w:r w:rsidRPr="00C50220">
        <w:rPr>
          <w:rFonts w:ascii="Arial" w:eastAsia="Arial" w:hAnsi="Arial" w:cstheme="minorBidi"/>
          <w:color w:val="231F20"/>
          <w:spacing w:val="4"/>
          <w:w w:val="90"/>
          <w:sz w:val="16"/>
          <w:szCs w:val="16"/>
        </w:rPr>
        <w:t xml:space="preserve"> </w:t>
      </w:r>
      <w:r w:rsidRPr="00C50220">
        <w:rPr>
          <w:rFonts w:ascii="Arial" w:eastAsia="Arial" w:hAnsi="Arial" w:cstheme="minorBidi"/>
          <w:color w:val="231F20"/>
          <w:spacing w:val="-5"/>
          <w:w w:val="90"/>
          <w:sz w:val="16"/>
          <w:szCs w:val="16"/>
        </w:rPr>
        <w:t>AE</w:t>
      </w:r>
      <w:r w:rsidRPr="00C50220">
        <w:rPr>
          <w:rFonts w:ascii="Arial" w:eastAsia="Arial" w:hAnsi="Arial" w:cstheme="minorBidi"/>
          <w:color w:val="231F20"/>
          <w:w w:val="90"/>
          <w:sz w:val="16"/>
          <w:szCs w:val="16"/>
        </w:rPr>
        <w:t>RO</w:t>
      </w:r>
      <w:r w:rsidRPr="00C50220">
        <w:rPr>
          <w:rFonts w:ascii="Arial" w:eastAsia="Arial" w:hAnsi="Arial" w:cstheme="minorBidi"/>
          <w:color w:val="231F20"/>
          <w:spacing w:val="-3"/>
          <w:w w:val="90"/>
          <w:sz w:val="16"/>
          <w:szCs w:val="16"/>
        </w:rPr>
        <w:t>S</w:t>
      </w:r>
      <w:r w:rsidRPr="00C50220">
        <w:rPr>
          <w:rFonts w:ascii="Arial" w:eastAsia="Arial" w:hAnsi="Arial" w:cstheme="minorBidi"/>
          <w:color w:val="231F20"/>
          <w:spacing w:val="-6"/>
          <w:w w:val="90"/>
          <w:sz w:val="16"/>
          <w:szCs w:val="16"/>
        </w:rPr>
        <w:t>E</w:t>
      </w:r>
      <w:r w:rsidRPr="00C50220">
        <w:rPr>
          <w:rFonts w:ascii="Arial" w:eastAsia="Arial" w:hAnsi="Arial" w:cstheme="minorBidi"/>
          <w:color w:val="231F20"/>
          <w:w w:val="90"/>
          <w:sz w:val="16"/>
          <w:szCs w:val="16"/>
        </w:rPr>
        <w:t>T</w:t>
      </w:r>
      <w:r w:rsidRPr="00C50220">
        <w:rPr>
          <w:rFonts w:ascii="Arial" w:eastAsia="Arial" w:hAnsi="Arial" w:cstheme="minorBidi"/>
          <w:color w:val="231F20"/>
          <w:spacing w:val="4"/>
          <w:w w:val="90"/>
          <w:sz w:val="16"/>
          <w:szCs w:val="16"/>
        </w:rPr>
        <w:t xml:space="preserve"> </w:t>
      </w:r>
      <w:r w:rsidRPr="00C50220">
        <w:rPr>
          <w:rFonts w:ascii="Arial" w:eastAsia="Arial" w:hAnsi="Arial" w:cstheme="minorBidi"/>
          <w:color w:val="231F20"/>
          <w:w w:val="90"/>
          <w:sz w:val="16"/>
          <w:szCs w:val="16"/>
        </w:rPr>
        <w:t>Sy</w:t>
      </w:r>
      <w:r w:rsidRPr="00C50220">
        <w:rPr>
          <w:rFonts w:ascii="Arial" w:eastAsia="Arial" w:hAnsi="Arial" w:cstheme="minorBidi"/>
          <w:color w:val="231F20"/>
          <w:spacing w:val="-5"/>
          <w:w w:val="90"/>
          <w:sz w:val="16"/>
          <w:szCs w:val="16"/>
        </w:rPr>
        <w:t>s</w:t>
      </w:r>
      <w:r w:rsidRPr="00C50220">
        <w:rPr>
          <w:rFonts w:ascii="Arial" w:eastAsia="Arial" w:hAnsi="Arial" w:cstheme="minorBidi"/>
          <w:color w:val="231F20"/>
          <w:w w:val="90"/>
          <w:sz w:val="16"/>
          <w:szCs w:val="16"/>
        </w:rPr>
        <w:t>tem.</w:t>
      </w:r>
      <w:r w:rsidRPr="00C50220">
        <w:rPr>
          <w:rFonts w:ascii="Arial" w:eastAsia="Arial" w:hAnsi="Arial" w:cstheme="minorBidi"/>
          <w:color w:val="231F20"/>
          <w:spacing w:val="3"/>
          <w:w w:val="90"/>
          <w:sz w:val="16"/>
          <w:szCs w:val="16"/>
        </w:rPr>
        <w:t xml:space="preserve"> </w:t>
      </w:r>
      <w:r w:rsidRPr="00C50220">
        <w:rPr>
          <w:rFonts w:ascii="Arial" w:eastAsia="Arial" w:hAnsi="Arial" w:cstheme="minorBidi"/>
          <w:color w:val="231F20"/>
          <w:w w:val="90"/>
          <w:sz w:val="16"/>
          <w:szCs w:val="16"/>
        </w:rPr>
        <w:t>The</w:t>
      </w:r>
      <w:r w:rsidRPr="00C50220">
        <w:rPr>
          <w:rFonts w:ascii="Arial" w:eastAsia="Arial" w:hAnsi="Arial" w:cstheme="minorBidi"/>
          <w:color w:val="231F20"/>
          <w:spacing w:val="-6"/>
          <w:w w:val="90"/>
          <w:sz w:val="16"/>
          <w:szCs w:val="16"/>
        </w:rPr>
        <w:t>r</w:t>
      </w:r>
      <w:r w:rsidRPr="00C50220">
        <w:rPr>
          <w:rFonts w:ascii="Arial" w:eastAsia="Arial" w:hAnsi="Arial" w:cstheme="minorBidi"/>
          <w:color w:val="231F20"/>
          <w:w w:val="90"/>
          <w:sz w:val="16"/>
          <w:szCs w:val="16"/>
        </w:rPr>
        <w:t>e</w:t>
      </w:r>
      <w:r w:rsidRPr="00C50220">
        <w:rPr>
          <w:rFonts w:ascii="Arial" w:eastAsia="Arial" w:hAnsi="Arial" w:cstheme="minorBidi"/>
          <w:color w:val="231F20"/>
          <w:spacing w:val="4"/>
          <w:w w:val="90"/>
          <w:sz w:val="16"/>
          <w:szCs w:val="16"/>
        </w:rPr>
        <w:t xml:space="preserve"> </w:t>
      </w:r>
      <w:r w:rsidRPr="00C50220">
        <w:rPr>
          <w:rFonts w:ascii="Arial" w:eastAsia="Arial" w:hAnsi="Arial" w:cstheme="minorBidi"/>
          <w:color w:val="231F20"/>
          <w:spacing w:val="-4"/>
          <w:w w:val="90"/>
          <w:sz w:val="16"/>
          <w:szCs w:val="16"/>
        </w:rPr>
        <w:t>w</w:t>
      </w:r>
      <w:r w:rsidRPr="00C50220">
        <w:rPr>
          <w:rFonts w:ascii="Arial" w:eastAsia="Arial" w:hAnsi="Arial" w:cstheme="minorBidi"/>
          <w:color w:val="231F20"/>
          <w:w w:val="90"/>
          <w:sz w:val="16"/>
          <w:szCs w:val="16"/>
        </w:rPr>
        <w:t>as</w:t>
      </w:r>
      <w:r w:rsidRPr="00C50220">
        <w:rPr>
          <w:rFonts w:ascii="Arial" w:eastAsia="Arial" w:hAnsi="Arial" w:cstheme="minorBidi"/>
          <w:color w:val="231F20"/>
          <w:w w:val="89"/>
          <w:sz w:val="16"/>
          <w:szCs w:val="16"/>
        </w:rPr>
        <w:t xml:space="preserve"> </w:t>
      </w:r>
      <w:r w:rsidRPr="00C50220">
        <w:rPr>
          <w:rFonts w:ascii="Arial" w:eastAsia="Arial" w:hAnsi="Arial" w:cstheme="minorBidi"/>
          <w:color w:val="231F20"/>
          <w:w w:val="90"/>
          <w:sz w:val="16"/>
          <w:szCs w:val="16"/>
        </w:rPr>
        <w:t>99%</w:t>
      </w:r>
      <w:r w:rsidRPr="00C50220">
        <w:rPr>
          <w:rFonts w:ascii="Arial" w:eastAsia="Arial" w:hAnsi="Arial" w:cstheme="minorBidi"/>
          <w:color w:val="231F20"/>
          <w:spacing w:val="1"/>
          <w:w w:val="90"/>
          <w:sz w:val="16"/>
          <w:szCs w:val="16"/>
        </w:rPr>
        <w:t xml:space="preserve"> </w:t>
      </w:r>
      <w:r w:rsidRPr="00C50220">
        <w:rPr>
          <w:rFonts w:ascii="Arial" w:eastAsia="Arial" w:hAnsi="Arial" w:cstheme="minorBidi"/>
          <w:color w:val="231F20"/>
          <w:spacing w:val="-1"/>
          <w:w w:val="90"/>
          <w:sz w:val="16"/>
          <w:szCs w:val="16"/>
        </w:rPr>
        <w:t>o</w:t>
      </w:r>
      <w:r w:rsidRPr="00C50220">
        <w:rPr>
          <w:rFonts w:ascii="Arial" w:eastAsia="Arial" w:hAnsi="Arial" w:cstheme="minorBidi"/>
          <w:color w:val="231F20"/>
          <w:spacing w:val="-6"/>
          <w:w w:val="90"/>
          <w:sz w:val="16"/>
          <w:szCs w:val="16"/>
        </w:rPr>
        <w:t>v</w:t>
      </w:r>
      <w:r w:rsidRPr="00C50220">
        <w:rPr>
          <w:rFonts w:ascii="Arial" w:eastAsia="Arial" w:hAnsi="Arial" w:cstheme="minorBidi"/>
          <w:color w:val="231F20"/>
          <w:w w:val="90"/>
          <w:sz w:val="16"/>
          <w:szCs w:val="16"/>
        </w:rPr>
        <w:t>e</w:t>
      </w:r>
      <w:r w:rsidRPr="00C50220">
        <w:rPr>
          <w:rFonts w:ascii="Arial" w:eastAsia="Arial" w:hAnsi="Arial" w:cstheme="minorBidi"/>
          <w:color w:val="231F20"/>
          <w:spacing w:val="-6"/>
          <w:w w:val="90"/>
          <w:sz w:val="16"/>
          <w:szCs w:val="16"/>
        </w:rPr>
        <w:t>r</w:t>
      </w:r>
      <w:r w:rsidRPr="00C50220">
        <w:rPr>
          <w:rFonts w:ascii="Arial" w:eastAsia="Arial" w:hAnsi="Arial" w:cstheme="minorBidi"/>
          <w:color w:val="231F20"/>
          <w:spacing w:val="-5"/>
          <w:w w:val="90"/>
          <w:sz w:val="16"/>
          <w:szCs w:val="16"/>
        </w:rPr>
        <w:t>a</w:t>
      </w:r>
      <w:r w:rsidRPr="00C50220">
        <w:rPr>
          <w:rFonts w:ascii="Arial" w:eastAsia="Arial" w:hAnsi="Arial" w:cstheme="minorBidi"/>
          <w:color w:val="231F20"/>
          <w:spacing w:val="-4"/>
          <w:w w:val="90"/>
          <w:sz w:val="16"/>
          <w:szCs w:val="16"/>
        </w:rPr>
        <w:t>l</w:t>
      </w:r>
      <w:r w:rsidRPr="00C50220">
        <w:rPr>
          <w:rFonts w:ascii="Arial" w:eastAsia="Arial" w:hAnsi="Arial" w:cstheme="minorBidi"/>
          <w:color w:val="231F20"/>
          <w:w w:val="90"/>
          <w:sz w:val="16"/>
          <w:szCs w:val="16"/>
        </w:rPr>
        <w:t>l</w:t>
      </w:r>
      <w:r w:rsidRPr="00C50220">
        <w:rPr>
          <w:rFonts w:ascii="Arial" w:eastAsia="Arial" w:hAnsi="Arial" w:cstheme="minorBidi"/>
          <w:color w:val="231F20"/>
          <w:spacing w:val="2"/>
          <w:w w:val="90"/>
          <w:sz w:val="16"/>
          <w:szCs w:val="16"/>
        </w:rPr>
        <w:t xml:space="preserve"> </w:t>
      </w:r>
      <w:r w:rsidRPr="00C50220">
        <w:rPr>
          <w:rFonts w:ascii="Arial" w:eastAsia="Arial" w:hAnsi="Arial" w:cstheme="minorBidi"/>
          <w:color w:val="231F20"/>
          <w:spacing w:val="-3"/>
          <w:w w:val="90"/>
          <w:sz w:val="16"/>
          <w:szCs w:val="16"/>
        </w:rPr>
        <w:t>a</w:t>
      </w:r>
      <w:r w:rsidRPr="00C50220">
        <w:rPr>
          <w:rFonts w:ascii="Arial" w:eastAsia="Arial" w:hAnsi="Arial" w:cstheme="minorBidi"/>
          <w:color w:val="231F20"/>
          <w:spacing w:val="-2"/>
          <w:w w:val="90"/>
          <w:sz w:val="16"/>
          <w:szCs w:val="16"/>
        </w:rPr>
        <w:t>g</w:t>
      </w:r>
      <w:r w:rsidRPr="00C50220">
        <w:rPr>
          <w:rFonts w:ascii="Arial" w:eastAsia="Arial" w:hAnsi="Arial" w:cstheme="minorBidi"/>
          <w:color w:val="231F20"/>
          <w:spacing w:val="-6"/>
          <w:w w:val="90"/>
          <w:sz w:val="16"/>
          <w:szCs w:val="16"/>
        </w:rPr>
        <w:t>r</w:t>
      </w:r>
      <w:r w:rsidRPr="00C50220">
        <w:rPr>
          <w:rFonts w:ascii="Arial" w:eastAsia="Arial" w:hAnsi="Arial" w:cstheme="minorBidi"/>
          <w:color w:val="231F20"/>
          <w:w w:val="90"/>
          <w:sz w:val="16"/>
          <w:szCs w:val="16"/>
        </w:rPr>
        <w:t>eeme</w:t>
      </w:r>
      <w:r w:rsidRPr="00C50220">
        <w:rPr>
          <w:rFonts w:ascii="Arial" w:eastAsia="Arial" w:hAnsi="Arial" w:cstheme="minorBidi"/>
          <w:color w:val="231F20"/>
          <w:spacing w:val="-4"/>
          <w:w w:val="90"/>
          <w:sz w:val="16"/>
          <w:szCs w:val="16"/>
        </w:rPr>
        <w:t>n</w:t>
      </w:r>
      <w:r w:rsidRPr="00C50220">
        <w:rPr>
          <w:rFonts w:ascii="Arial" w:eastAsia="Arial" w:hAnsi="Arial" w:cstheme="minorBidi"/>
          <w:color w:val="231F20"/>
          <w:w w:val="90"/>
          <w:sz w:val="16"/>
          <w:szCs w:val="16"/>
        </w:rPr>
        <w:t>t</w:t>
      </w:r>
      <w:r w:rsidRPr="00C50220">
        <w:rPr>
          <w:rFonts w:ascii="Arial" w:eastAsia="Arial" w:hAnsi="Arial" w:cstheme="minorBidi"/>
          <w:color w:val="231F20"/>
          <w:spacing w:val="2"/>
          <w:w w:val="90"/>
          <w:sz w:val="16"/>
          <w:szCs w:val="16"/>
        </w:rPr>
        <w:t xml:space="preserve"> </w:t>
      </w:r>
      <w:r w:rsidRPr="00C50220">
        <w:rPr>
          <w:rFonts w:ascii="Arial" w:eastAsia="Arial" w:hAnsi="Arial" w:cstheme="minorBidi"/>
          <w:color w:val="231F20"/>
          <w:w w:val="90"/>
          <w:sz w:val="16"/>
          <w:szCs w:val="16"/>
        </w:rPr>
        <w:t>bet</w:t>
      </w:r>
      <w:r w:rsidRPr="00C50220">
        <w:rPr>
          <w:rFonts w:ascii="Arial" w:eastAsia="Arial" w:hAnsi="Arial" w:cstheme="minorBidi"/>
          <w:color w:val="231F20"/>
          <w:spacing w:val="-2"/>
          <w:w w:val="90"/>
          <w:sz w:val="16"/>
          <w:szCs w:val="16"/>
        </w:rPr>
        <w:t>w</w:t>
      </w:r>
      <w:r w:rsidRPr="00C50220">
        <w:rPr>
          <w:rFonts w:ascii="Arial" w:eastAsia="Arial" w:hAnsi="Arial" w:cstheme="minorBidi"/>
          <w:color w:val="231F20"/>
          <w:w w:val="90"/>
          <w:sz w:val="16"/>
          <w:szCs w:val="16"/>
        </w:rPr>
        <w:t>een</w:t>
      </w:r>
      <w:r w:rsidRPr="00C50220">
        <w:rPr>
          <w:rFonts w:ascii="Arial" w:eastAsia="Arial" w:hAnsi="Arial" w:cstheme="minorBidi"/>
          <w:color w:val="231F20"/>
          <w:spacing w:val="1"/>
          <w:w w:val="90"/>
          <w:sz w:val="16"/>
          <w:szCs w:val="16"/>
        </w:rPr>
        <w:t xml:space="preserve"> </w:t>
      </w:r>
      <w:r w:rsidRPr="00C50220">
        <w:rPr>
          <w:rFonts w:ascii="Arial" w:eastAsia="Arial" w:hAnsi="Arial" w:cstheme="minorBidi"/>
          <w:color w:val="231F20"/>
          <w:w w:val="90"/>
          <w:sz w:val="16"/>
          <w:szCs w:val="16"/>
        </w:rPr>
        <w:t>the</w:t>
      </w:r>
      <w:r w:rsidRPr="00C50220">
        <w:rPr>
          <w:rFonts w:ascii="Arial" w:eastAsia="Arial" w:hAnsi="Arial" w:cstheme="minorBidi"/>
          <w:color w:val="231F20"/>
          <w:spacing w:val="2"/>
          <w:w w:val="90"/>
          <w:sz w:val="16"/>
          <w:szCs w:val="16"/>
        </w:rPr>
        <w:t xml:space="preserve"> </w:t>
      </w:r>
      <w:r w:rsidRPr="00C50220">
        <w:rPr>
          <w:rFonts w:ascii="Arial" w:eastAsia="Arial" w:hAnsi="Arial" w:cstheme="minorBidi"/>
          <w:color w:val="231F20"/>
          <w:w w:val="90"/>
          <w:sz w:val="16"/>
          <w:szCs w:val="16"/>
        </w:rPr>
        <w:t>t</w:t>
      </w:r>
      <w:r w:rsidRPr="00C50220">
        <w:rPr>
          <w:rFonts w:ascii="Arial" w:eastAsia="Arial" w:hAnsi="Arial" w:cstheme="minorBidi"/>
          <w:color w:val="231F20"/>
          <w:spacing w:val="-3"/>
          <w:w w:val="90"/>
          <w:sz w:val="16"/>
          <w:szCs w:val="16"/>
        </w:rPr>
        <w:t>w</w:t>
      </w:r>
      <w:r w:rsidRPr="00C50220">
        <w:rPr>
          <w:rFonts w:ascii="Arial" w:eastAsia="Arial" w:hAnsi="Arial" w:cstheme="minorBidi"/>
          <w:color w:val="231F20"/>
          <w:w w:val="90"/>
          <w:sz w:val="16"/>
          <w:szCs w:val="16"/>
        </w:rPr>
        <w:t>o</w:t>
      </w:r>
      <w:r w:rsidRPr="00C50220">
        <w:rPr>
          <w:rFonts w:ascii="Arial" w:eastAsia="Arial" w:hAnsi="Arial" w:cstheme="minorBidi"/>
          <w:color w:val="231F20"/>
          <w:spacing w:val="2"/>
          <w:w w:val="90"/>
          <w:sz w:val="16"/>
          <w:szCs w:val="16"/>
        </w:rPr>
        <w:t xml:space="preserve"> </w:t>
      </w:r>
      <w:r w:rsidRPr="00C50220">
        <w:rPr>
          <w:rFonts w:ascii="Arial" w:eastAsia="Arial" w:hAnsi="Arial" w:cstheme="minorBidi"/>
          <w:color w:val="231F20"/>
          <w:w w:val="90"/>
          <w:sz w:val="16"/>
          <w:szCs w:val="16"/>
        </w:rPr>
        <w:t>sy</w:t>
      </w:r>
      <w:r w:rsidRPr="00C50220">
        <w:rPr>
          <w:rFonts w:ascii="Arial" w:eastAsia="Arial" w:hAnsi="Arial" w:cstheme="minorBidi"/>
          <w:color w:val="231F20"/>
          <w:spacing w:val="-5"/>
          <w:w w:val="90"/>
          <w:sz w:val="16"/>
          <w:szCs w:val="16"/>
        </w:rPr>
        <w:t>s</w:t>
      </w:r>
      <w:r w:rsidRPr="00C50220">
        <w:rPr>
          <w:rFonts w:ascii="Arial" w:eastAsia="Arial" w:hAnsi="Arial" w:cstheme="minorBidi"/>
          <w:color w:val="231F20"/>
          <w:w w:val="90"/>
          <w:sz w:val="16"/>
          <w:szCs w:val="16"/>
        </w:rPr>
        <w:t>tem</w:t>
      </w:r>
      <w:r w:rsidRPr="00C50220">
        <w:rPr>
          <w:rFonts w:ascii="Arial" w:eastAsia="Arial" w:hAnsi="Arial" w:cstheme="minorBidi"/>
          <w:color w:val="231F20"/>
          <w:spacing w:val="-6"/>
          <w:w w:val="90"/>
          <w:sz w:val="16"/>
          <w:szCs w:val="16"/>
        </w:rPr>
        <w:t>s</w:t>
      </w:r>
      <w:r w:rsidRPr="00C50220">
        <w:rPr>
          <w:rFonts w:ascii="Arial" w:eastAsia="Arial" w:hAnsi="Arial" w:cstheme="minorBidi"/>
          <w:color w:val="231F20"/>
          <w:w w:val="90"/>
          <w:sz w:val="16"/>
          <w:szCs w:val="16"/>
        </w:rPr>
        <w:t>.</w:t>
      </w:r>
    </w:p>
    <w:p w:rsidR="00695650" w:rsidRDefault="00695650" w:rsidP="00EF7552">
      <w:pPr>
        <w:autoSpaceDE w:val="0"/>
        <w:autoSpaceDN w:val="0"/>
        <w:adjustRightInd w:val="0"/>
        <w:rPr>
          <w:rFonts w:eastAsia="HelenPro-Bold"/>
          <w:b/>
          <w:bCs/>
        </w:rPr>
      </w:pPr>
    </w:p>
    <w:p w:rsidR="00695650" w:rsidRPr="0074537C" w:rsidRDefault="00695650" w:rsidP="00EF7552">
      <w:pPr>
        <w:autoSpaceDE w:val="0"/>
        <w:autoSpaceDN w:val="0"/>
        <w:adjustRightInd w:val="0"/>
        <w:rPr>
          <w:rFonts w:eastAsia="HelenPro-Bold"/>
          <w:b/>
          <w:bCs/>
        </w:rPr>
      </w:pPr>
    </w:p>
    <w:p w:rsidR="00912FE4" w:rsidRPr="0074537C" w:rsidRDefault="00912FE4" w:rsidP="00487C9E">
      <w:pPr>
        <w:rPr>
          <w:rFonts w:eastAsia="HelenPro-Bold"/>
          <w:b/>
          <w:bCs/>
        </w:rPr>
      </w:pPr>
      <w:r w:rsidRPr="0074537C">
        <w:rPr>
          <w:rFonts w:eastAsia="HelenPro-Bold"/>
          <w:b/>
          <w:bCs/>
        </w:rPr>
        <w:t>Dilution:</w:t>
      </w:r>
      <w:r w:rsidR="00973EAF" w:rsidRPr="0074537C">
        <w:rPr>
          <w:rFonts w:eastAsia="HelenPro-Bold"/>
          <w:b/>
          <w:bCs/>
        </w:rPr>
        <w:t xml:space="preserve"> </w:t>
      </w:r>
    </w:p>
    <w:p w:rsidR="00EF7552" w:rsidRPr="0074537C" w:rsidRDefault="00EF7552" w:rsidP="00EF7552">
      <w:pPr>
        <w:autoSpaceDE w:val="0"/>
        <w:autoSpaceDN w:val="0"/>
        <w:adjustRightInd w:val="0"/>
        <w:rPr>
          <w:rFonts w:eastAsia="HelenPro-Regular"/>
        </w:rPr>
      </w:pPr>
      <w:r w:rsidRPr="0074537C">
        <w:rPr>
          <w:rFonts w:eastAsia="HelenPro-Regular"/>
        </w:rPr>
        <w:t>Samples with semiquantitative results that exceed the highest calibrator may be manually diluted and rerun. Acceptable sample diluents are the MULTIGENT DOA MC Neg Cal or drug-free human urine.</w:t>
      </w:r>
    </w:p>
    <w:p w:rsidR="00EF7552" w:rsidRPr="0074537C" w:rsidRDefault="00EF7552" w:rsidP="00EF7552">
      <w:pPr>
        <w:autoSpaceDE w:val="0"/>
        <w:autoSpaceDN w:val="0"/>
        <w:adjustRightInd w:val="0"/>
        <w:rPr>
          <w:rFonts w:eastAsia="HelenPro-Regular"/>
        </w:rPr>
      </w:pPr>
      <w:r w:rsidRPr="0074537C">
        <w:rPr>
          <w:rFonts w:eastAsia="HelenPro-Regular"/>
        </w:rPr>
        <w:t>The dilution must be performed so the diluted test results read greater than the assay sensitivity:</w:t>
      </w:r>
    </w:p>
    <w:p w:rsidR="00EF7552" w:rsidRPr="0074537C" w:rsidRDefault="00EF7552" w:rsidP="00EF7552">
      <w:pPr>
        <w:autoSpaceDE w:val="0"/>
        <w:autoSpaceDN w:val="0"/>
        <w:adjustRightInd w:val="0"/>
        <w:ind w:left="720"/>
        <w:rPr>
          <w:rFonts w:eastAsia="HelenPro-Regular"/>
        </w:rPr>
      </w:pPr>
      <w:r w:rsidRPr="0074537C">
        <w:rPr>
          <w:rFonts w:eastAsia="HelenPro-Regular"/>
        </w:rPr>
        <w:t>• 10.3 ng/mL (for semiquantitative analysis up to 1,000 ng/mL)</w:t>
      </w:r>
    </w:p>
    <w:p w:rsidR="00EF7552" w:rsidRPr="0074537C" w:rsidRDefault="00EF7552" w:rsidP="00EF7552">
      <w:pPr>
        <w:autoSpaceDE w:val="0"/>
        <w:autoSpaceDN w:val="0"/>
        <w:adjustRightInd w:val="0"/>
        <w:ind w:left="720"/>
        <w:rPr>
          <w:rFonts w:eastAsia="HelenPro-Regular"/>
        </w:rPr>
      </w:pPr>
      <w:r w:rsidRPr="0074537C">
        <w:rPr>
          <w:rFonts w:eastAsia="HelenPro-Regular"/>
        </w:rPr>
        <w:t>• 44.1 ng/mL (for semiquantitative analysis up to 6,000 ng/mL)</w:t>
      </w:r>
    </w:p>
    <w:p w:rsidR="00EF7552" w:rsidRPr="0074537C" w:rsidRDefault="00EF7552" w:rsidP="00EF7552">
      <w:pPr>
        <w:autoSpaceDE w:val="0"/>
        <w:autoSpaceDN w:val="0"/>
        <w:adjustRightInd w:val="0"/>
        <w:rPr>
          <w:rFonts w:eastAsia="HelenPro-Regular"/>
        </w:rPr>
      </w:pPr>
      <w:r w:rsidRPr="0074537C">
        <w:rPr>
          <w:rFonts w:eastAsia="HelenPro-Regular"/>
        </w:rPr>
        <w:t>The operator must enter the manual dilution factor in the patient or control order screen. The system uses this dilution factor to automatically correct the concentration by multiplying the result by the entered factor. The printed result is the reportable result if no errors are present.</w:t>
      </w:r>
    </w:p>
    <w:p w:rsidR="00EF7552" w:rsidRPr="0074537C" w:rsidRDefault="00EF7552" w:rsidP="00EF7552">
      <w:pPr>
        <w:autoSpaceDE w:val="0"/>
        <w:autoSpaceDN w:val="0"/>
        <w:adjustRightInd w:val="0"/>
        <w:rPr>
          <w:rFonts w:eastAsia="HelenPro-Regular"/>
        </w:rPr>
      </w:pPr>
      <w:r w:rsidRPr="0074537C">
        <w:rPr>
          <w:rFonts w:eastAsia="HelenPro-Bold"/>
          <w:b/>
          <w:bCs/>
        </w:rPr>
        <w:t xml:space="preserve">NOTE: </w:t>
      </w:r>
      <w:r w:rsidRPr="0074537C">
        <w:rPr>
          <w:rFonts w:eastAsia="HelenPro-Regular"/>
        </w:rPr>
        <w:t>If the operator does not enter the manual dilution factor, the printed result must be multiplied by the manual dilution factor before reporting the result.</w:t>
      </w:r>
    </w:p>
    <w:p w:rsidR="006245F4" w:rsidRPr="0074537C" w:rsidRDefault="006245F4" w:rsidP="00EF7552">
      <w:pPr>
        <w:autoSpaceDE w:val="0"/>
        <w:autoSpaceDN w:val="0"/>
        <w:adjustRightInd w:val="0"/>
        <w:rPr>
          <w:rFonts w:eastAsia="HelenPro-Regular"/>
        </w:rPr>
      </w:pPr>
      <w:r w:rsidRPr="0074537C">
        <w:rPr>
          <w:noProof/>
        </w:rPr>
        <w:drawing>
          <wp:inline distT="0" distB="0" distL="0" distR="0" wp14:anchorId="25997616" wp14:editId="0B53F61F">
            <wp:extent cx="42100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10050" cy="400050"/>
                    </a:xfrm>
                    <a:prstGeom prst="rect">
                      <a:avLst/>
                    </a:prstGeom>
                  </pic:spPr>
                </pic:pic>
              </a:graphicData>
            </a:graphic>
          </wp:inline>
        </w:drawing>
      </w:r>
    </w:p>
    <w:p w:rsidR="006245F4" w:rsidRPr="0074537C" w:rsidRDefault="006245F4" w:rsidP="006245F4">
      <w:pPr>
        <w:autoSpaceDE w:val="0"/>
        <w:autoSpaceDN w:val="0"/>
        <w:adjustRightInd w:val="0"/>
        <w:rPr>
          <w:rFonts w:eastAsia="HelenPro-Regular"/>
        </w:rPr>
      </w:pPr>
    </w:p>
    <w:p w:rsidR="008D1A2D" w:rsidRPr="00C50220" w:rsidRDefault="00162724" w:rsidP="00C50220">
      <w:pPr>
        <w:autoSpaceDE w:val="0"/>
        <w:autoSpaceDN w:val="0"/>
        <w:adjustRightInd w:val="0"/>
        <w:rPr>
          <w:rFonts w:eastAsia="HelenPro-Regular"/>
        </w:rPr>
      </w:pPr>
      <w:r w:rsidRPr="0074537C">
        <w:rPr>
          <w:rFonts w:eastAsia="HelenPro-Regular"/>
        </w:rPr>
        <w:t xml:space="preserve">For detailed information on ordering dilutions, refer to </w:t>
      </w:r>
      <w:r w:rsidRPr="0074537C">
        <w:rPr>
          <w:rFonts w:eastAsia="HelenPro-Regular"/>
          <w:i/>
          <w:iCs/>
        </w:rPr>
        <w:t xml:space="preserve">Section 5 </w:t>
      </w:r>
      <w:r w:rsidRPr="0074537C">
        <w:rPr>
          <w:rFonts w:eastAsia="HelenPro-Regular"/>
        </w:rPr>
        <w:t xml:space="preserve">of the </w:t>
      </w:r>
      <w:r w:rsidRPr="0074537C">
        <w:rPr>
          <w:rFonts w:eastAsia="HelenPro-Bold"/>
          <w:b/>
          <w:bCs/>
        </w:rPr>
        <w:t>ARCHITECT System Operations Manual</w:t>
      </w:r>
      <w:r w:rsidRPr="0074537C">
        <w:rPr>
          <w:rFonts w:eastAsia="HelenPro-Regular"/>
        </w:rPr>
        <w:t>.</w:t>
      </w:r>
    </w:p>
    <w:p w:rsidR="008D1A2D" w:rsidRDefault="008D1A2D" w:rsidP="00F95946">
      <w:pPr>
        <w:rPr>
          <w:b/>
          <w:color w:val="000000"/>
        </w:rPr>
      </w:pPr>
    </w:p>
    <w:p w:rsidR="00912FE4" w:rsidRPr="0074537C" w:rsidRDefault="00912FE4" w:rsidP="00F95946">
      <w:pPr>
        <w:rPr>
          <w:rFonts w:eastAsia="HelenPro-Regular"/>
        </w:rPr>
      </w:pPr>
      <w:r w:rsidRPr="0074537C">
        <w:rPr>
          <w:b/>
          <w:color w:val="000000"/>
        </w:rPr>
        <w:t>Precision:</w:t>
      </w:r>
      <w:r w:rsidR="0038442D" w:rsidRPr="0074537C">
        <w:rPr>
          <w:b/>
          <w:color w:val="000000"/>
        </w:rPr>
        <w:t xml:space="preserve"> </w:t>
      </w:r>
    </w:p>
    <w:p w:rsidR="00E54D14" w:rsidRPr="0074537C" w:rsidRDefault="00E54D14" w:rsidP="00E54D14">
      <w:pPr>
        <w:autoSpaceDE w:val="0"/>
        <w:autoSpaceDN w:val="0"/>
        <w:adjustRightInd w:val="0"/>
        <w:rPr>
          <w:rFonts w:eastAsia="HelenPro-Regular"/>
        </w:rPr>
      </w:pPr>
    </w:p>
    <w:p w:rsidR="00E54D14" w:rsidRPr="0074537C" w:rsidRDefault="00EF7552" w:rsidP="00E54D14">
      <w:pPr>
        <w:autoSpaceDE w:val="0"/>
        <w:autoSpaceDN w:val="0"/>
        <w:adjustRightInd w:val="0"/>
        <w:rPr>
          <w:rFonts w:eastAsia="HelenPro-Regular"/>
        </w:rPr>
      </w:pPr>
      <w:r w:rsidRPr="0074537C">
        <w:rPr>
          <w:noProof/>
        </w:rPr>
        <w:drawing>
          <wp:inline distT="0" distB="0" distL="0" distR="0" wp14:anchorId="2F15CBB8" wp14:editId="72351E1E">
            <wp:extent cx="3551275" cy="262137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50517" cy="2620810"/>
                    </a:xfrm>
                    <a:prstGeom prst="rect">
                      <a:avLst/>
                    </a:prstGeom>
                  </pic:spPr>
                </pic:pic>
              </a:graphicData>
            </a:graphic>
          </wp:inline>
        </w:drawing>
      </w:r>
    </w:p>
    <w:p w:rsidR="00EF7552" w:rsidRPr="0074537C" w:rsidRDefault="00EF7552" w:rsidP="00E54D14">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Bold"/>
          <w:b/>
          <w:bCs/>
        </w:rPr>
      </w:pPr>
      <w:r w:rsidRPr="0074537C">
        <w:rPr>
          <w:rFonts w:eastAsia="HelenPro-Bold"/>
          <w:b/>
          <w:bCs/>
        </w:rPr>
        <w:t>Semiquantitative Precision</w:t>
      </w:r>
    </w:p>
    <w:p w:rsidR="00EF7552" w:rsidRPr="0074537C" w:rsidRDefault="00EF7552" w:rsidP="00EF7552">
      <w:pPr>
        <w:autoSpaceDE w:val="0"/>
        <w:autoSpaceDN w:val="0"/>
        <w:adjustRightInd w:val="0"/>
        <w:rPr>
          <w:rFonts w:eastAsia="HelenPro-Regular"/>
        </w:rPr>
      </w:pPr>
      <w:r w:rsidRPr="0074537C">
        <w:rPr>
          <w:rFonts w:eastAsia="HelenPro-Regular"/>
        </w:rPr>
        <w:t xml:space="preserve">Precision on an ARCHITECT </w:t>
      </w:r>
      <w:r w:rsidRPr="0074537C">
        <w:rPr>
          <w:rFonts w:eastAsia="HelenPro-Bold"/>
          <w:i/>
          <w:iCs/>
        </w:rPr>
        <w:t xml:space="preserve">c </w:t>
      </w:r>
      <w:r w:rsidRPr="0074537C">
        <w:rPr>
          <w:rFonts w:eastAsia="HelenPro-Regular"/>
        </w:rPr>
        <w:t xml:space="preserve">System is </w:t>
      </w:r>
      <w:r w:rsidRPr="0074537C">
        <w:rPr>
          <w:rFonts w:eastAsia="HelenPro-Light"/>
        </w:rPr>
        <w:t xml:space="preserve">≤ </w:t>
      </w:r>
      <w:r w:rsidRPr="0074537C">
        <w:rPr>
          <w:rFonts w:eastAsia="HelenPro-Regular"/>
        </w:rPr>
        <w:t>10% total CV.</w:t>
      </w:r>
    </w:p>
    <w:p w:rsidR="00EF7552" w:rsidRPr="0074537C" w:rsidRDefault="00EF7552" w:rsidP="00EF7552">
      <w:pPr>
        <w:autoSpaceDE w:val="0"/>
        <w:autoSpaceDN w:val="0"/>
        <w:adjustRightInd w:val="0"/>
        <w:rPr>
          <w:rFonts w:eastAsia="HelenPro-Regular"/>
        </w:rPr>
      </w:pPr>
      <w:r w:rsidRPr="0074537C">
        <w:rPr>
          <w:noProof/>
        </w:rPr>
        <w:drawing>
          <wp:inline distT="0" distB="0" distL="0" distR="0" wp14:anchorId="7AD161A7" wp14:editId="4D9C2E24">
            <wp:extent cx="3633015" cy="2317897"/>
            <wp:effectExtent l="0" t="0" r="571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632633" cy="2317653"/>
                    </a:xfrm>
                    <a:prstGeom prst="rect">
                      <a:avLst/>
                    </a:prstGeom>
                  </pic:spPr>
                </pic:pic>
              </a:graphicData>
            </a:graphic>
          </wp:inline>
        </w:drawing>
      </w:r>
    </w:p>
    <w:p w:rsidR="00EF7552" w:rsidRPr="0074537C" w:rsidRDefault="00EF7552" w:rsidP="00C53E37">
      <w:pPr>
        <w:pStyle w:val="Heading4"/>
        <w:rPr>
          <w:sz w:val="24"/>
          <w:szCs w:val="24"/>
        </w:rPr>
      </w:pPr>
    </w:p>
    <w:p w:rsidR="00C53E37" w:rsidRPr="0074537C" w:rsidRDefault="00C53E37" w:rsidP="00C53E37">
      <w:pPr>
        <w:pStyle w:val="Heading4"/>
        <w:rPr>
          <w:sz w:val="24"/>
          <w:szCs w:val="24"/>
        </w:rPr>
      </w:pPr>
      <w:r w:rsidRPr="0074537C">
        <w:rPr>
          <w:sz w:val="24"/>
          <w:szCs w:val="24"/>
        </w:rPr>
        <w:t>Limitations of Procedure</w:t>
      </w:r>
      <w:r w:rsidR="00973EAF" w:rsidRPr="0074537C">
        <w:rPr>
          <w:sz w:val="24"/>
          <w:szCs w:val="24"/>
        </w:rPr>
        <w:t xml:space="preserve"> </w:t>
      </w:r>
    </w:p>
    <w:p w:rsidR="00EF7552" w:rsidRPr="0074537C" w:rsidRDefault="00EF7552" w:rsidP="00EF7552">
      <w:pPr>
        <w:autoSpaceDE w:val="0"/>
        <w:autoSpaceDN w:val="0"/>
        <w:adjustRightInd w:val="0"/>
        <w:rPr>
          <w:rFonts w:eastAsia="HelenPro-Regular"/>
        </w:rPr>
      </w:pPr>
      <w:r w:rsidRPr="0074537C">
        <w:rPr>
          <w:rFonts w:eastAsia="HelenPro-Regular"/>
        </w:rPr>
        <w:t>• The assay is designed for use with human urine only.</w:t>
      </w:r>
    </w:p>
    <w:p w:rsidR="00EF7552" w:rsidRPr="0074537C" w:rsidRDefault="00EF7552" w:rsidP="00EF7552">
      <w:pPr>
        <w:autoSpaceDE w:val="0"/>
        <w:autoSpaceDN w:val="0"/>
        <w:adjustRightInd w:val="0"/>
        <w:rPr>
          <w:rFonts w:eastAsia="HelenPro-Regular"/>
        </w:rPr>
      </w:pPr>
      <w:r w:rsidRPr="0074537C">
        <w:rPr>
          <w:rFonts w:eastAsia="HelenPro-Regular"/>
        </w:rPr>
        <w:t>• A positive result indicates only the presence of opiates and does not necessarily correlate with the extent of physiological and psychological effects.</w:t>
      </w:r>
    </w:p>
    <w:p w:rsidR="00EF7552" w:rsidRPr="0074537C" w:rsidRDefault="00EF7552" w:rsidP="00EF7552">
      <w:pPr>
        <w:autoSpaceDE w:val="0"/>
        <w:autoSpaceDN w:val="0"/>
        <w:adjustRightInd w:val="0"/>
        <w:rPr>
          <w:rFonts w:eastAsia="HelenPro-Regular"/>
        </w:rPr>
      </w:pPr>
      <w:r w:rsidRPr="0074537C">
        <w:rPr>
          <w:rFonts w:eastAsia="HelenPro-Regular"/>
        </w:rPr>
        <w:t>• A positive result by this assay should be confirmed by a chemical method such as GC, Thin Layer Chromatography (TLC) or GC/MS.</w:t>
      </w:r>
    </w:p>
    <w:p w:rsidR="00EF7552" w:rsidRPr="0074537C" w:rsidRDefault="00EF7552" w:rsidP="00EF7552">
      <w:pPr>
        <w:autoSpaceDE w:val="0"/>
        <w:autoSpaceDN w:val="0"/>
        <w:adjustRightInd w:val="0"/>
        <w:rPr>
          <w:rFonts w:eastAsia="HelenPro-Regular"/>
        </w:rPr>
      </w:pPr>
      <w:r w:rsidRPr="0074537C">
        <w:rPr>
          <w:rFonts w:eastAsia="HelenPro-Regular"/>
        </w:rPr>
        <w:t>• It is possible that other substances and/or factors (e.g., technical or procedural) not listed in the specificity table may interfere with the test and cause false results.</w:t>
      </w:r>
    </w:p>
    <w:p w:rsidR="00AA6D00" w:rsidRPr="0074537C" w:rsidRDefault="00EF7552" w:rsidP="00EF7552">
      <w:pPr>
        <w:autoSpaceDE w:val="0"/>
        <w:autoSpaceDN w:val="0"/>
        <w:adjustRightInd w:val="0"/>
        <w:rPr>
          <w:rFonts w:eastAsia="HelenPro-Regular"/>
        </w:rPr>
      </w:pPr>
      <w:r w:rsidRPr="0074537C">
        <w:rPr>
          <w:rFonts w:eastAsia="HelenPro-Bold"/>
          <w:b/>
          <w:bCs/>
        </w:rPr>
        <w:lastRenderedPageBreak/>
        <w:t xml:space="preserve">NOTE: </w:t>
      </w:r>
      <w:r w:rsidRPr="0074537C">
        <w:rPr>
          <w:rFonts w:eastAsia="HelenPro-Regular"/>
        </w:rPr>
        <w:t>Poppy seeds can contain opiates, and ingestion of products containing poppy seeds can cause a positive test result at the 300 ng/mL cutoff.</w:t>
      </w:r>
    </w:p>
    <w:p w:rsidR="00FF2A54" w:rsidRPr="0074537C" w:rsidRDefault="00FF2A54" w:rsidP="00DB7BA9">
      <w:pPr>
        <w:autoSpaceDE w:val="0"/>
        <w:autoSpaceDN w:val="0"/>
        <w:adjustRightInd w:val="0"/>
        <w:rPr>
          <w:rFonts w:eastAsia="HelenPro-Bold"/>
          <w:b/>
          <w:bCs/>
        </w:rPr>
      </w:pPr>
    </w:p>
    <w:p w:rsidR="00DB7BA9" w:rsidRPr="0074537C" w:rsidRDefault="00DB7BA9" w:rsidP="00DB7BA9">
      <w:pPr>
        <w:autoSpaceDE w:val="0"/>
        <w:autoSpaceDN w:val="0"/>
        <w:adjustRightInd w:val="0"/>
        <w:rPr>
          <w:rFonts w:eastAsia="HelenPro-Bold"/>
          <w:b/>
          <w:bCs/>
        </w:rPr>
      </w:pPr>
      <w:r w:rsidRPr="0074537C">
        <w:rPr>
          <w:rFonts w:eastAsia="HelenPro-Bold"/>
          <w:b/>
          <w:bCs/>
        </w:rPr>
        <w:t>Specificity</w:t>
      </w:r>
    </w:p>
    <w:p w:rsidR="009615C8" w:rsidRPr="0074537C" w:rsidRDefault="00EF7552" w:rsidP="00EF7552">
      <w:pPr>
        <w:autoSpaceDE w:val="0"/>
        <w:autoSpaceDN w:val="0"/>
        <w:adjustRightInd w:val="0"/>
        <w:rPr>
          <w:rFonts w:eastAsia="HelenPro-Regular"/>
        </w:rPr>
      </w:pPr>
      <w:r w:rsidRPr="0074537C">
        <w:rPr>
          <w:rFonts w:eastAsia="HelenPro-Regular"/>
        </w:rPr>
        <w:t>Various potentially interfering substances were tested for cross reactivity with the assay. The compounds listed in the table below produced a result approximately equivalent to the cutoff calibrators (300 ng/mL and 2,000 ng/mL).</w:t>
      </w:r>
    </w:p>
    <w:p w:rsidR="00EF7552" w:rsidRPr="0074537C" w:rsidRDefault="00EF7552" w:rsidP="00EF7552">
      <w:pPr>
        <w:autoSpaceDE w:val="0"/>
        <w:autoSpaceDN w:val="0"/>
        <w:adjustRightInd w:val="0"/>
        <w:rPr>
          <w:rFonts w:eastAsia="HelenPro-Regular"/>
        </w:rPr>
      </w:pPr>
      <w:r w:rsidRPr="0074537C">
        <w:rPr>
          <w:noProof/>
        </w:rPr>
        <w:drawing>
          <wp:inline distT="0" distB="0" distL="0" distR="0" wp14:anchorId="7BA2F942" wp14:editId="3641658B">
            <wp:extent cx="3455582" cy="258581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456128" cy="2586219"/>
                    </a:xfrm>
                    <a:prstGeom prst="rect">
                      <a:avLst/>
                    </a:prstGeom>
                  </pic:spPr>
                </pic:pic>
              </a:graphicData>
            </a:graphic>
          </wp:inline>
        </w:drawing>
      </w:r>
    </w:p>
    <w:p w:rsidR="00EF7552" w:rsidRPr="0074537C" w:rsidRDefault="00EF7552" w:rsidP="00EF7552">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Regular"/>
        </w:rPr>
      </w:pPr>
    </w:p>
    <w:p w:rsidR="00EF7552" w:rsidRDefault="00EF7552" w:rsidP="00EF7552">
      <w:pPr>
        <w:autoSpaceDE w:val="0"/>
        <w:autoSpaceDN w:val="0"/>
        <w:adjustRightInd w:val="0"/>
        <w:rPr>
          <w:rFonts w:eastAsia="HelenPro-Regular"/>
        </w:rPr>
      </w:pPr>
    </w:p>
    <w:p w:rsidR="00695650" w:rsidRDefault="00695650" w:rsidP="00EF7552">
      <w:pPr>
        <w:autoSpaceDE w:val="0"/>
        <w:autoSpaceDN w:val="0"/>
        <w:adjustRightInd w:val="0"/>
        <w:rPr>
          <w:rFonts w:eastAsia="HelenPro-Regular"/>
        </w:rPr>
      </w:pPr>
    </w:p>
    <w:p w:rsidR="00695650" w:rsidRDefault="00695650" w:rsidP="00EF7552">
      <w:pPr>
        <w:autoSpaceDE w:val="0"/>
        <w:autoSpaceDN w:val="0"/>
        <w:adjustRightInd w:val="0"/>
        <w:rPr>
          <w:rFonts w:eastAsia="HelenPro-Regular"/>
        </w:rPr>
      </w:pPr>
    </w:p>
    <w:p w:rsidR="00695650" w:rsidRDefault="00695650" w:rsidP="00EF7552">
      <w:pPr>
        <w:autoSpaceDE w:val="0"/>
        <w:autoSpaceDN w:val="0"/>
        <w:adjustRightInd w:val="0"/>
        <w:rPr>
          <w:rFonts w:eastAsia="HelenPro-Regular"/>
        </w:rPr>
      </w:pPr>
    </w:p>
    <w:p w:rsidR="00695650" w:rsidRDefault="00695650" w:rsidP="00EF7552">
      <w:pPr>
        <w:autoSpaceDE w:val="0"/>
        <w:autoSpaceDN w:val="0"/>
        <w:adjustRightInd w:val="0"/>
        <w:rPr>
          <w:rFonts w:eastAsia="HelenPro-Regular"/>
        </w:rPr>
      </w:pPr>
    </w:p>
    <w:p w:rsidR="00695650" w:rsidRDefault="00695650" w:rsidP="00EF7552">
      <w:pPr>
        <w:autoSpaceDE w:val="0"/>
        <w:autoSpaceDN w:val="0"/>
        <w:adjustRightInd w:val="0"/>
        <w:rPr>
          <w:rFonts w:eastAsia="HelenPro-Regular"/>
        </w:rPr>
      </w:pPr>
    </w:p>
    <w:p w:rsidR="00695650" w:rsidRDefault="00695650" w:rsidP="00EF7552">
      <w:pPr>
        <w:autoSpaceDE w:val="0"/>
        <w:autoSpaceDN w:val="0"/>
        <w:adjustRightInd w:val="0"/>
        <w:rPr>
          <w:rFonts w:eastAsia="HelenPro-Regular"/>
        </w:rPr>
      </w:pPr>
    </w:p>
    <w:p w:rsidR="00695650" w:rsidRDefault="00695650" w:rsidP="00EF7552">
      <w:pPr>
        <w:autoSpaceDE w:val="0"/>
        <w:autoSpaceDN w:val="0"/>
        <w:adjustRightInd w:val="0"/>
        <w:rPr>
          <w:rFonts w:eastAsia="HelenPro-Regular"/>
        </w:rPr>
      </w:pPr>
    </w:p>
    <w:p w:rsidR="00695650" w:rsidRDefault="00695650" w:rsidP="00EF7552">
      <w:pPr>
        <w:autoSpaceDE w:val="0"/>
        <w:autoSpaceDN w:val="0"/>
        <w:adjustRightInd w:val="0"/>
        <w:rPr>
          <w:rFonts w:eastAsia="HelenPro-Regular"/>
        </w:rPr>
      </w:pPr>
    </w:p>
    <w:p w:rsidR="00695650" w:rsidRDefault="00695650" w:rsidP="00EF7552">
      <w:pPr>
        <w:autoSpaceDE w:val="0"/>
        <w:autoSpaceDN w:val="0"/>
        <w:adjustRightInd w:val="0"/>
        <w:rPr>
          <w:rFonts w:eastAsia="HelenPro-Regular"/>
        </w:rPr>
      </w:pPr>
    </w:p>
    <w:p w:rsidR="00695650" w:rsidRDefault="00695650" w:rsidP="00EF7552">
      <w:pPr>
        <w:autoSpaceDE w:val="0"/>
        <w:autoSpaceDN w:val="0"/>
        <w:adjustRightInd w:val="0"/>
        <w:rPr>
          <w:rFonts w:eastAsia="HelenPro-Regular"/>
        </w:rPr>
      </w:pPr>
    </w:p>
    <w:p w:rsidR="00695650" w:rsidRDefault="00695650" w:rsidP="00EF7552">
      <w:pPr>
        <w:autoSpaceDE w:val="0"/>
        <w:autoSpaceDN w:val="0"/>
        <w:adjustRightInd w:val="0"/>
        <w:rPr>
          <w:rFonts w:eastAsia="HelenPro-Regular"/>
        </w:rPr>
      </w:pPr>
    </w:p>
    <w:p w:rsidR="00695650" w:rsidRDefault="00695650" w:rsidP="00EF7552">
      <w:pPr>
        <w:autoSpaceDE w:val="0"/>
        <w:autoSpaceDN w:val="0"/>
        <w:adjustRightInd w:val="0"/>
        <w:rPr>
          <w:rFonts w:eastAsia="HelenPro-Regular"/>
        </w:rPr>
      </w:pPr>
    </w:p>
    <w:p w:rsidR="00695650" w:rsidRDefault="00695650" w:rsidP="00EF7552">
      <w:pPr>
        <w:autoSpaceDE w:val="0"/>
        <w:autoSpaceDN w:val="0"/>
        <w:adjustRightInd w:val="0"/>
        <w:rPr>
          <w:rFonts w:eastAsia="HelenPro-Regular"/>
        </w:rPr>
      </w:pPr>
    </w:p>
    <w:p w:rsidR="00695650" w:rsidRPr="0074537C" w:rsidRDefault="00695650" w:rsidP="00EF7552">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Regular"/>
        </w:rPr>
      </w:pPr>
      <w:r w:rsidRPr="0074537C">
        <w:rPr>
          <w:rFonts w:eastAsia="HelenPro-Regular"/>
        </w:rPr>
        <w:t>The compounds listed in the table below produced a negative result relative to both the 300 ng/mL and 2,000 ng/mL cutoff calibrators.</w:t>
      </w:r>
    </w:p>
    <w:p w:rsidR="00EF7552" w:rsidRPr="0074537C" w:rsidRDefault="00EF7552" w:rsidP="00EF7552">
      <w:pPr>
        <w:autoSpaceDE w:val="0"/>
        <w:autoSpaceDN w:val="0"/>
        <w:adjustRightInd w:val="0"/>
        <w:rPr>
          <w:rFonts w:eastAsia="HelenPro-Regular"/>
        </w:rPr>
      </w:pPr>
      <w:r w:rsidRPr="0074537C">
        <w:rPr>
          <w:noProof/>
        </w:rPr>
        <w:drawing>
          <wp:inline distT="0" distB="0" distL="0" distR="0" wp14:anchorId="05E1560C" wp14:editId="30AEC7F4">
            <wp:extent cx="3623420" cy="339178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626886" cy="3395031"/>
                    </a:xfrm>
                    <a:prstGeom prst="rect">
                      <a:avLst/>
                    </a:prstGeom>
                  </pic:spPr>
                </pic:pic>
              </a:graphicData>
            </a:graphic>
          </wp:inline>
        </w:drawing>
      </w:r>
    </w:p>
    <w:p w:rsidR="00CE7D0A" w:rsidRPr="0074537C" w:rsidRDefault="00CE7D0A" w:rsidP="00CE7D0A">
      <w:pPr>
        <w:autoSpaceDE w:val="0"/>
        <w:autoSpaceDN w:val="0"/>
        <w:adjustRightInd w:val="0"/>
        <w:rPr>
          <w:rFonts w:eastAsia="HelenPro-Regular"/>
        </w:rPr>
      </w:pPr>
    </w:p>
    <w:p w:rsidR="00415171" w:rsidRPr="0074537C" w:rsidRDefault="00415171" w:rsidP="00D16B69">
      <w:pPr>
        <w:jc w:val="both"/>
        <w:rPr>
          <w:b/>
        </w:rPr>
      </w:pPr>
    </w:p>
    <w:p w:rsidR="00415171" w:rsidRPr="0074537C" w:rsidRDefault="00415171" w:rsidP="00D16B69">
      <w:pPr>
        <w:jc w:val="both"/>
        <w:rPr>
          <w:b/>
        </w:rPr>
      </w:pPr>
    </w:p>
    <w:p w:rsidR="00415171" w:rsidRPr="0074537C" w:rsidRDefault="00415171" w:rsidP="00D16B69">
      <w:pPr>
        <w:jc w:val="both"/>
        <w:rPr>
          <w:b/>
        </w:rPr>
      </w:pPr>
    </w:p>
    <w:p w:rsidR="00D16B69" w:rsidRPr="0074537C" w:rsidRDefault="00415171" w:rsidP="00D16B69">
      <w:pPr>
        <w:jc w:val="both"/>
        <w:rPr>
          <w:b/>
        </w:rPr>
      </w:pPr>
      <w:r w:rsidRPr="0074537C">
        <w:rPr>
          <w:b/>
        </w:rPr>
        <w:t>R</w:t>
      </w:r>
      <w:r w:rsidR="00D16B69" w:rsidRPr="0074537C">
        <w:rPr>
          <w:b/>
        </w:rPr>
        <w:t>eferences:</w:t>
      </w:r>
      <w:r w:rsidR="00973EAF" w:rsidRPr="0074537C">
        <w:rPr>
          <w:b/>
        </w:rPr>
        <w:t xml:space="preserve"> </w:t>
      </w:r>
    </w:p>
    <w:p w:rsidR="000A13F2" w:rsidRPr="0074537C" w:rsidRDefault="000A13F2" w:rsidP="00030CDD">
      <w:pPr>
        <w:pStyle w:val="ListParagraph"/>
        <w:numPr>
          <w:ilvl w:val="0"/>
          <w:numId w:val="4"/>
        </w:numPr>
        <w:rPr>
          <w:sz w:val="22"/>
          <w:szCs w:val="22"/>
        </w:rPr>
      </w:pPr>
      <w:r w:rsidRPr="0074537C">
        <w:rPr>
          <w:sz w:val="22"/>
          <w:szCs w:val="22"/>
        </w:rPr>
        <w:t xml:space="preserve">ABBOTT ARCHITECT </w:t>
      </w:r>
      <w:r w:rsidR="004B0C0A" w:rsidRPr="0074537C">
        <w:rPr>
          <w:sz w:val="22"/>
          <w:szCs w:val="22"/>
        </w:rPr>
        <w:t>Opiates</w:t>
      </w:r>
      <w:r w:rsidRPr="0074537C">
        <w:rPr>
          <w:sz w:val="22"/>
          <w:szCs w:val="22"/>
        </w:rPr>
        <w:t xml:space="preserve"> package insert</w:t>
      </w:r>
    </w:p>
    <w:p w:rsidR="000A13F2" w:rsidRPr="0074537C" w:rsidRDefault="000A13F2" w:rsidP="000A13F2">
      <w:pPr>
        <w:pStyle w:val="ListParagraph"/>
        <w:rPr>
          <w:sz w:val="22"/>
          <w:szCs w:val="22"/>
        </w:rPr>
      </w:pPr>
      <w:r w:rsidRPr="0074537C">
        <w:rPr>
          <w:sz w:val="22"/>
          <w:szCs w:val="22"/>
        </w:rPr>
        <w:t>Abbott Laboratories</w:t>
      </w:r>
    </w:p>
    <w:p w:rsidR="000A13F2" w:rsidRPr="0074537C" w:rsidRDefault="000A13F2" w:rsidP="000A13F2">
      <w:pPr>
        <w:pStyle w:val="ListParagraph"/>
        <w:rPr>
          <w:sz w:val="22"/>
          <w:szCs w:val="22"/>
        </w:rPr>
      </w:pPr>
      <w:r w:rsidRPr="0074537C">
        <w:rPr>
          <w:sz w:val="22"/>
          <w:szCs w:val="22"/>
        </w:rPr>
        <w:t>Diagnostics Division</w:t>
      </w:r>
    </w:p>
    <w:p w:rsidR="000A13F2" w:rsidRPr="0074537C" w:rsidRDefault="000A13F2" w:rsidP="000A13F2">
      <w:pPr>
        <w:pStyle w:val="ListParagraph"/>
        <w:rPr>
          <w:sz w:val="22"/>
          <w:szCs w:val="22"/>
        </w:rPr>
      </w:pPr>
      <w:r w:rsidRPr="0074537C">
        <w:rPr>
          <w:sz w:val="22"/>
          <w:szCs w:val="22"/>
        </w:rPr>
        <w:t>Abbott Park, IL  60064</w:t>
      </w:r>
    </w:p>
    <w:p w:rsidR="00425BA0" w:rsidRPr="0074537C" w:rsidRDefault="00CE7D0A" w:rsidP="00425BA0">
      <w:pPr>
        <w:pStyle w:val="ListParagraph"/>
        <w:rPr>
          <w:rFonts w:eastAsia="HelenPro-Bold"/>
          <w:b/>
          <w:bCs/>
          <w:sz w:val="20"/>
          <w:szCs w:val="20"/>
        </w:rPr>
      </w:pPr>
      <w:r w:rsidRPr="0074537C">
        <w:rPr>
          <w:bCs/>
          <w:sz w:val="22"/>
          <w:szCs w:val="22"/>
        </w:rPr>
        <w:t>May</w:t>
      </w:r>
      <w:r w:rsidR="0074336C" w:rsidRPr="0074537C">
        <w:rPr>
          <w:bCs/>
          <w:sz w:val="22"/>
          <w:szCs w:val="22"/>
        </w:rPr>
        <w:t xml:space="preserve"> 201</w:t>
      </w:r>
      <w:r w:rsidR="005E3D97" w:rsidRPr="0074537C">
        <w:rPr>
          <w:bCs/>
          <w:sz w:val="22"/>
          <w:szCs w:val="22"/>
        </w:rPr>
        <w:t>4</w:t>
      </w:r>
      <w:r w:rsidR="000A13F2" w:rsidRPr="0074537C">
        <w:rPr>
          <w:bCs/>
          <w:sz w:val="22"/>
          <w:szCs w:val="22"/>
        </w:rPr>
        <w:t xml:space="preserve"> </w:t>
      </w:r>
      <w:r w:rsidR="004B0C0A" w:rsidRPr="0074537C">
        <w:rPr>
          <w:rFonts w:eastAsia="HelenPro-Regular"/>
        </w:rPr>
        <w:t>306385/R08</w:t>
      </w:r>
    </w:p>
    <w:p w:rsidR="000A13F2" w:rsidRPr="0074537C" w:rsidRDefault="000A13F2" w:rsidP="00425BA0">
      <w:pPr>
        <w:pStyle w:val="ListParagraph"/>
        <w:numPr>
          <w:ilvl w:val="0"/>
          <w:numId w:val="4"/>
        </w:numPr>
        <w:rPr>
          <w:rFonts w:eastAsia="HelenPro-Bold"/>
          <w:b/>
          <w:bCs/>
          <w:sz w:val="20"/>
          <w:szCs w:val="20"/>
        </w:rPr>
      </w:pPr>
      <w:r w:rsidRPr="0074537C">
        <w:rPr>
          <w:sz w:val="22"/>
          <w:szCs w:val="22"/>
        </w:rPr>
        <w:t xml:space="preserve">ABBOTT ARCHITECT </w:t>
      </w:r>
      <w:r w:rsidR="00F1102D" w:rsidRPr="0074537C">
        <w:rPr>
          <w:sz w:val="22"/>
          <w:szCs w:val="22"/>
        </w:rPr>
        <w:t>DOA</w:t>
      </w:r>
      <w:r w:rsidR="00294A08" w:rsidRPr="0074537C">
        <w:rPr>
          <w:sz w:val="22"/>
          <w:szCs w:val="22"/>
        </w:rPr>
        <w:t xml:space="preserve"> Multiconstituent</w:t>
      </w:r>
      <w:r w:rsidRPr="0074537C">
        <w:rPr>
          <w:sz w:val="22"/>
          <w:szCs w:val="22"/>
        </w:rPr>
        <w:t xml:space="preserve"> Calibrator package insert</w:t>
      </w:r>
    </w:p>
    <w:p w:rsidR="000A13F2" w:rsidRPr="0074537C" w:rsidRDefault="000A13F2" w:rsidP="000A13F2">
      <w:pPr>
        <w:pStyle w:val="ListParagraph"/>
        <w:rPr>
          <w:sz w:val="22"/>
          <w:szCs w:val="22"/>
        </w:rPr>
      </w:pPr>
      <w:r w:rsidRPr="0074537C">
        <w:rPr>
          <w:sz w:val="22"/>
          <w:szCs w:val="22"/>
        </w:rPr>
        <w:t>Abbott Laboratories</w:t>
      </w:r>
    </w:p>
    <w:p w:rsidR="000A13F2" w:rsidRPr="0074537C" w:rsidRDefault="000A13F2" w:rsidP="000A13F2">
      <w:pPr>
        <w:pStyle w:val="ListParagraph"/>
        <w:rPr>
          <w:sz w:val="22"/>
          <w:szCs w:val="22"/>
        </w:rPr>
      </w:pPr>
      <w:r w:rsidRPr="0074537C">
        <w:rPr>
          <w:sz w:val="22"/>
          <w:szCs w:val="22"/>
        </w:rPr>
        <w:t>Diagnostics Division</w:t>
      </w:r>
    </w:p>
    <w:p w:rsidR="000A13F2" w:rsidRPr="0074537C" w:rsidRDefault="000A13F2" w:rsidP="000A13F2">
      <w:pPr>
        <w:pStyle w:val="ListParagraph"/>
        <w:rPr>
          <w:sz w:val="22"/>
          <w:szCs w:val="22"/>
        </w:rPr>
      </w:pPr>
      <w:r w:rsidRPr="0074537C">
        <w:rPr>
          <w:sz w:val="22"/>
          <w:szCs w:val="22"/>
        </w:rPr>
        <w:t>Abbott Park, IL  60064</w:t>
      </w:r>
    </w:p>
    <w:p w:rsidR="00881923" w:rsidRPr="0074537C" w:rsidRDefault="000A13F2" w:rsidP="00030CDD">
      <w:pPr>
        <w:pStyle w:val="ListParagraph"/>
        <w:numPr>
          <w:ilvl w:val="0"/>
          <w:numId w:val="4"/>
        </w:numPr>
        <w:spacing w:after="72"/>
        <w:jc w:val="both"/>
      </w:pPr>
      <w:r w:rsidRPr="0074537C">
        <w:t>Abbott ARCHITECT</w:t>
      </w:r>
      <w:r w:rsidR="00D16B69" w:rsidRPr="0074537C">
        <w:rPr>
          <w:lang w:val="ru-RU"/>
        </w:rPr>
        <w:t xml:space="preserve"> Operator’s Guide</w:t>
      </w:r>
    </w:p>
    <w:p w:rsidR="00683421" w:rsidRPr="0074537C" w:rsidRDefault="00683421" w:rsidP="00246FA8">
      <w:pPr>
        <w:rPr>
          <w:b/>
        </w:rPr>
      </w:pPr>
    </w:p>
    <w:p w:rsidR="00EF7552" w:rsidRPr="0074537C" w:rsidRDefault="00EF7552" w:rsidP="00246FA8">
      <w:pPr>
        <w:rPr>
          <w:b/>
        </w:rPr>
      </w:pPr>
    </w:p>
    <w:p w:rsidR="00881923" w:rsidRPr="0074537C" w:rsidRDefault="002D18CA" w:rsidP="00246FA8">
      <w:pPr>
        <w:rPr>
          <w:i/>
          <w:sz w:val="20"/>
          <w:szCs w:val="20"/>
        </w:rPr>
      </w:pPr>
      <w:r w:rsidRPr="0074537C">
        <w:rPr>
          <w:b/>
        </w:rPr>
        <w:t>R</w:t>
      </w:r>
      <w:r w:rsidR="0009322F" w:rsidRPr="0074537C">
        <w:rPr>
          <w:b/>
        </w:rPr>
        <w:t xml:space="preserve">elated Documents: </w:t>
      </w:r>
    </w:p>
    <w:p w:rsidR="00157696" w:rsidRPr="0074537C" w:rsidRDefault="00157696" w:rsidP="00246FA8">
      <w:pPr>
        <w:rPr>
          <w:i/>
          <w:color w:val="FF0000"/>
        </w:rPr>
      </w:pPr>
      <w:r w:rsidRPr="0074537C">
        <w:rPr>
          <w:b/>
        </w:rPr>
        <w:t>Attachments:</w:t>
      </w:r>
      <w:r w:rsidR="00973EAF" w:rsidRPr="0074537C">
        <w:rPr>
          <w:b/>
        </w:rPr>
        <w:t xml:space="preserve"> </w:t>
      </w:r>
    </w:p>
    <w:p w:rsidR="002D18CA" w:rsidRPr="0074537C" w:rsidRDefault="002D18CA" w:rsidP="0009322F">
      <w:pPr>
        <w:rPr>
          <w:b/>
        </w:rPr>
      </w:pPr>
    </w:p>
    <w:p w:rsidR="00D16B69" w:rsidRDefault="00D16B69" w:rsidP="00951C8E">
      <w:pPr>
        <w:spacing w:after="72"/>
        <w:jc w:val="both"/>
      </w:pPr>
    </w:p>
    <w:sectPr w:rsidR="00D16B69" w:rsidSect="00507B0C">
      <w:headerReference w:type="even" r:id="rId19"/>
      <w:headerReference w:type="default" r:id="rId20"/>
      <w:footerReference w:type="even" r:id="rId21"/>
      <w:foot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518" w:rsidRDefault="00E45518">
      <w:r>
        <w:separator/>
      </w:r>
    </w:p>
  </w:endnote>
  <w:endnote w:type="continuationSeparator" w:id="0">
    <w:p w:rsidR="00E45518" w:rsidRDefault="00E4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HelenPro-Ligh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518" w:rsidRDefault="00E45518">
    <w:pPr>
      <w:pStyle w:val="Footer"/>
    </w:pPr>
  </w:p>
  <w:p w:rsidR="00E45518" w:rsidRDefault="00E455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518" w:rsidRDefault="00E45518" w:rsidP="00BC1EC4">
    <w:pPr>
      <w:pStyle w:val="Footer"/>
      <w:rPr>
        <w:sz w:val="20"/>
        <w:szCs w:val="20"/>
      </w:rPr>
    </w:pPr>
    <w:r>
      <w:rPr>
        <w:sz w:val="20"/>
        <w:szCs w:val="20"/>
      </w:rPr>
      <w:tab/>
    </w: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C66BFE">
      <w:rPr>
        <w:noProof/>
        <w:sz w:val="20"/>
        <w:szCs w:val="20"/>
      </w:rPr>
      <w:t>2</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C66BFE">
      <w:rPr>
        <w:noProof/>
        <w:sz w:val="20"/>
        <w:szCs w:val="20"/>
      </w:rPr>
      <w:t>11</w:t>
    </w:r>
    <w:r w:rsidRPr="00427B21">
      <w:rPr>
        <w:sz w:val="20"/>
        <w:szCs w:val="20"/>
      </w:rPr>
      <w:fldChar w:fldCharType="end"/>
    </w:r>
  </w:p>
  <w:p w:rsidR="00E45518" w:rsidRDefault="00E45518">
    <w:pPr>
      <w:pStyle w:val="Footer"/>
    </w:pPr>
  </w:p>
  <w:p w:rsidR="00E45518" w:rsidRDefault="00E45518" w:rsidP="006D28ED">
    <w:pPr>
      <w:pStyle w:val="Footer"/>
      <w:jc w:val="center"/>
    </w:pPr>
  </w:p>
  <w:p w:rsidR="00E45518" w:rsidRDefault="00E455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518" w:rsidRDefault="00E45518">
      <w:r>
        <w:separator/>
      </w:r>
    </w:p>
  </w:footnote>
  <w:footnote w:type="continuationSeparator" w:id="0">
    <w:p w:rsidR="00E45518" w:rsidRDefault="00E45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518" w:rsidRDefault="00E45518">
    <w:pPr>
      <w:pStyle w:val="Header"/>
    </w:pPr>
  </w:p>
  <w:p w:rsidR="00E45518" w:rsidRDefault="00E455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518" w:rsidRDefault="00E45518" w:rsidP="00100BF8">
    <w:pPr>
      <w:jc w:val="right"/>
      <w:rPr>
        <w:sz w:val="20"/>
        <w:szCs w:val="20"/>
      </w:rPr>
    </w:pPr>
    <w:r w:rsidRPr="001A639E">
      <w:rPr>
        <w:b/>
      </w:rPr>
      <w:tab/>
    </w:r>
    <w:r w:rsidRPr="001A639E">
      <w:rPr>
        <w:b/>
      </w:rPr>
      <w:tab/>
    </w:r>
    <w:r>
      <w:rPr>
        <w:b/>
        <w:sz w:val="20"/>
        <w:szCs w:val="20"/>
      </w:rPr>
      <w:t>Proc# 4840-CH-140</w:t>
    </w:r>
  </w:p>
  <w:p w:rsidR="00E45518" w:rsidRDefault="00E45518" w:rsidP="00100BF8">
    <w:pPr>
      <w:jc w:val="right"/>
      <w:rPr>
        <w:sz w:val="20"/>
        <w:szCs w:val="20"/>
      </w:rPr>
    </w:pPr>
    <w:r>
      <w:rPr>
        <w:sz w:val="20"/>
        <w:szCs w:val="20"/>
      </w:rPr>
      <w:t xml:space="preserve">ARCHITECT Opiates </w:t>
    </w:r>
    <w:r w:rsidR="00255B0B">
      <w:rPr>
        <w:sz w:val="20"/>
        <w:szCs w:val="20"/>
      </w:rPr>
      <w:t>300</w:t>
    </w:r>
  </w:p>
  <w:p w:rsidR="00E45518" w:rsidRDefault="00E455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E184047"/>
    <w:multiLevelType w:val="hybridMultilevel"/>
    <w:tmpl w:val="0F4C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5C3F27"/>
    <w:multiLevelType w:val="hybridMultilevel"/>
    <w:tmpl w:val="1920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8">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nsid w:val="6C2D542D"/>
    <w:multiLevelType w:val="hybridMultilevel"/>
    <w:tmpl w:val="357C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4">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14"/>
  </w:num>
  <w:num w:numId="3">
    <w:abstractNumId w:val="15"/>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4"/>
  </w:num>
  <w:num w:numId="8">
    <w:abstractNumId w:val="0"/>
  </w:num>
  <w:num w:numId="9">
    <w:abstractNumId w:val="11"/>
  </w:num>
  <w:num w:numId="10">
    <w:abstractNumId w:val="9"/>
  </w:num>
  <w:num w:numId="11">
    <w:abstractNumId w:val="10"/>
  </w:num>
  <w:num w:numId="12">
    <w:abstractNumId w:val="1"/>
  </w:num>
  <w:num w:numId="13">
    <w:abstractNumId w:val="5"/>
  </w:num>
  <w:num w:numId="14">
    <w:abstractNumId w:val="7"/>
  </w:num>
  <w:num w:numId="15">
    <w:abstractNumId w:val="12"/>
  </w:num>
  <w:num w:numId="16">
    <w:abstractNumId w:val="2"/>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CDD"/>
    <w:rsid w:val="00032E92"/>
    <w:rsid w:val="00040E43"/>
    <w:rsid w:val="00043105"/>
    <w:rsid w:val="000454FD"/>
    <w:rsid w:val="0006011A"/>
    <w:rsid w:val="000602A5"/>
    <w:rsid w:val="00062EAC"/>
    <w:rsid w:val="0006502B"/>
    <w:rsid w:val="00065C26"/>
    <w:rsid w:val="000743B7"/>
    <w:rsid w:val="00081C7F"/>
    <w:rsid w:val="00082648"/>
    <w:rsid w:val="00082815"/>
    <w:rsid w:val="0009322F"/>
    <w:rsid w:val="000A090B"/>
    <w:rsid w:val="000A13F2"/>
    <w:rsid w:val="000A341D"/>
    <w:rsid w:val="000A7D58"/>
    <w:rsid w:val="000B4575"/>
    <w:rsid w:val="000C1FD8"/>
    <w:rsid w:val="000E3328"/>
    <w:rsid w:val="000E4B88"/>
    <w:rsid w:val="000F49B2"/>
    <w:rsid w:val="00100BF8"/>
    <w:rsid w:val="0010358F"/>
    <w:rsid w:val="00107444"/>
    <w:rsid w:val="00132081"/>
    <w:rsid w:val="00133F38"/>
    <w:rsid w:val="0014554C"/>
    <w:rsid w:val="00155687"/>
    <w:rsid w:val="00157696"/>
    <w:rsid w:val="0016247C"/>
    <w:rsid w:val="00162724"/>
    <w:rsid w:val="00167572"/>
    <w:rsid w:val="00172CF7"/>
    <w:rsid w:val="0019760C"/>
    <w:rsid w:val="001A5FDB"/>
    <w:rsid w:val="001A639E"/>
    <w:rsid w:val="001B29A7"/>
    <w:rsid w:val="001B4267"/>
    <w:rsid w:val="001C48DA"/>
    <w:rsid w:val="001D3841"/>
    <w:rsid w:val="001D6AE0"/>
    <w:rsid w:val="001E079E"/>
    <w:rsid w:val="001E7DA5"/>
    <w:rsid w:val="001F32A9"/>
    <w:rsid w:val="001F6B7B"/>
    <w:rsid w:val="00246FA8"/>
    <w:rsid w:val="0025031C"/>
    <w:rsid w:val="00253C1F"/>
    <w:rsid w:val="00255B0B"/>
    <w:rsid w:val="00255C54"/>
    <w:rsid w:val="002609B2"/>
    <w:rsid w:val="002649AA"/>
    <w:rsid w:val="00273779"/>
    <w:rsid w:val="002746A8"/>
    <w:rsid w:val="00294A08"/>
    <w:rsid w:val="002B0D2A"/>
    <w:rsid w:val="002B1993"/>
    <w:rsid w:val="002C0E55"/>
    <w:rsid w:val="002C543E"/>
    <w:rsid w:val="002C7FD5"/>
    <w:rsid w:val="002D18CA"/>
    <w:rsid w:val="002D2075"/>
    <w:rsid w:val="002D370D"/>
    <w:rsid w:val="002D38DF"/>
    <w:rsid w:val="002D6FB9"/>
    <w:rsid w:val="002F52E0"/>
    <w:rsid w:val="003056A7"/>
    <w:rsid w:val="00310CF6"/>
    <w:rsid w:val="00347BEC"/>
    <w:rsid w:val="00353FD5"/>
    <w:rsid w:val="0037463A"/>
    <w:rsid w:val="0038442D"/>
    <w:rsid w:val="00386807"/>
    <w:rsid w:val="00396C4A"/>
    <w:rsid w:val="003B2E62"/>
    <w:rsid w:val="003B40E1"/>
    <w:rsid w:val="003C2522"/>
    <w:rsid w:val="003C596F"/>
    <w:rsid w:val="003D10DE"/>
    <w:rsid w:val="003D38B7"/>
    <w:rsid w:val="003D708C"/>
    <w:rsid w:val="003E62E7"/>
    <w:rsid w:val="00400A1A"/>
    <w:rsid w:val="00400CBA"/>
    <w:rsid w:val="00405EC8"/>
    <w:rsid w:val="00410514"/>
    <w:rsid w:val="00413FEE"/>
    <w:rsid w:val="00415171"/>
    <w:rsid w:val="00424A02"/>
    <w:rsid w:val="00425BA0"/>
    <w:rsid w:val="00431B39"/>
    <w:rsid w:val="00436811"/>
    <w:rsid w:val="0044058F"/>
    <w:rsid w:val="00443DB3"/>
    <w:rsid w:val="00452D5E"/>
    <w:rsid w:val="0045570E"/>
    <w:rsid w:val="00456575"/>
    <w:rsid w:val="00460600"/>
    <w:rsid w:val="00461686"/>
    <w:rsid w:val="0046271A"/>
    <w:rsid w:val="00464E3B"/>
    <w:rsid w:val="004708FA"/>
    <w:rsid w:val="00483734"/>
    <w:rsid w:val="00487C9E"/>
    <w:rsid w:val="00493DD1"/>
    <w:rsid w:val="004A03BD"/>
    <w:rsid w:val="004A2AA3"/>
    <w:rsid w:val="004B0C0A"/>
    <w:rsid w:val="004C05F8"/>
    <w:rsid w:val="004C104D"/>
    <w:rsid w:val="004C2C23"/>
    <w:rsid w:val="004C37CB"/>
    <w:rsid w:val="004C476C"/>
    <w:rsid w:val="004D1D9B"/>
    <w:rsid w:val="004F5F8A"/>
    <w:rsid w:val="00507B0C"/>
    <w:rsid w:val="00533CE1"/>
    <w:rsid w:val="00536F20"/>
    <w:rsid w:val="00551335"/>
    <w:rsid w:val="0055619E"/>
    <w:rsid w:val="0056023B"/>
    <w:rsid w:val="00574309"/>
    <w:rsid w:val="005806E5"/>
    <w:rsid w:val="0058304A"/>
    <w:rsid w:val="005902C0"/>
    <w:rsid w:val="005A1D53"/>
    <w:rsid w:val="005A4739"/>
    <w:rsid w:val="005A7348"/>
    <w:rsid w:val="005B0D1C"/>
    <w:rsid w:val="005C4292"/>
    <w:rsid w:val="005D51FA"/>
    <w:rsid w:val="005E3AB5"/>
    <w:rsid w:val="005E3D52"/>
    <w:rsid w:val="005E3D97"/>
    <w:rsid w:val="005F3E81"/>
    <w:rsid w:val="00607638"/>
    <w:rsid w:val="00610572"/>
    <w:rsid w:val="006107A2"/>
    <w:rsid w:val="0061553C"/>
    <w:rsid w:val="00621ABB"/>
    <w:rsid w:val="00623EFB"/>
    <w:rsid w:val="006245F4"/>
    <w:rsid w:val="0063150E"/>
    <w:rsid w:val="00644800"/>
    <w:rsid w:val="00652424"/>
    <w:rsid w:val="006559EB"/>
    <w:rsid w:val="00656BB9"/>
    <w:rsid w:val="0066236A"/>
    <w:rsid w:val="00674186"/>
    <w:rsid w:val="00681F73"/>
    <w:rsid w:val="00682038"/>
    <w:rsid w:val="00683421"/>
    <w:rsid w:val="00695650"/>
    <w:rsid w:val="006A5AAE"/>
    <w:rsid w:val="006B0A70"/>
    <w:rsid w:val="006B25C7"/>
    <w:rsid w:val="006B3C65"/>
    <w:rsid w:val="006B7455"/>
    <w:rsid w:val="006D28ED"/>
    <w:rsid w:val="006D40ED"/>
    <w:rsid w:val="006D586B"/>
    <w:rsid w:val="006E0F72"/>
    <w:rsid w:val="006E5155"/>
    <w:rsid w:val="006F7F4F"/>
    <w:rsid w:val="00714B7D"/>
    <w:rsid w:val="00714F24"/>
    <w:rsid w:val="0074336C"/>
    <w:rsid w:val="0074537C"/>
    <w:rsid w:val="00760AF2"/>
    <w:rsid w:val="007703C0"/>
    <w:rsid w:val="007840DD"/>
    <w:rsid w:val="007B09E3"/>
    <w:rsid w:val="007B0CCE"/>
    <w:rsid w:val="007B247B"/>
    <w:rsid w:val="007C3D4F"/>
    <w:rsid w:val="007C453B"/>
    <w:rsid w:val="007E4CE6"/>
    <w:rsid w:val="007E6C3C"/>
    <w:rsid w:val="0080146D"/>
    <w:rsid w:val="00804822"/>
    <w:rsid w:val="00812CCF"/>
    <w:rsid w:val="00824DB3"/>
    <w:rsid w:val="008314C4"/>
    <w:rsid w:val="00833E15"/>
    <w:rsid w:val="00841397"/>
    <w:rsid w:val="00846F9F"/>
    <w:rsid w:val="00847607"/>
    <w:rsid w:val="00863AA4"/>
    <w:rsid w:val="00864220"/>
    <w:rsid w:val="00880FDF"/>
    <w:rsid w:val="0088112F"/>
    <w:rsid w:val="00881923"/>
    <w:rsid w:val="00883611"/>
    <w:rsid w:val="00887139"/>
    <w:rsid w:val="008A1AF7"/>
    <w:rsid w:val="008A1CED"/>
    <w:rsid w:val="008A7551"/>
    <w:rsid w:val="008A7F96"/>
    <w:rsid w:val="008B590F"/>
    <w:rsid w:val="008C0AEF"/>
    <w:rsid w:val="008C5F72"/>
    <w:rsid w:val="008D1A2D"/>
    <w:rsid w:val="008D4DF4"/>
    <w:rsid w:val="008D7D37"/>
    <w:rsid w:val="008E00E3"/>
    <w:rsid w:val="008F7947"/>
    <w:rsid w:val="008F794A"/>
    <w:rsid w:val="0091292B"/>
    <w:rsid w:val="00912BAD"/>
    <w:rsid w:val="00912FE4"/>
    <w:rsid w:val="00920BFE"/>
    <w:rsid w:val="0092389D"/>
    <w:rsid w:val="00924B1D"/>
    <w:rsid w:val="00926E1B"/>
    <w:rsid w:val="009318E8"/>
    <w:rsid w:val="009467CE"/>
    <w:rsid w:val="00951C8E"/>
    <w:rsid w:val="00952933"/>
    <w:rsid w:val="00953BF2"/>
    <w:rsid w:val="009615C8"/>
    <w:rsid w:val="00964971"/>
    <w:rsid w:val="00973EAF"/>
    <w:rsid w:val="00980C01"/>
    <w:rsid w:val="009841EC"/>
    <w:rsid w:val="009A4991"/>
    <w:rsid w:val="009B4C90"/>
    <w:rsid w:val="009D1D61"/>
    <w:rsid w:val="009D498B"/>
    <w:rsid w:val="009E0FF1"/>
    <w:rsid w:val="009E49EB"/>
    <w:rsid w:val="009F648F"/>
    <w:rsid w:val="009F7C64"/>
    <w:rsid w:val="00A016EE"/>
    <w:rsid w:val="00A062F7"/>
    <w:rsid w:val="00A06412"/>
    <w:rsid w:val="00A1152E"/>
    <w:rsid w:val="00A15B97"/>
    <w:rsid w:val="00A226F3"/>
    <w:rsid w:val="00A241F8"/>
    <w:rsid w:val="00A31B8F"/>
    <w:rsid w:val="00A320E4"/>
    <w:rsid w:val="00A35DB6"/>
    <w:rsid w:val="00A408AE"/>
    <w:rsid w:val="00A5042D"/>
    <w:rsid w:val="00A554D4"/>
    <w:rsid w:val="00A67673"/>
    <w:rsid w:val="00A71728"/>
    <w:rsid w:val="00A71D1D"/>
    <w:rsid w:val="00A72EC0"/>
    <w:rsid w:val="00A77F93"/>
    <w:rsid w:val="00A81234"/>
    <w:rsid w:val="00A82E30"/>
    <w:rsid w:val="00A92E30"/>
    <w:rsid w:val="00AA271B"/>
    <w:rsid w:val="00AA6D00"/>
    <w:rsid w:val="00AA7B6F"/>
    <w:rsid w:val="00AB5354"/>
    <w:rsid w:val="00AB793D"/>
    <w:rsid w:val="00AC0E64"/>
    <w:rsid w:val="00AD402C"/>
    <w:rsid w:val="00AE6F5B"/>
    <w:rsid w:val="00AF597C"/>
    <w:rsid w:val="00B11C38"/>
    <w:rsid w:val="00B13AB5"/>
    <w:rsid w:val="00B30875"/>
    <w:rsid w:val="00B36577"/>
    <w:rsid w:val="00B434E9"/>
    <w:rsid w:val="00B438DB"/>
    <w:rsid w:val="00B45FE2"/>
    <w:rsid w:val="00B46687"/>
    <w:rsid w:val="00B50C75"/>
    <w:rsid w:val="00B51158"/>
    <w:rsid w:val="00B5389B"/>
    <w:rsid w:val="00B63263"/>
    <w:rsid w:val="00B63E8F"/>
    <w:rsid w:val="00B70AAC"/>
    <w:rsid w:val="00B712B1"/>
    <w:rsid w:val="00B72271"/>
    <w:rsid w:val="00B835D3"/>
    <w:rsid w:val="00BA0054"/>
    <w:rsid w:val="00BC1EC4"/>
    <w:rsid w:val="00BC62FA"/>
    <w:rsid w:val="00BC76E2"/>
    <w:rsid w:val="00BD1C0E"/>
    <w:rsid w:val="00BE40A6"/>
    <w:rsid w:val="00BF32B2"/>
    <w:rsid w:val="00C11784"/>
    <w:rsid w:val="00C2715D"/>
    <w:rsid w:val="00C32412"/>
    <w:rsid w:val="00C3571A"/>
    <w:rsid w:val="00C50220"/>
    <w:rsid w:val="00C53E37"/>
    <w:rsid w:val="00C63D0C"/>
    <w:rsid w:val="00C66BFE"/>
    <w:rsid w:val="00C90E57"/>
    <w:rsid w:val="00C912E2"/>
    <w:rsid w:val="00C966BF"/>
    <w:rsid w:val="00C967D5"/>
    <w:rsid w:val="00C97B02"/>
    <w:rsid w:val="00CA11D0"/>
    <w:rsid w:val="00CC2751"/>
    <w:rsid w:val="00CC37B4"/>
    <w:rsid w:val="00CC3D62"/>
    <w:rsid w:val="00CD2C07"/>
    <w:rsid w:val="00CE2DC7"/>
    <w:rsid w:val="00CE7D0A"/>
    <w:rsid w:val="00CF7868"/>
    <w:rsid w:val="00D006C7"/>
    <w:rsid w:val="00D031B3"/>
    <w:rsid w:val="00D117C7"/>
    <w:rsid w:val="00D16262"/>
    <w:rsid w:val="00D16B69"/>
    <w:rsid w:val="00D27C5A"/>
    <w:rsid w:val="00D339B0"/>
    <w:rsid w:val="00D5070C"/>
    <w:rsid w:val="00D50F05"/>
    <w:rsid w:val="00D5211B"/>
    <w:rsid w:val="00D56221"/>
    <w:rsid w:val="00D60AFA"/>
    <w:rsid w:val="00D62F92"/>
    <w:rsid w:val="00D64E39"/>
    <w:rsid w:val="00D71AF7"/>
    <w:rsid w:val="00D73BF8"/>
    <w:rsid w:val="00D77B64"/>
    <w:rsid w:val="00D80968"/>
    <w:rsid w:val="00D94BB8"/>
    <w:rsid w:val="00D97908"/>
    <w:rsid w:val="00DA040A"/>
    <w:rsid w:val="00DA6C6A"/>
    <w:rsid w:val="00DB49D0"/>
    <w:rsid w:val="00DB7BA9"/>
    <w:rsid w:val="00DC16C5"/>
    <w:rsid w:val="00DC56D1"/>
    <w:rsid w:val="00DD0481"/>
    <w:rsid w:val="00DD6BD3"/>
    <w:rsid w:val="00DE6C4E"/>
    <w:rsid w:val="00DE7EDE"/>
    <w:rsid w:val="00DF01DC"/>
    <w:rsid w:val="00DF022C"/>
    <w:rsid w:val="00DF4F4E"/>
    <w:rsid w:val="00E03B3D"/>
    <w:rsid w:val="00E07C43"/>
    <w:rsid w:val="00E12522"/>
    <w:rsid w:val="00E12AF4"/>
    <w:rsid w:val="00E133E6"/>
    <w:rsid w:val="00E3531A"/>
    <w:rsid w:val="00E36B73"/>
    <w:rsid w:val="00E40388"/>
    <w:rsid w:val="00E44BED"/>
    <w:rsid w:val="00E45518"/>
    <w:rsid w:val="00E4787B"/>
    <w:rsid w:val="00E50643"/>
    <w:rsid w:val="00E54D14"/>
    <w:rsid w:val="00E77CFB"/>
    <w:rsid w:val="00E97A8C"/>
    <w:rsid w:val="00EA0202"/>
    <w:rsid w:val="00EA1269"/>
    <w:rsid w:val="00EA713D"/>
    <w:rsid w:val="00EB2F9F"/>
    <w:rsid w:val="00EB33FE"/>
    <w:rsid w:val="00EC002B"/>
    <w:rsid w:val="00EC7B32"/>
    <w:rsid w:val="00ED2343"/>
    <w:rsid w:val="00ED3DA6"/>
    <w:rsid w:val="00ED4BBB"/>
    <w:rsid w:val="00ED5787"/>
    <w:rsid w:val="00ED5C16"/>
    <w:rsid w:val="00EE6BD9"/>
    <w:rsid w:val="00EF4170"/>
    <w:rsid w:val="00EF7552"/>
    <w:rsid w:val="00EF79A8"/>
    <w:rsid w:val="00F05CCD"/>
    <w:rsid w:val="00F1102D"/>
    <w:rsid w:val="00F13523"/>
    <w:rsid w:val="00F1787A"/>
    <w:rsid w:val="00F17F45"/>
    <w:rsid w:val="00F23218"/>
    <w:rsid w:val="00F25293"/>
    <w:rsid w:val="00F32BBD"/>
    <w:rsid w:val="00F3700B"/>
    <w:rsid w:val="00F4006E"/>
    <w:rsid w:val="00F6003A"/>
    <w:rsid w:val="00F61480"/>
    <w:rsid w:val="00F66836"/>
    <w:rsid w:val="00F7103F"/>
    <w:rsid w:val="00F7630F"/>
    <w:rsid w:val="00F80AD3"/>
    <w:rsid w:val="00F82D85"/>
    <w:rsid w:val="00F84979"/>
    <w:rsid w:val="00F91000"/>
    <w:rsid w:val="00F92520"/>
    <w:rsid w:val="00F95946"/>
    <w:rsid w:val="00FB49F4"/>
    <w:rsid w:val="00FD6E32"/>
    <w:rsid w:val="00FE7573"/>
    <w:rsid w:val="00FF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83C33-B791-4E62-8139-ED474B11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2320</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15400</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Suzanne Khoury</cp:lastModifiedBy>
  <cp:revision>2</cp:revision>
  <cp:lastPrinted>2018-11-26T20:23:00Z</cp:lastPrinted>
  <dcterms:created xsi:type="dcterms:W3CDTF">2021-07-08T14:42:00Z</dcterms:created>
  <dcterms:modified xsi:type="dcterms:W3CDTF">2021-07-08T14:42:00Z</dcterms:modified>
</cp:coreProperties>
</file>