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8F7" w:rsidRDefault="00C858F7">
      <w:pPr>
        <w:rPr>
          <w:b/>
          <w:sz w:val="28"/>
          <w:szCs w:val="28"/>
        </w:rPr>
      </w:pPr>
      <w:bookmarkStart w:id="0" w:name="_Hlk89340799"/>
      <w:bookmarkEnd w:id="0"/>
    </w:p>
    <w:p w:rsidR="009505CC" w:rsidRDefault="00DF7FF5">
      <w:pPr>
        <w:rPr>
          <w:b/>
          <w:sz w:val="28"/>
          <w:szCs w:val="28"/>
        </w:rPr>
      </w:pPr>
      <w:r>
        <w:rPr>
          <w:b/>
          <w:sz w:val="28"/>
          <w:szCs w:val="28"/>
        </w:rPr>
        <w:t>TITLE:</w:t>
      </w:r>
      <w:r w:rsidR="002B411A">
        <w:rPr>
          <w:b/>
          <w:sz w:val="28"/>
          <w:szCs w:val="28"/>
        </w:rPr>
        <w:t xml:space="preserve"> </w:t>
      </w:r>
      <w:r w:rsidR="00C41983">
        <w:rPr>
          <w:b/>
          <w:sz w:val="28"/>
          <w:szCs w:val="28"/>
        </w:rPr>
        <w:t xml:space="preserve"> </w:t>
      </w:r>
      <w:r w:rsidR="002804FC">
        <w:rPr>
          <w:b/>
          <w:sz w:val="28"/>
          <w:szCs w:val="28"/>
        </w:rPr>
        <w:t xml:space="preserve">HIT </w:t>
      </w:r>
      <w:r w:rsidR="004456E6">
        <w:rPr>
          <w:b/>
          <w:sz w:val="28"/>
          <w:szCs w:val="28"/>
        </w:rPr>
        <w:t>PF4 IgG Assay</w:t>
      </w:r>
    </w:p>
    <w:p w:rsidR="00940765" w:rsidRDefault="00940765">
      <w:pPr>
        <w:rPr>
          <w:b/>
          <w:sz w:val="28"/>
          <w:szCs w:val="28"/>
        </w:rPr>
      </w:pPr>
      <w:r>
        <w:rPr>
          <w:b/>
          <w:sz w:val="28"/>
          <w:szCs w:val="28"/>
        </w:rPr>
        <w:t>Intended Use:</w:t>
      </w:r>
    </w:p>
    <w:p w:rsidR="003C6C0C" w:rsidRPr="003C6C0C" w:rsidRDefault="003C6C0C">
      <w:pPr>
        <w:rPr>
          <w:sz w:val="28"/>
          <w:szCs w:val="28"/>
        </w:rPr>
      </w:pPr>
      <w:r>
        <w:rPr>
          <w:sz w:val="28"/>
          <w:szCs w:val="28"/>
        </w:rPr>
        <w:t xml:space="preserve">PF4 Enhanced assay is a qualitative solid phase enzyme linked immunosorbent assay (ELISA) designed to detect antibodies in human or sodium citrate plasma reactive with platelet factor 4 (PF4) when it is complexed to </w:t>
      </w:r>
      <w:r w:rsidR="006E36A6">
        <w:rPr>
          <w:sz w:val="28"/>
          <w:szCs w:val="28"/>
        </w:rPr>
        <w:t>polyanionic</w:t>
      </w:r>
      <w:r>
        <w:rPr>
          <w:sz w:val="28"/>
          <w:szCs w:val="28"/>
        </w:rPr>
        <w:t xml:space="preserve"> compounds such as Polyvinyl Sulfonate (PVS). These antibodies are found in some patients undergoing heparin </w:t>
      </w:r>
      <w:r w:rsidR="006E36A6">
        <w:rPr>
          <w:sz w:val="28"/>
          <w:szCs w:val="28"/>
        </w:rPr>
        <w:t>therapy.</w:t>
      </w:r>
    </w:p>
    <w:p w:rsidR="00940765" w:rsidRDefault="00940765">
      <w:pPr>
        <w:rPr>
          <w:b/>
          <w:sz w:val="28"/>
          <w:szCs w:val="28"/>
        </w:rPr>
      </w:pPr>
      <w:r>
        <w:rPr>
          <w:b/>
          <w:sz w:val="28"/>
          <w:szCs w:val="28"/>
        </w:rPr>
        <w:t>Summary and Explanation:</w:t>
      </w:r>
    </w:p>
    <w:p w:rsidR="006E36A6" w:rsidRDefault="006E36A6">
      <w:pPr>
        <w:rPr>
          <w:sz w:val="28"/>
          <w:szCs w:val="28"/>
          <w:vertAlign w:val="superscript"/>
        </w:rPr>
      </w:pPr>
      <w:r>
        <w:rPr>
          <w:sz w:val="28"/>
          <w:szCs w:val="28"/>
        </w:rPr>
        <w:t>Patients receiving heparin treatment for at least a week often develop thrombocytopenia.</w:t>
      </w:r>
      <w:r w:rsidR="005D2336">
        <w:rPr>
          <w:sz w:val="28"/>
          <w:szCs w:val="28"/>
          <w:vertAlign w:val="superscript"/>
        </w:rPr>
        <w:t>1,2,3</w:t>
      </w:r>
      <w:r w:rsidR="005D2336">
        <w:rPr>
          <w:sz w:val="28"/>
          <w:szCs w:val="28"/>
        </w:rPr>
        <w:t xml:space="preserve"> In some cases the platelet levels are reduced only slightly and return to normal even when heparin treatment is continued. This type of thrombocytopenia is termed “Type I” heparin-induced thrombocytopenia (HIT) and is not antibody-mediated.</w:t>
      </w:r>
      <w:r w:rsidR="005D2336">
        <w:rPr>
          <w:sz w:val="28"/>
          <w:szCs w:val="28"/>
          <w:vertAlign w:val="superscript"/>
        </w:rPr>
        <w:t>2</w:t>
      </w:r>
    </w:p>
    <w:p w:rsidR="005D2336" w:rsidRDefault="005D2336">
      <w:pPr>
        <w:rPr>
          <w:sz w:val="28"/>
          <w:szCs w:val="28"/>
          <w:vertAlign w:val="superscript"/>
        </w:rPr>
      </w:pPr>
      <w:r>
        <w:rPr>
          <w:sz w:val="28"/>
          <w:szCs w:val="28"/>
        </w:rPr>
        <w:t>In other patients thrombocytopenia is usually more severe and is antibody-mediated. This condition is designated “Type II” HIT. Type I HIT is generally considered to be a benign condition, whereas patients with Type II HIT are at risk to develop more severe thrombocytopenia as well as arterial or venous thrombosis if heparin therapy is continued. Antibodies associated with Type II HIT can be detected in several ways. The most commonly used techniques are the platelet aggregation test,</w:t>
      </w:r>
      <w:r>
        <w:rPr>
          <w:sz w:val="28"/>
          <w:szCs w:val="28"/>
          <w:vertAlign w:val="superscript"/>
        </w:rPr>
        <w:t xml:space="preserve">4 </w:t>
      </w:r>
      <w:r>
        <w:rPr>
          <w:sz w:val="28"/>
          <w:szCs w:val="28"/>
        </w:rPr>
        <w:t>the serotonin release test</w:t>
      </w:r>
      <w:r>
        <w:rPr>
          <w:sz w:val="28"/>
          <w:szCs w:val="28"/>
          <w:vertAlign w:val="superscript"/>
        </w:rPr>
        <w:t>5</w:t>
      </w:r>
      <w:r>
        <w:rPr>
          <w:sz w:val="28"/>
          <w:szCs w:val="28"/>
        </w:rPr>
        <w:t xml:space="preserve"> and the platelet factor 4 ELISA. </w:t>
      </w:r>
      <w:r>
        <w:rPr>
          <w:sz w:val="28"/>
          <w:szCs w:val="28"/>
          <w:vertAlign w:val="superscript"/>
        </w:rPr>
        <w:t>6,7,8</w:t>
      </w:r>
    </w:p>
    <w:p w:rsidR="005D2336" w:rsidRDefault="005D2336">
      <w:pPr>
        <w:rPr>
          <w:sz w:val="28"/>
          <w:szCs w:val="28"/>
          <w:vertAlign w:val="superscript"/>
        </w:rPr>
      </w:pPr>
      <w:r>
        <w:rPr>
          <w:sz w:val="28"/>
          <w:szCs w:val="28"/>
        </w:rPr>
        <w:t>It is now known that antibodies associated with Type II HIT recognize sites on a platelet protein designated “</w:t>
      </w:r>
      <w:r w:rsidR="000D5E36">
        <w:rPr>
          <w:sz w:val="28"/>
          <w:szCs w:val="28"/>
        </w:rPr>
        <w:t>platelet factor 4” (PFA4) that are created when PF4 is complexed with heparin or another linear polyanionic compound such as polyvinyl sulfonate (PVS).</w:t>
      </w:r>
      <w:r w:rsidR="000D5E36">
        <w:rPr>
          <w:sz w:val="28"/>
          <w:szCs w:val="28"/>
          <w:vertAlign w:val="superscript"/>
        </w:rPr>
        <w:t>9,10,11</w:t>
      </w:r>
    </w:p>
    <w:p w:rsidR="000D5E36" w:rsidRPr="000D5E36" w:rsidRDefault="000D5E36">
      <w:pPr>
        <w:rPr>
          <w:sz w:val="28"/>
          <w:szCs w:val="28"/>
        </w:rPr>
      </w:pPr>
      <w:r>
        <w:rPr>
          <w:sz w:val="28"/>
          <w:szCs w:val="28"/>
        </w:rPr>
        <w:lastRenderedPageBreak/>
        <w:t>PF4 Enhanced assay Solid Phase ELISA microwells provide immobilized PF4: PVS complexes as a target for the detection of antibodies associated with Type II HIT.</w:t>
      </w:r>
    </w:p>
    <w:p w:rsidR="00940765" w:rsidRDefault="00DF7FF5">
      <w:pPr>
        <w:rPr>
          <w:b/>
          <w:sz w:val="28"/>
          <w:szCs w:val="24"/>
        </w:rPr>
      </w:pPr>
      <w:r w:rsidRPr="004F064D">
        <w:rPr>
          <w:b/>
          <w:sz w:val="28"/>
          <w:szCs w:val="24"/>
        </w:rPr>
        <w:t>Principle:</w:t>
      </w:r>
      <w:r w:rsidR="00C858F7" w:rsidRPr="004F064D">
        <w:rPr>
          <w:b/>
          <w:sz w:val="28"/>
          <w:szCs w:val="24"/>
        </w:rPr>
        <w:t xml:space="preserve"> </w:t>
      </w:r>
    </w:p>
    <w:p w:rsidR="000D5E36" w:rsidRPr="000D5E36" w:rsidRDefault="000D5E36">
      <w:pPr>
        <w:rPr>
          <w:sz w:val="28"/>
          <w:szCs w:val="24"/>
        </w:rPr>
      </w:pPr>
      <w:r>
        <w:rPr>
          <w:sz w:val="28"/>
          <w:szCs w:val="24"/>
        </w:rPr>
        <w:t>Patient sample is added to microwells coated with platelet factor 4 (PF4) complexed to polyvinyl sulfonate (PVS). If an antibody recognizing a site on PF4: PVS is present, binding will occur. Unbound antibodies are then washed away. An alkaline phosphatase labeled anti-human globulin reagent (Anti-IgG</w:t>
      </w:r>
      <w:r w:rsidR="00632AB7">
        <w:rPr>
          <w:sz w:val="28"/>
          <w:szCs w:val="24"/>
        </w:rPr>
        <w:t>)</w:t>
      </w:r>
      <w:r>
        <w:rPr>
          <w:sz w:val="28"/>
          <w:szCs w:val="24"/>
        </w:rPr>
        <w:t xml:space="preserve"> is added to the wells and incubated. The unbound Anti-IgG is washed away and the substrate PNPP (p-nitrophenyl phosphate) is added. After a 30-minute incubation period, the reaction is stopped with Stopping Solution. The optical density of the color that develops is measured in a spectrophotometer. </w:t>
      </w:r>
    </w:p>
    <w:p w:rsidR="00940765" w:rsidRDefault="00DF7FF5" w:rsidP="00E23BFE">
      <w:pPr>
        <w:rPr>
          <w:b/>
          <w:sz w:val="28"/>
          <w:szCs w:val="24"/>
        </w:rPr>
      </w:pPr>
      <w:r w:rsidRPr="004F064D">
        <w:rPr>
          <w:b/>
          <w:sz w:val="28"/>
          <w:szCs w:val="24"/>
        </w:rPr>
        <w:t>Personnel:</w:t>
      </w:r>
      <w:r w:rsidR="002B411A" w:rsidRPr="004F064D">
        <w:rPr>
          <w:b/>
          <w:sz w:val="28"/>
          <w:szCs w:val="24"/>
        </w:rPr>
        <w:t xml:space="preserve"> </w:t>
      </w:r>
    </w:p>
    <w:p w:rsidR="00E23BFE" w:rsidRDefault="00E23BFE" w:rsidP="00E23BFE">
      <w:pPr>
        <w:rPr>
          <w:sz w:val="28"/>
          <w:szCs w:val="24"/>
        </w:rPr>
      </w:pPr>
      <w:r w:rsidRPr="00940765">
        <w:rPr>
          <w:sz w:val="28"/>
          <w:szCs w:val="24"/>
        </w:rPr>
        <w:t>All Medical Technologists and Technicians</w:t>
      </w:r>
    </w:p>
    <w:p w:rsidR="00940765" w:rsidRDefault="00940765" w:rsidP="00E23BFE">
      <w:pPr>
        <w:rPr>
          <w:b/>
          <w:sz w:val="28"/>
          <w:szCs w:val="24"/>
        </w:rPr>
      </w:pPr>
      <w:r>
        <w:rPr>
          <w:b/>
          <w:sz w:val="28"/>
          <w:szCs w:val="24"/>
        </w:rPr>
        <w:t>Sample Collection:</w:t>
      </w:r>
    </w:p>
    <w:p w:rsidR="000D5E36" w:rsidRDefault="000D5E36" w:rsidP="00E23BFE">
      <w:pPr>
        <w:rPr>
          <w:sz w:val="28"/>
          <w:szCs w:val="24"/>
        </w:rPr>
      </w:pPr>
      <w:r>
        <w:rPr>
          <w:sz w:val="28"/>
          <w:szCs w:val="24"/>
        </w:rPr>
        <w:t>Blood should be collected in 3.2% sodium citrate (plasma),</w:t>
      </w:r>
      <w:r w:rsidR="00632AB7">
        <w:rPr>
          <w:sz w:val="28"/>
          <w:szCs w:val="24"/>
        </w:rPr>
        <w:t xml:space="preserve"> </w:t>
      </w:r>
      <w:r>
        <w:rPr>
          <w:sz w:val="28"/>
          <w:szCs w:val="24"/>
        </w:rPr>
        <w:t>using aseptic technique and should be tested while still fresh to minimize the chance of obtaining false positive or false negative reactions due to improper storage or contamination of the specimen. Samples that cannot be tested immediately should be stored at 2 to 8</w:t>
      </w:r>
      <w:r>
        <w:rPr>
          <w:rFonts w:cstheme="minorHAnsi"/>
          <w:sz w:val="28"/>
          <w:szCs w:val="24"/>
          <w:vertAlign w:val="superscript"/>
        </w:rPr>
        <w:t>°</w:t>
      </w:r>
      <w:r w:rsidR="00291498">
        <w:rPr>
          <w:sz w:val="28"/>
          <w:szCs w:val="24"/>
        </w:rPr>
        <w:t>C for no longer than 48 hours or frozen. Samples frozen at -20</w:t>
      </w:r>
      <w:r w:rsidR="00291498">
        <w:rPr>
          <w:rFonts w:cstheme="minorHAnsi"/>
          <w:sz w:val="28"/>
          <w:szCs w:val="24"/>
          <w:vertAlign w:val="superscript"/>
        </w:rPr>
        <w:t>°</w:t>
      </w:r>
      <w:r w:rsidR="00291498">
        <w:rPr>
          <w:sz w:val="28"/>
          <w:szCs w:val="24"/>
        </w:rPr>
        <w:t>C or below remain in good condition for several years (2-3 years). However, in order to avoid the deleterious effect of repeated freeze/thaw cycles, it is recommended that samples should be aliquoted in small volumes and then stored frozen. Avoid frost-free freezers.</w:t>
      </w:r>
    </w:p>
    <w:p w:rsidR="00291498" w:rsidRDefault="00632AB7" w:rsidP="00E23BFE">
      <w:pPr>
        <w:rPr>
          <w:sz w:val="28"/>
          <w:szCs w:val="24"/>
        </w:rPr>
      </w:pPr>
      <w:r>
        <w:rPr>
          <w:sz w:val="28"/>
          <w:szCs w:val="24"/>
        </w:rPr>
        <w:t>P</w:t>
      </w:r>
      <w:r w:rsidR="00291498">
        <w:rPr>
          <w:sz w:val="28"/>
          <w:szCs w:val="24"/>
        </w:rPr>
        <w:t xml:space="preserve">lasma should be separated from red cells when stored or shipped. </w:t>
      </w:r>
    </w:p>
    <w:p w:rsidR="00291498" w:rsidRDefault="00291498" w:rsidP="00E23BFE">
      <w:pPr>
        <w:rPr>
          <w:sz w:val="28"/>
          <w:szCs w:val="24"/>
        </w:rPr>
      </w:pPr>
      <w:r>
        <w:rPr>
          <w:sz w:val="28"/>
          <w:szCs w:val="24"/>
        </w:rPr>
        <w:t xml:space="preserve">Particulates or aggregates in the sample can cause false positive results or poor duplicate values. Samples containing particulate matter should be clarified by centrifugation prior to testing. </w:t>
      </w:r>
    </w:p>
    <w:p w:rsidR="00291498" w:rsidRDefault="00291498" w:rsidP="00E23BFE">
      <w:pPr>
        <w:rPr>
          <w:sz w:val="28"/>
          <w:szCs w:val="24"/>
        </w:rPr>
      </w:pPr>
      <w:r>
        <w:rPr>
          <w:sz w:val="28"/>
          <w:szCs w:val="24"/>
        </w:rPr>
        <w:lastRenderedPageBreak/>
        <w:t>Only whole human serum or plasma is suitable for this assay. Prior dilution of samples in anything other than normal, ELISA negative human serum could affect the results.</w:t>
      </w:r>
    </w:p>
    <w:p w:rsidR="00291498" w:rsidRDefault="00291498" w:rsidP="00E23BFE">
      <w:pPr>
        <w:rPr>
          <w:sz w:val="28"/>
          <w:szCs w:val="24"/>
        </w:rPr>
      </w:pPr>
      <w:r>
        <w:rPr>
          <w:sz w:val="28"/>
          <w:szCs w:val="24"/>
        </w:rPr>
        <w:t xml:space="preserve">Microbially contaminated, hemolyzed, lipemic, icteric, or heat-inactivated serum samples may give inconsistent test results and should be avoided. </w:t>
      </w:r>
    </w:p>
    <w:p w:rsidR="00291498" w:rsidRPr="00291498" w:rsidRDefault="00291498" w:rsidP="00E23BFE">
      <w:pPr>
        <w:rPr>
          <w:sz w:val="28"/>
          <w:szCs w:val="24"/>
        </w:rPr>
      </w:pPr>
      <w:r>
        <w:rPr>
          <w:b/>
          <w:sz w:val="28"/>
          <w:szCs w:val="24"/>
        </w:rPr>
        <w:t>WARNING:</w:t>
      </w:r>
      <w:r>
        <w:rPr>
          <w:sz w:val="28"/>
          <w:szCs w:val="24"/>
        </w:rPr>
        <w:t xml:space="preserve"> Samples anticoagulated with heparin should not be used in this assay.</w:t>
      </w:r>
    </w:p>
    <w:p w:rsidR="009C5BFD" w:rsidRDefault="009C5BFD">
      <w:pPr>
        <w:rPr>
          <w:b/>
          <w:sz w:val="28"/>
          <w:szCs w:val="24"/>
        </w:rPr>
      </w:pPr>
      <w:r w:rsidRPr="004F064D">
        <w:rPr>
          <w:b/>
          <w:sz w:val="28"/>
          <w:szCs w:val="24"/>
        </w:rPr>
        <w:t>Reagent preparation:</w:t>
      </w:r>
    </w:p>
    <w:p w:rsidR="00940765" w:rsidRPr="004F064D" w:rsidRDefault="00940765">
      <w:pPr>
        <w:rPr>
          <w:b/>
          <w:sz w:val="28"/>
          <w:szCs w:val="24"/>
        </w:rPr>
      </w:pPr>
      <w:r>
        <w:rPr>
          <w:noProof/>
        </w:rPr>
        <w:drawing>
          <wp:inline distT="0" distB="0" distL="0" distR="0" wp14:anchorId="212C5490" wp14:editId="00456730">
            <wp:extent cx="6657975" cy="24288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57975" cy="2428875"/>
                    </a:xfrm>
                    <a:prstGeom prst="rect">
                      <a:avLst/>
                    </a:prstGeom>
                  </pic:spPr>
                </pic:pic>
              </a:graphicData>
            </a:graphic>
          </wp:inline>
        </w:drawing>
      </w:r>
    </w:p>
    <w:p w:rsidR="00E23BFE" w:rsidRDefault="00940765">
      <w:pPr>
        <w:rPr>
          <w:b/>
          <w:sz w:val="24"/>
          <w:szCs w:val="24"/>
        </w:rPr>
      </w:pPr>
      <w:r>
        <w:rPr>
          <w:noProof/>
        </w:rPr>
        <w:drawing>
          <wp:inline distT="0" distB="0" distL="0" distR="0" wp14:anchorId="2BC86DF2" wp14:editId="221749CB">
            <wp:extent cx="6486525" cy="28956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6525" cy="2895600"/>
                    </a:xfrm>
                    <a:prstGeom prst="rect">
                      <a:avLst/>
                    </a:prstGeom>
                  </pic:spPr>
                </pic:pic>
              </a:graphicData>
            </a:graphic>
          </wp:inline>
        </w:drawing>
      </w:r>
    </w:p>
    <w:p w:rsidR="00E23BFE" w:rsidRDefault="00E23BFE">
      <w:pPr>
        <w:rPr>
          <w:b/>
          <w:sz w:val="24"/>
          <w:szCs w:val="24"/>
        </w:rPr>
      </w:pPr>
      <w:r w:rsidRPr="00E23BFE">
        <w:rPr>
          <w:noProof/>
          <w:sz w:val="32"/>
        </w:rPr>
        <w:lastRenderedPageBreak/>
        <w:drawing>
          <wp:inline distT="0" distB="0" distL="0" distR="0" wp14:anchorId="48C2F976" wp14:editId="57375BFA">
            <wp:extent cx="6419850" cy="2019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19850" cy="2019300"/>
                    </a:xfrm>
                    <a:prstGeom prst="rect">
                      <a:avLst/>
                    </a:prstGeom>
                  </pic:spPr>
                </pic:pic>
              </a:graphicData>
            </a:graphic>
          </wp:inline>
        </w:drawing>
      </w:r>
    </w:p>
    <w:p w:rsidR="006E3D0E" w:rsidRDefault="006E3D0E">
      <w:pPr>
        <w:rPr>
          <w:b/>
          <w:sz w:val="28"/>
          <w:szCs w:val="24"/>
        </w:rPr>
      </w:pPr>
      <w:r>
        <w:rPr>
          <w:b/>
          <w:sz w:val="28"/>
          <w:szCs w:val="24"/>
        </w:rPr>
        <w:t>Cautions:</w:t>
      </w:r>
    </w:p>
    <w:p w:rsidR="006E3D0E" w:rsidRDefault="006E3D0E">
      <w:pPr>
        <w:rPr>
          <w:b/>
          <w:sz w:val="28"/>
          <w:szCs w:val="24"/>
        </w:rPr>
      </w:pPr>
      <w:r>
        <w:rPr>
          <w:noProof/>
        </w:rPr>
        <w:drawing>
          <wp:inline distT="0" distB="0" distL="0" distR="0" wp14:anchorId="53DAF491" wp14:editId="3947B8A6">
            <wp:extent cx="6267450" cy="16859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7450" cy="1685925"/>
                    </a:xfrm>
                    <a:prstGeom prst="rect">
                      <a:avLst/>
                    </a:prstGeom>
                  </pic:spPr>
                </pic:pic>
              </a:graphicData>
            </a:graphic>
          </wp:inline>
        </w:drawing>
      </w:r>
    </w:p>
    <w:p w:rsidR="008F3956" w:rsidRDefault="006E3D0E">
      <w:pPr>
        <w:rPr>
          <w:b/>
          <w:sz w:val="28"/>
          <w:szCs w:val="24"/>
        </w:rPr>
      </w:pPr>
      <w:r>
        <w:rPr>
          <w:b/>
          <w:sz w:val="28"/>
          <w:szCs w:val="24"/>
        </w:rPr>
        <w:t>Precautions:</w:t>
      </w:r>
    </w:p>
    <w:p w:rsidR="008F3956" w:rsidRDefault="008F3956">
      <w:pPr>
        <w:rPr>
          <w:b/>
          <w:sz w:val="28"/>
          <w:szCs w:val="24"/>
        </w:rPr>
      </w:pPr>
      <w:r>
        <w:rPr>
          <w:noProof/>
        </w:rPr>
        <w:drawing>
          <wp:inline distT="0" distB="0" distL="0" distR="0" wp14:anchorId="4257FBE5" wp14:editId="44674B0B">
            <wp:extent cx="5780683" cy="28670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30373" cy="2891670"/>
                    </a:xfrm>
                    <a:prstGeom prst="rect">
                      <a:avLst/>
                    </a:prstGeom>
                  </pic:spPr>
                </pic:pic>
              </a:graphicData>
            </a:graphic>
          </wp:inline>
        </w:drawing>
      </w:r>
    </w:p>
    <w:p w:rsidR="006E3D0E" w:rsidRDefault="006E3D0E">
      <w:pPr>
        <w:rPr>
          <w:b/>
          <w:sz w:val="28"/>
          <w:szCs w:val="24"/>
        </w:rPr>
      </w:pPr>
      <w:r>
        <w:rPr>
          <w:b/>
          <w:sz w:val="28"/>
          <w:szCs w:val="24"/>
        </w:rPr>
        <w:lastRenderedPageBreak/>
        <w:t>Procedure:</w:t>
      </w:r>
    </w:p>
    <w:p w:rsidR="006E3D0E" w:rsidRDefault="006E3D0E">
      <w:pPr>
        <w:rPr>
          <w:b/>
          <w:sz w:val="28"/>
          <w:szCs w:val="24"/>
        </w:rPr>
      </w:pPr>
      <w:r>
        <w:rPr>
          <w:noProof/>
        </w:rPr>
        <w:drawing>
          <wp:inline distT="0" distB="0" distL="0" distR="0" wp14:anchorId="7143B968" wp14:editId="726DE50B">
            <wp:extent cx="6159260" cy="34004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2121" cy="3413046"/>
                    </a:xfrm>
                    <a:prstGeom prst="rect">
                      <a:avLst/>
                    </a:prstGeom>
                  </pic:spPr>
                </pic:pic>
              </a:graphicData>
            </a:graphic>
          </wp:inline>
        </w:drawing>
      </w:r>
    </w:p>
    <w:p w:rsidR="00607581" w:rsidRDefault="006E3D0E">
      <w:pPr>
        <w:rPr>
          <w:b/>
          <w:sz w:val="28"/>
          <w:szCs w:val="24"/>
        </w:rPr>
      </w:pPr>
      <w:r>
        <w:rPr>
          <w:noProof/>
        </w:rPr>
        <w:drawing>
          <wp:inline distT="0" distB="0" distL="0" distR="0" wp14:anchorId="55F668EA" wp14:editId="22CC0D40">
            <wp:extent cx="6076950" cy="2400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76950" cy="2400300"/>
                    </a:xfrm>
                    <a:prstGeom prst="rect">
                      <a:avLst/>
                    </a:prstGeom>
                  </pic:spPr>
                </pic:pic>
              </a:graphicData>
            </a:graphic>
          </wp:inline>
        </w:drawing>
      </w:r>
    </w:p>
    <w:p w:rsidR="00806544" w:rsidRDefault="00806544">
      <w:pPr>
        <w:rPr>
          <w:b/>
          <w:sz w:val="28"/>
          <w:szCs w:val="24"/>
        </w:rPr>
      </w:pPr>
      <w:r>
        <w:rPr>
          <w:b/>
          <w:sz w:val="28"/>
          <w:szCs w:val="24"/>
        </w:rPr>
        <w:t>Test Procedure</w:t>
      </w:r>
    </w:p>
    <w:p w:rsidR="00806544" w:rsidRDefault="00806544" w:rsidP="00806544">
      <w:pPr>
        <w:pStyle w:val="ListParagraph"/>
        <w:numPr>
          <w:ilvl w:val="0"/>
          <w:numId w:val="1"/>
        </w:numPr>
        <w:rPr>
          <w:sz w:val="28"/>
          <w:szCs w:val="24"/>
        </w:rPr>
      </w:pPr>
      <w:r>
        <w:rPr>
          <w:sz w:val="28"/>
          <w:szCs w:val="24"/>
        </w:rPr>
        <w:t>Bring all reagents to room temperature</w:t>
      </w:r>
    </w:p>
    <w:p w:rsidR="00806544" w:rsidRDefault="00806544" w:rsidP="00806544">
      <w:pPr>
        <w:pStyle w:val="ListParagraph"/>
        <w:numPr>
          <w:ilvl w:val="0"/>
          <w:numId w:val="1"/>
        </w:numPr>
        <w:rPr>
          <w:sz w:val="28"/>
          <w:szCs w:val="24"/>
        </w:rPr>
      </w:pPr>
      <w:r>
        <w:rPr>
          <w:sz w:val="28"/>
          <w:szCs w:val="24"/>
        </w:rPr>
        <w:t>Make Working Wash Solution by diluting PF4 Concentrated Wash. Add 1 volume of PF4 Concentrated Wash to 9 volumes of deionized or distilled water. MIX WELL</w:t>
      </w:r>
    </w:p>
    <w:p w:rsidR="00806544" w:rsidRDefault="00806544" w:rsidP="00806544">
      <w:pPr>
        <w:pStyle w:val="ListParagraph"/>
        <w:numPr>
          <w:ilvl w:val="0"/>
          <w:numId w:val="1"/>
        </w:numPr>
        <w:rPr>
          <w:sz w:val="28"/>
          <w:szCs w:val="24"/>
        </w:rPr>
      </w:pPr>
      <w:r>
        <w:rPr>
          <w:sz w:val="28"/>
          <w:szCs w:val="24"/>
        </w:rPr>
        <w:lastRenderedPageBreak/>
        <w:t>Determine the number of patient samples to be tested. Using the Recording Sheet, assign each sample to a location consisting of two (duplicate) wells. Record the identity of each sample on the Recording Sheet.</w:t>
      </w:r>
    </w:p>
    <w:p w:rsidR="00806544" w:rsidRDefault="00806544" w:rsidP="00806544">
      <w:pPr>
        <w:rPr>
          <w:b/>
          <w:sz w:val="28"/>
          <w:szCs w:val="24"/>
        </w:rPr>
      </w:pPr>
      <w:r>
        <w:rPr>
          <w:b/>
          <w:sz w:val="28"/>
          <w:szCs w:val="24"/>
        </w:rPr>
        <w:t>Prepare Samples and Controls</w:t>
      </w:r>
    </w:p>
    <w:p w:rsidR="00806544" w:rsidRDefault="00806544" w:rsidP="00806544">
      <w:pPr>
        <w:pStyle w:val="ListParagraph"/>
        <w:numPr>
          <w:ilvl w:val="0"/>
          <w:numId w:val="1"/>
        </w:numPr>
        <w:rPr>
          <w:sz w:val="28"/>
          <w:szCs w:val="24"/>
        </w:rPr>
      </w:pPr>
      <w:r>
        <w:rPr>
          <w:sz w:val="28"/>
          <w:szCs w:val="24"/>
        </w:rPr>
        <w:t xml:space="preserve">Dilute as follows and mix well: </w:t>
      </w:r>
    </w:p>
    <w:p w:rsidR="00806544" w:rsidRDefault="00806544" w:rsidP="00806544">
      <w:pPr>
        <w:pStyle w:val="ListParagraph"/>
        <w:rPr>
          <w:sz w:val="28"/>
          <w:szCs w:val="24"/>
        </w:rPr>
      </w:pPr>
      <w:r>
        <w:rPr>
          <w:noProof/>
        </w:rPr>
        <w:drawing>
          <wp:inline distT="0" distB="0" distL="0" distR="0" wp14:anchorId="26C86C86" wp14:editId="4809FD72">
            <wp:extent cx="3799840" cy="8382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99840" cy="838200"/>
                    </a:xfrm>
                    <a:prstGeom prst="rect">
                      <a:avLst/>
                    </a:prstGeom>
                  </pic:spPr>
                </pic:pic>
              </a:graphicData>
            </a:graphic>
          </wp:inline>
        </w:drawing>
      </w:r>
    </w:p>
    <w:p w:rsidR="00806544" w:rsidRDefault="00806544" w:rsidP="00806544">
      <w:pPr>
        <w:ind w:left="720"/>
        <w:rPr>
          <w:sz w:val="28"/>
          <w:szCs w:val="24"/>
        </w:rPr>
      </w:pPr>
      <w:r>
        <w:rPr>
          <w:b/>
          <w:sz w:val="28"/>
          <w:szCs w:val="24"/>
        </w:rPr>
        <w:t xml:space="preserve">NOTE: </w:t>
      </w:r>
      <w:r>
        <w:rPr>
          <w:sz w:val="28"/>
          <w:szCs w:val="24"/>
        </w:rPr>
        <w:t>Precise measurement of patient and control samples is essential for         accurate results.</w:t>
      </w:r>
    </w:p>
    <w:p w:rsidR="00806544" w:rsidRDefault="00806544" w:rsidP="00806544">
      <w:pPr>
        <w:pStyle w:val="ListParagraph"/>
        <w:numPr>
          <w:ilvl w:val="0"/>
          <w:numId w:val="1"/>
        </w:numPr>
        <w:rPr>
          <w:sz w:val="28"/>
          <w:szCs w:val="24"/>
        </w:rPr>
      </w:pPr>
      <w:r>
        <w:rPr>
          <w:sz w:val="28"/>
          <w:szCs w:val="24"/>
        </w:rPr>
        <w:t xml:space="preserve">Remove microwell frame from pouch. Promptly remove and reseal unneeded strips in the protective pouch. </w:t>
      </w:r>
    </w:p>
    <w:p w:rsidR="00806544" w:rsidRDefault="00806544" w:rsidP="00806544">
      <w:pPr>
        <w:pStyle w:val="ListParagraph"/>
        <w:rPr>
          <w:b/>
          <w:sz w:val="28"/>
          <w:szCs w:val="24"/>
        </w:rPr>
      </w:pPr>
    </w:p>
    <w:p w:rsidR="00806544" w:rsidRDefault="00806544" w:rsidP="00806544">
      <w:pPr>
        <w:pStyle w:val="ListParagraph"/>
        <w:rPr>
          <w:sz w:val="28"/>
          <w:szCs w:val="24"/>
        </w:rPr>
      </w:pPr>
      <w:r>
        <w:rPr>
          <w:b/>
          <w:sz w:val="28"/>
          <w:szCs w:val="24"/>
        </w:rPr>
        <w:t xml:space="preserve">NOTE: </w:t>
      </w:r>
      <w:r>
        <w:rPr>
          <w:sz w:val="28"/>
          <w:szCs w:val="24"/>
        </w:rPr>
        <w:t xml:space="preserve">Only one frame is provided in the kit. Do not discard until all strips have been used. </w:t>
      </w:r>
    </w:p>
    <w:p w:rsidR="00806544" w:rsidRDefault="00806544" w:rsidP="00806544">
      <w:pPr>
        <w:pStyle w:val="ListParagraph"/>
        <w:rPr>
          <w:sz w:val="28"/>
          <w:szCs w:val="24"/>
        </w:rPr>
      </w:pPr>
    </w:p>
    <w:p w:rsidR="00806544" w:rsidRDefault="00806544" w:rsidP="00806544">
      <w:pPr>
        <w:pStyle w:val="ListParagraph"/>
        <w:rPr>
          <w:sz w:val="28"/>
          <w:szCs w:val="24"/>
        </w:rPr>
      </w:pPr>
      <w:r>
        <w:rPr>
          <w:b/>
          <w:sz w:val="28"/>
          <w:szCs w:val="24"/>
        </w:rPr>
        <w:t xml:space="preserve">NOTE: </w:t>
      </w:r>
      <w:r>
        <w:rPr>
          <w:sz w:val="28"/>
          <w:szCs w:val="24"/>
        </w:rPr>
        <w:t xml:space="preserve">Orient the frame with A1 in the top left corner. Be sure that all strips are properly seated and snapped into their frame. Label or number each strip to avoid errors. Maintain the same plate orientation throughout the assay. </w:t>
      </w:r>
    </w:p>
    <w:p w:rsidR="00E5465B" w:rsidRPr="00806544" w:rsidRDefault="00E5465B" w:rsidP="00806544">
      <w:pPr>
        <w:pStyle w:val="ListParagraph"/>
        <w:rPr>
          <w:sz w:val="28"/>
          <w:szCs w:val="24"/>
        </w:rPr>
      </w:pPr>
    </w:p>
    <w:p w:rsidR="00806544" w:rsidRDefault="00857E74" w:rsidP="00857E74">
      <w:pPr>
        <w:pStyle w:val="ListParagraph"/>
        <w:numPr>
          <w:ilvl w:val="0"/>
          <w:numId w:val="1"/>
        </w:numPr>
        <w:rPr>
          <w:sz w:val="28"/>
          <w:szCs w:val="24"/>
        </w:rPr>
      </w:pPr>
      <w:r>
        <w:rPr>
          <w:sz w:val="28"/>
          <w:szCs w:val="24"/>
        </w:rPr>
        <w:t>Add 300</w:t>
      </w:r>
      <w:r>
        <w:rPr>
          <w:rFonts w:cstheme="minorHAnsi"/>
          <w:sz w:val="28"/>
          <w:szCs w:val="24"/>
        </w:rPr>
        <w:t>µ</w:t>
      </w:r>
      <w:r>
        <w:rPr>
          <w:sz w:val="28"/>
          <w:szCs w:val="24"/>
        </w:rPr>
        <w:t>L</w:t>
      </w:r>
      <w:r w:rsidR="00E414A0">
        <w:rPr>
          <w:sz w:val="28"/>
          <w:szCs w:val="24"/>
        </w:rPr>
        <w:t xml:space="preserve"> of Working Wash Solution to all wells and allow to stand at room temperature for 5-10 minutes.</w:t>
      </w:r>
    </w:p>
    <w:p w:rsidR="00E414A0" w:rsidRDefault="00E414A0" w:rsidP="00857E74">
      <w:pPr>
        <w:pStyle w:val="ListParagraph"/>
        <w:numPr>
          <w:ilvl w:val="0"/>
          <w:numId w:val="1"/>
        </w:numPr>
        <w:rPr>
          <w:sz w:val="28"/>
          <w:szCs w:val="24"/>
        </w:rPr>
      </w:pPr>
      <w:r>
        <w:rPr>
          <w:sz w:val="28"/>
          <w:szCs w:val="24"/>
        </w:rPr>
        <w:t xml:space="preserve">Aspirate or decant forcefully and invert on absorbent toweling to prevent drying. </w:t>
      </w:r>
    </w:p>
    <w:p w:rsidR="00E414A0" w:rsidRDefault="00E414A0" w:rsidP="00857E74">
      <w:pPr>
        <w:pStyle w:val="ListParagraph"/>
        <w:numPr>
          <w:ilvl w:val="0"/>
          <w:numId w:val="1"/>
        </w:numPr>
        <w:rPr>
          <w:sz w:val="28"/>
          <w:szCs w:val="24"/>
        </w:rPr>
      </w:pPr>
      <w:r>
        <w:rPr>
          <w:sz w:val="28"/>
          <w:szCs w:val="24"/>
        </w:rPr>
        <w:t xml:space="preserve">Add 50 </w:t>
      </w:r>
      <w:r>
        <w:rPr>
          <w:rFonts w:cstheme="minorHAnsi"/>
          <w:sz w:val="28"/>
          <w:szCs w:val="24"/>
        </w:rPr>
        <w:t>µ</w:t>
      </w:r>
      <w:r>
        <w:rPr>
          <w:sz w:val="28"/>
          <w:szCs w:val="24"/>
        </w:rPr>
        <w:t xml:space="preserve">L of the appropriate diluted control or sample to the wells as designated on the Recording Sheet. </w:t>
      </w:r>
    </w:p>
    <w:p w:rsidR="00E5465B" w:rsidRDefault="00E5465B" w:rsidP="00E5465B">
      <w:pPr>
        <w:pStyle w:val="ListParagraph"/>
        <w:rPr>
          <w:sz w:val="28"/>
          <w:szCs w:val="24"/>
        </w:rPr>
      </w:pPr>
    </w:p>
    <w:p w:rsidR="00E414A0" w:rsidRDefault="00E414A0" w:rsidP="00E414A0">
      <w:pPr>
        <w:pStyle w:val="ListParagraph"/>
        <w:rPr>
          <w:sz w:val="28"/>
          <w:szCs w:val="24"/>
        </w:rPr>
      </w:pPr>
      <w:r>
        <w:rPr>
          <w:b/>
          <w:sz w:val="28"/>
          <w:szCs w:val="24"/>
        </w:rPr>
        <w:lastRenderedPageBreak/>
        <w:t xml:space="preserve">NOTE: </w:t>
      </w:r>
      <w:r>
        <w:rPr>
          <w:sz w:val="28"/>
          <w:szCs w:val="24"/>
        </w:rPr>
        <w:t>Do not add samples or reagents to the blank wells</w:t>
      </w:r>
    </w:p>
    <w:p w:rsidR="00E5465B" w:rsidRDefault="00E5465B" w:rsidP="00E414A0">
      <w:pPr>
        <w:pStyle w:val="ListParagraph"/>
        <w:rPr>
          <w:sz w:val="28"/>
          <w:szCs w:val="24"/>
        </w:rPr>
      </w:pPr>
    </w:p>
    <w:p w:rsidR="00806544" w:rsidRDefault="00E414A0" w:rsidP="00806544">
      <w:pPr>
        <w:pStyle w:val="ListParagraph"/>
        <w:rPr>
          <w:b/>
          <w:sz w:val="28"/>
          <w:szCs w:val="24"/>
        </w:rPr>
      </w:pPr>
      <w:r>
        <w:rPr>
          <w:b/>
          <w:sz w:val="28"/>
          <w:szCs w:val="24"/>
        </w:rPr>
        <w:t>NOTE:</w:t>
      </w:r>
      <w:r>
        <w:rPr>
          <w:sz w:val="28"/>
          <w:szCs w:val="24"/>
        </w:rPr>
        <w:t xml:space="preserve"> If multiple patient samples are tested at the same time, only one set of controls is required. </w:t>
      </w:r>
      <w:r w:rsidRPr="00E414A0">
        <w:rPr>
          <w:b/>
          <w:sz w:val="28"/>
          <w:szCs w:val="24"/>
        </w:rPr>
        <w:t>LABEL EACH STRIP TO AVOID ERRORS</w:t>
      </w:r>
    </w:p>
    <w:p w:rsidR="00E5465B" w:rsidRDefault="00E5465B" w:rsidP="00806544">
      <w:pPr>
        <w:pStyle w:val="ListParagraph"/>
        <w:rPr>
          <w:b/>
          <w:sz w:val="28"/>
          <w:szCs w:val="24"/>
        </w:rPr>
      </w:pPr>
    </w:p>
    <w:p w:rsidR="00E414A0" w:rsidRDefault="00E414A0" w:rsidP="00E414A0">
      <w:pPr>
        <w:pStyle w:val="ListParagraph"/>
        <w:numPr>
          <w:ilvl w:val="0"/>
          <w:numId w:val="1"/>
        </w:numPr>
        <w:rPr>
          <w:sz w:val="28"/>
          <w:szCs w:val="24"/>
        </w:rPr>
      </w:pPr>
      <w:r>
        <w:rPr>
          <w:sz w:val="28"/>
          <w:szCs w:val="24"/>
        </w:rPr>
        <w:t>Seal the microwells with a plate sealer and incubate for 30-35 minutes in a 37</w:t>
      </w:r>
      <w:r>
        <w:rPr>
          <w:rFonts w:ascii="Arial" w:hAnsi="Arial" w:cs="Arial"/>
          <w:sz w:val="28"/>
          <w:szCs w:val="24"/>
        </w:rPr>
        <w:t>°</w:t>
      </w:r>
      <w:r>
        <w:rPr>
          <w:sz w:val="28"/>
          <w:szCs w:val="24"/>
        </w:rPr>
        <w:t xml:space="preserve">C water bath. If a dry incubator is used instead, increase the time by 10 minutes. </w:t>
      </w:r>
    </w:p>
    <w:p w:rsidR="00E414A0" w:rsidRDefault="00E414A0" w:rsidP="00E414A0">
      <w:pPr>
        <w:pStyle w:val="ListParagraph"/>
        <w:numPr>
          <w:ilvl w:val="0"/>
          <w:numId w:val="1"/>
        </w:numPr>
        <w:rPr>
          <w:sz w:val="28"/>
          <w:szCs w:val="24"/>
        </w:rPr>
      </w:pPr>
      <w:r>
        <w:rPr>
          <w:sz w:val="28"/>
          <w:szCs w:val="24"/>
        </w:rPr>
        <w:t xml:space="preserve"> Dilute the Conjugate 1 to 1200 in Specimen Diluent. Use a polypropylene container. </w:t>
      </w:r>
    </w:p>
    <w:p w:rsidR="00E414A0" w:rsidRDefault="00E414A0" w:rsidP="00E414A0">
      <w:pPr>
        <w:pStyle w:val="ListParagraph"/>
        <w:rPr>
          <w:sz w:val="28"/>
          <w:szCs w:val="24"/>
        </w:rPr>
      </w:pPr>
      <w:r>
        <w:rPr>
          <w:noProof/>
        </w:rPr>
        <w:drawing>
          <wp:inline distT="0" distB="0" distL="0" distR="0" wp14:anchorId="7A3FA002" wp14:editId="39F7DF86">
            <wp:extent cx="512445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4450" cy="1066800"/>
                    </a:xfrm>
                    <a:prstGeom prst="rect">
                      <a:avLst/>
                    </a:prstGeom>
                  </pic:spPr>
                </pic:pic>
              </a:graphicData>
            </a:graphic>
          </wp:inline>
        </w:drawing>
      </w:r>
    </w:p>
    <w:p w:rsidR="00E414A0" w:rsidRDefault="00E414A0" w:rsidP="007B6C85">
      <w:pPr>
        <w:ind w:left="720"/>
        <w:rPr>
          <w:sz w:val="28"/>
          <w:szCs w:val="24"/>
        </w:rPr>
      </w:pPr>
      <w:r>
        <w:rPr>
          <w:b/>
          <w:sz w:val="28"/>
          <w:szCs w:val="24"/>
        </w:rPr>
        <w:t xml:space="preserve">NOTE: </w:t>
      </w:r>
      <w:r>
        <w:rPr>
          <w:sz w:val="28"/>
          <w:szCs w:val="24"/>
        </w:rPr>
        <w:t>Conjugate is vis</w:t>
      </w:r>
      <w:r w:rsidR="007B6C85">
        <w:rPr>
          <w:sz w:val="28"/>
          <w:szCs w:val="24"/>
        </w:rPr>
        <w:t>cous. Prime tip 2-3 times in Conjugate before dispensing and rinse after addition to Specimen Diluent. Mix well.</w:t>
      </w:r>
    </w:p>
    <w:p w:rsidR="007B6C85" w:rsidRDefault="007B6C85" w:rsidP="007B6C85">
      <w:pPr>
        <w:pStyle w:val="ListParagraph"/>
        <w:numPr>
          <w:ilvl w:val="0"/>
          <w:numId w:val="1"/>
        </w:numPr>
        <w:rPr>
          <w:sz w:val="28"/>
          <w:szCs w:val="24"/>
        </w:rPr>
      </w:pPr>
      <w:r>
        <w:rPr>
          <w:sz w:val="28"/>
          <w:szCs w:val="24"/>
        </w:rPr>
        <w:t xml:space="preserve"> </w:t>
      </w:r>
      <w:bookmarkStart w:id="1" w:name="_Hlk89340074"/>
      <w:r>
        <w:rPr>
          <w:sz w:val="28"/>
          <w:szCs w:val="24"/>
        </w:rPr>
        <w:t>WASH STEP</w:t>
      </w:r>
    </w:p>
    <w:p w:rsidR="007B6C85" w:rsidRDefault="007B6C85" w:rsidP="007B6C85">
      <w:pPr>
        <w:pStyle w:val="ListParagraph"/>
        <w:numPr>
          <w:ilvl w:val="0"/>
          <w:numId w:val="3"/>
        </w:numPr>
        <w:rPr>
          <w:sz w:val="28"/>
          <w:szCs w:val="24"/>
        </w:rPr>
      </w:pPr>
      <w:r>
        <w:rPr>
          <w:sz w:val="28"/>
          <w:szCs w:val="24"/>
        </w:rPr>
        <w:t>Aspirate or decant contents of each well and blot on absorbent toweling</w:t>
      </w:r>
    </w:p>
    <w:p w:rsidR="007B6C85" w:rsidRDefault="007B6C85" w:rsidP="007B6C85">
      <w:pPr>
        <w:pStyle w:val="ListParagraph"/>
        <w:numPr>
          <w:ilvl w:val="0"/>
          <w:numId w:val="3"/>
        </w:numPr>
        <w:rPr>
          <w:sz w:val="28"/>
          <w:szCs w:val="24"/>
        </w:rPr>
      </w:pPr>
      <w:r>
        <w:rPr>
          <w:sz w:val="28"/>
          <w:szCs w:val="24"/>
        </w:rPr>
        <w:t>Add 300</w:t>
      </w:r>
      <w:r>
        <w:rPr>
          <w:rFonts w:cstheme="minorHAnsi"/>
          <w:sz w:val="28"/>
          <w:szCs w:val="24"/>
        </w:rPr>
        <w:t>µ</w:t>
      </w:r>
      <w:r>
        <w:rPr>
          <w:sz w:val="28"/>
          <w:szCs w:val="24"/>
        </w:rPr>
        <w:t>L Working Wash Solution</w:t>
      </w:r>
    </w:p>
    <w:p w:rsidR="007B6C85" w:rsidRDefault="007B6C85" w:rsidP="007B6C85">
      <w:pPr>
        <w:pStyle w:val="ListParagraph"/>
        <w:numPr>
          <w:ilvl w:val="0"/>
          <w:numId w:val="3"/>
        </w:numPr>
        <w:rPr>
          <w:sz w:val="28"/>
          <w:szCs w:val="24"/>
        </w:rPr>
      </w:pPr>
      <w:r>
        <w:rPr>
          <w:sz w:val="28"/>
          <w:szCs w:val="24"/>
        </w:rPr>
        <w:t>Aspirate or decant</w:t>
      </w:r>
    </w:p>
    <w:p w:rsidR="007B6C85" w:rsidRDefault="007B6C85" w:rsidP="007B6C85">
      <w:pPr>
        <w:pStyle w:val="ListParagraph"/>
        <w:numPr>
          <w:ilvl w:val="0"/>
          <w:numId w:val="3"/>
        </w:numPr>
        <w:rPr>
          <w:sz w:val="28"/>
          <w:szCs w:val="24"/>
        </w:rPr>
      </w:pPr>
      <w:r>
        <w:rPr>
          <w:sz w:val="28"/>
          <w:szCs w:val="24"/>
        </w:rPr>
        <w:t>Repeat steps B and C for a total of 3 or 4 washes.</w:t>
      </w:r>
    </w:p>
    <w:p w:rsidR="007B6C85" w:rsidRDefault="007B6C85" w:rsidP="007B6C85">
      <w:pPr>
        <w:pStyle w:val="ListParagraph"/>
        <w:numPr>
          <w:ilvl w:val="0"/>
          <w:numId w:val="3"/>
        </w:numPr>
        <w:rPr>
          <w:sz w:val="28"/>
          <w:szCs w:val="24"/>
        </w:rPr>
      </w:pPr>
      <w:r>
        <w:rPr>
          <w:sz w:val="28"/>
          <w:szCs w:val="24"/>
        </w:rPr>
        <w:t xml:space="preserve">Vigorously decant to remove all residual wash solution after the final wash solution. Invert on absorbent toweling to prevent drying. </w:t>
      </w:r>
    </w:p>
    <w:p w:rsidR="007B6C85" w:rsidRDefault="007B6C85" w:rsidP="007B6C85">
      <w:pPr>
        <w:ind w:left="720"/>
        <w:rPr>
          <w:sz w:val="28"/>
          <w:szCs w:val="24"/>
        </w:rPr>
      </w:pPr>
      <w:r>
        <w:rPr>
          <w:b/>
          <w:sz w:val="28"/>
          <w:szCs w:val="24"/>
        </w:rPr>
        <w:t xml:space="preserve">NOTE: </w:t>
      </w:r>
      <w:r>
        <w:rPr>
          <w:sz w:val="28"/>
          <w:szCs w:val="24"/>
        </w:rPr>
        <w:t>It is important to completely remove all wash solution after the final wash.</w:t>
      </w:r>
    </w:p>
    <w:bookmarkEnd w:id="1"/>
    <w:p w:rsidR="007B6C85" w:rsidRDefault="007B6C85" w:rsidP="007B6C85">
      <w:pPr>
        <w:pStyle w:val="ListParagraph"/>
        <w:numPr>
          <w:ilvl w:val="0"/>
          <w:numId w:val="1"/>
        </w:numPr>
        <w:rPr>
          <w:sz w:val="28"/>
          <w:szCs w:val="24"/>
        </w:rPr>
      </w:pPr>
      <w:r>
        <w:rPr>
          <w:sz w:val="28"/>
          <w:szCs w:val="24"/>
        </w:rPr>
        <w:t xml:space="preserve"> Add 50</w:t>
      </w:r>
      <w:r>
        <w:rPr>
          <w:rFonts w:cstheme="minorHAnsi"/>
          <w:sz w:val="28"/>
          <w:szCs w:val="24"/>
        </w:rPr>
        <w:t>µ</w:t>
      </w:r>
      <w:r>
        <w:rPr>
          <w:sz w:val="28"/>
          <w:szCs w:val="24"/>
        </w:rPr>
        <w:t>L of diluted Conjugate (made in the previous step) to all wells EXCEPT those designated as BLANKS.</w:t>
      </w:r>
    </w:p>
    <w:p w:rsidR="007B6C85" w:rsidRDefault="007B6C85" w:rsidP="007B6C85">
      <w:pPr>
        <w:pStyle w:val="ListParagraph"/>
        <w:numPr>
          <w:ilvl w:val="0"/>
          <w:numId w:val="1"/>
        </w:numPr>
        <w:rPr>
          <w:sz w:val="28"/>
          <w:szCs w:val="24"/>
        </w:rPr>
      </w:pPr>
      <w:r>
        <w:rPr>
          <w:sz w:val="28"/>
          <w:szCs w:val="24"/>
        </w:rPr>
        <w:lastRenderedPageBreak/>
        <w:t xml:space="preserve"> Seal the microwells with a plate sealer and incubate for 30-35 minutes in a 37</w:t>
      </w:r>
      <w:r>
        <w:rPr>
          <w:rFonts w:ascii="Arial" w:hAnsi="Arial" w:cs="Arial"/>
          <w:sz w:val="28"/>
          <w:szCs w:val="24"/>
        </w:rPr>
        <w:t>°</w:t>
      </w:r>
      <w:r>
        <w:rPr>
          <w:sz w:val="28"/>
          <w:szCs w:val="24"/>
        </w:rPr>
        <w:t>C water bath. If a dry incubator is used instead, increase time by 10 minutes.</w:t>
      </w:r>
    </w:p>
    <w:p w:rsidR="007B6C85" w:rsidRDefault="007B6C85" w:rsidP="007B6C85">
      <w:pPr>
        <w:pStyle w:val="ListParagraph"/>
        <w:numPr>
          <w:ilvl w:val="0"/>
          <w:numId w:val="1"/>
        </w:numPr>
        <w:rPr>
          <w:sz w:val="28"/>
          <w:szCs w:val="24"/>
        </w:rPr>
      </w:pPr>
      <w:r>
        <w:rPr>
          <w:sz w:val="28"/>
          <w:szCs w:val="24"/>
        </w:rPr>
        <w:t xml:space="preserve"> Dissolve PNPP Substrate by adding </w:t>
      </w:r>
      <w:r w:rsidR="00F40F17">
        <w:rPr>
          <w:sz w:val="28"/>
          <w:szCs w:val="24"/>
        </w:rPr>
        <w:t xml:space="preserve">0.5mL deionized or distilled water to vial. Replace stopper and mix well. Protect from light until use. </w:t>
      </w:r>
    </w:p>
    <w:p w:rsidR="00F40F17" w:rsidRDefault="00F40F17" w:rsidP="007B6C85">
      <w:pPr>
        <w:pStyle w:val="ListParagraph"/>
        <w:numPr>
          <w:ilvl w:val="0"/>
          <w:numId w:val="1"/>
        </w:numPr>
        <w:rPr>
          <w:sz w:val="28"/>
          <w:szCs w:val="24"/>
        </w:rPr>
      </w:pPr>
      <w:r>
        <w:rPr>
          <w:sz w:val="28"/>
          <w:szCs w:val="24"/>
        </w:rPr>
        <w:t xml:space="preserve">Dilute the PNPP 1 to 100 in the Substrate Buffer. </w:t>
      </w:r>
    </w:p>
    <w:p w:rsidR="00F40F17" w:rsidRDefault="00F40F17" w:rsidP="00F40F17">
      <w:pPr>
        <w:pStyle w:val="ListParagraph"/>
        <w:rPr>
          <w:sz w:val="28"/>
          <w:szCs w:val="24"/>
        </w:rPr>
      </w:pPr>
      <w:r>
        <w:rPr>
          <w:sz w:val="28"/>
          <w:szCs w:val="24"/>
        </w:rPr>
        <w:t xml:space="preserve"> </w:t>
      </w:r>
      <w:r>
        <w:rPr>
          <w:noProof/>
        </w:rPr>
        <w:drawing>
          <wp:inline distT="0" distB="0" distL="0" distR="0" wp14:anchorId="5CF99EE6" wp14:editId="05637F11">
            <wp:extent cx="5467350" cy="1057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67350" cy="1057275"/>
                    </a:xfrm>
                    <a:prstGeom prst="rect">
                      <a:avLst/>
                    </a:prstGeom>
                  </pic:spPr>
                </pic:pic>
              </a:graphicData>
            </a:graphic>
          </wp:inline>
        </w:drawing>
      </w:r>
    </w:p>
    <w:p w:rsidR="00E5465B" w:rsidRDefault="00E5465B" w:rsidP="00F40F17">
      <w:pPr>
        <w:pStyle w:val="ListParagraph"/>
        <w:rPr>
          <w:sz w:val="28"/>
          <w:szCs w:val="24"/>
        </w:rPr>
      </w:pPr>
      <w:r>
        <w:rPr>
          <w:b/>
          <w:sz w:val="28"/>
          <w:szCs w:val="24"/>
        </w:rPr>
        <w:t xml:space="preserve">MIX WELL. </w:t>
      </w:r>
      <w:r>
        <w:rPr>
          <w:sz w:val="28"/>
          <w:szCs w:val="24"/>
        </w:rPr>
        <w:t xml:space="preserve">Protect from light until use. </w:t>
      </w:r>
    </w:p>
    <w:p w:rsidR="00E5465B" w:rsidRPr="00E5465B" w:rsidRDefault="00E5465B" w:rsidP="00F40F17">
      <w:pPr>
        <w:pStyle w:val="ListParagraph"/>
        <w:rPr>
          <w:sz w:val="10"/>
          <w:szCs w:val="24"/>
        </w:rPr>
      </w:pPr>
    </w:p>
    <w:p w:rsidR="00E5465B" w:rsidRPr="00E5465B" w:rsidRDefault="00E5465B" w:rsidP="00E5465B">
      <w:pPr>
        <w:pStyle w:val="ListParagraph"/>
        <w:numPr>
          <w:ilvl w:val="0"/>
          <w:numId w:val="1"/>
        </w:numPr>
        <w:rPr>
          <w:sz w:val="28"/>
          <w:szCs w:val="24"/>
        </w:rPr>
      </w:pPr>
      <w:r>
        <w:rPr>
          <w:sz w:val="28"/>
          <w:szCs w:val="24"/>
        </w:rPr>
        <w:t xml:space="preserve">  </w:t>
      </w:r>
      <w:r w:rsidRPr="00E5465B">
        <w:rPr>
          <w:sz w:val="28"/>
          <w:szCs w:val="24"/>
        </w:rPr>
        <w:t>WASH STEP</w:t>
      </w:r>
    </w:p>
    <w:p w:rsidR="00E5465B" w:rsidRDefault="00E5465B" w:rsidP="00E5465B">
      <w:pPr>
        <w:pStyle w:val="ListParagraph"/>
        <w:numPr>
          <w:ilvl w:val="0"/>
          <w:numId w:val="3"/>
        </w:numPr>
        <w:rPr>
          <w:sz w:val="28"/>
          <w:szCs w:val="24"/>
        </w:rPr>
      </w:pPr>
      <w:r>
        <w:rPr>
          <w:sz w:val="28"/>
          <w:szCs w:val="24"/>
        </w:rPr>
        <w:t>Aspirate or decant contents of each well and blot on absorbent toweling</w:t>
      </w:r>
    </w:p>
    <w:p w:rsidR="00E5465B" w:rsidRDefault="00E5465B" w:rsidP="00E5465B">
      <w:pPr>
        <w:pStyle w:val="ListParagraph"/>
        <w:numPr>
          <w:ilvl w:val="0"/>
          <w:numId w:val="3"/>
        </w:numPr>
        <w:rPr>
          <w:sz w:val="28"/>
          <w:szCs w:val="24"/>
        </w:rPr>
      </w:pPr>
      <w:r>
        <w:rPr>
          <w:sz w:val="28"/>
          <w:szCs w:val="24"/>
        </w:rPr>
        <w:t>Add 300</w:t>
      </w:r>
      <w:r>
        <w:rPr>
          <w:rFonts w:cstheme="minorHAnsi"/>
          <w:sz w:val="28"/>
          <w:szCs w:val="24"/>
        </w:rPr>
        <w:t>µ</w:t>
      </w:r>
      <w:r>
        <w:rPr>
          <w:sz w:val="28"/>
          <w:szCs w:val="24"/>
        </w:rPr>
        <w:t>L Working Wash Solution</w:t>
      </w:r>
    </w:p>
    <w:p w:rsidR="00E5465B" w:rsidRDefault="00E5465B" w:rsidP="00E5465B">
      <w:pPr>
        <w:pStyle w:val="ListParagraph"/>
        <w:numPr>
          <w:ilvl w:val="0"/>
          <w:numId w:val="3"/>
        </w:numPr>
        <w:rPr>
          <w:sz w:val="28"/>
          <w:szCs w:val="24"/>
        </w:rPr>
      </w:pPr>
      <w:r>
        <w:rPr>
          <w:sz w:val="28"/>
          <w:szCs w:val="24"/>
        </w:rPr>
        <w:t>Aspirate or decant</w:t>
      </w:r>
    </w:p>
    <w:p w:rsidR="00E5465B" w:rsidRDefault="00E5465B" w:rsidP="00E5465B">
      <w:pPr>
        <w:pStyle w:val="ListParagraph"/>
        <w:numPr>
          <w:ilvl w:val="0"/>
          <w:numId w:val="3"/>
        </w:numPr>
        <w:rPr>
          <w:sz w:val="28"/>
          <w:szCs w:val="24"/>
        </w:rPr>
      </w:pPr>
      <w:r>
        <w:rPr>
          <w:sz w:val="28"/>
          <w:szCs w:val="24"/>
        </w:rPr>
        <w:t>Repeat steps B and C for a total of 3 or 4 washes.</w:t>
      </w:r>
    </w:p>
    <w:p w:rsidR="00E5465B" w:rsidRDefault="00E5465B" w:rsidP="00E5465B">
      <w:pPr>
        <w:pStyle w:val="ListParagraph"/>
        <w:numPr>
          <w:ilvl w:val="0"/>
          <w:numId w:val="3"/>
        </w:numPr>
        <w:rPr>
          <w:sz w:val="28"/>
          <w:szCs w:val="24"/>
        </w:rPr>
      </w:pPr>
      <w:r>
        <w:rPr>
          <w:sz w:val="28"/>
          <w:szCs w:val="24"/>
        </w:rPr>
        <w:t xml:space="preserve">Vigorously decant to remove all residual wash solution after the final wash solution. Invert on absorbent toweling to prevent drying. </w:t>
      </w:r>
    </w:p>
    <w:p w:rsidR="00E5465B" w:rsidRDefault="00E5465B" w:rsidP="00E5465B">
      <w:pPr>
        <w:ind w:left="720"/>
        <w:rPr>
          <w:sz w:val="28"/>
          <w:szCs w:val="24"/>
        </w:rPr>
      </w:pPr>
      <w:r>
        <w:rPr>
          <w:b/>
          <w:sz w:val="28"/>
          <w:szCs w:val="24"/>
        </w:rPr>
        <w:t>Proceed Promptly through the next three steps</w:t>
      </w:r>
    </w:p>
    <w:p w:rsidR="00E5465B" w:rsidRDefault="00E5465B" w:rsidP="00E5465B">
      <w:pPr>
        <w:pStyle w:val="ListParagraph"/>
        <w:numPr>
          <w:ilvl w:val="0"/>
          <w:numId w:val="1"/>
        </w:numPr>
        <w:rPr>
          <w:sz w:val="28"/>
          <w:szCs w:val="24"/>
        </w:rPr>
      </w:pPr>
      <w:r>
        <w:rPr>
          <w:sz w:val="28"/>
          <w:szCs w:val="24"/>
        </w:rPr>
        <w:t xml:space="preserve"> Add 100</w:t>
      </w:r>
      <w:r>
        <w:rPr>
          <w:rFonts w:cstheme="minorHAnsi"/>
          <w:sz w:val="28"/>
          <w:szCs w:val="24"/>
        </w:rPr>
        <w:t>µ</w:t>
      </w:r>
      <w:r>
        <w:rPr>
          <w:sz w:val="28"/>
          <w:szCs w:val="24"/>
        </w:rPr>
        <w:t>L of the diluted PNPP solution to all the wells EXCEPT those designated as BLANKS</w:t>
      </w:r>
    </w:p>
    <w:p w:rsidR="00E5465B" w:rsidRPr="00E5465B" w:rsidRDefault="00E5465B" w:rsidP="00E5465B">
      <w:pPr>
        <w:pStyle w:val="ListParagraph"/>
        <w:numPr>
          <w:ilvl w:val="0"/>
          <w:numId w:val="1"/>
        </w:numPr>
        <w:rPr>
          <w:sz w:val="28"/>
          <w:szCs w:val="24"/>
        </w:rPr>
      </w:pPr>
      <w:r>
        <w:rPr>
          <w:sz w:val="28"/>
          <w:szCs w:val="24"/>
        </w:rPr>
        <w:t>Allow the microwells to stand in the dark for 30 minutes at ROOM TEMPERATURE (22 to 25</w:t>
      </w:r>
      <w:r>
        <w:rPr>
          <w:rFonts w:cstheme="minorHAnsi"/>
          <w:sz w:val="28"/>
          <w:szCs w:val="24"/>
        </w:rPr>
        <w:t>°C)</w:t>
      </w:r>
    </w:p>
    <w:p w:rsidR="00E5465B" w:rsidRDefault="00E5465B" w:rsidP="00E5465B">
      <w:pPr>
        <w:pStyle w:val="ListParagraph"/>
        <w:rPr>
          <w:sz w:val="28"/>
          <w:szCs w:val="24"/>
        </w:rPr>
      </w:pPr>
    </w:p>
    <w:p w:rsidR="00E5465B" w:rsidRDefault="00E5465B" w:rsidP="00E5465B">
      <w:pPr>
        <w:pStyle w:val="ListParagraph"/>
        <w:rPr>
          <w:sz w:val="28"/>
          <w:szCs w:val="24"/>
        </w:rPr>
      </w:pPr>
      <w:r>
        <w:rPr>
          <w:b/>
          <w:sz w:val="28"/>
          <w:szCs w:val="24"/>
        </w:rPr>
        <w:t xml:space="preserve">NOTE: </w:t>
      </w:r>
      <w:r>
        <w:rPr>
          <w:sz w:val="28"/>
          <w:szCs w:val="24"/>
        </w:rPr>
        <w:t xml:space="preserve">Incubation time and temperature after the addition of PNPP is critical. DO NOT vary the established incubation time or temperature. For consistency, begin timing promptly after addition of the reagent to the first well. </w:t>
      </w:r>
    </w:p>
    <w:p w:rsidR="00E5465B" w:rsidRDefault="00E5465B" w:rsidP="00E5465B">
      <w:pPr>
        <w:pStyle w:val="ListParagraph"/>
        <w:numPr>
          <w:ilvl w:val="0"/>
          <w:numId w:val="1"/>
        </w:numPr>
        <w:rPr>
          <w:sz w:val="28"/>
          <w:szCs w:val="24"/>
        </w:rPr>
      </w:pPr>
      <w:r>
        <w:rPr>
          <w:sz w:val="28"/>
          <w:szCs w:val="24"/>
        </w:rPr>
        <w:lastRenderedPageBreak/>
        <w:t xml:space="preserve"> Stop the reaction by adding 100</w:t>
      </w:r>
      <w:r>
        <w:rPr>
          <w:rFonts w:cstheme="minorHAnsi"/>
          <w:sz w:val="28"/>
          <w:szCs w:val="24"/>
        </w:rPr>
        <w:t>µ</w:t>
      </w:r>
      <w:r>
        <w:rPr>
          <w:sz w:val="28"/>
          <w:szCs w:val="24"/>
        </w:rPr>
        <w:t>L of Stopping Solution to each well in the same sequence as the addition of substrate. Add 200</w:t>
      </w:r>
      <w:r>
        <w:rPr>
          <w:rFonts w:cstheme="minorHAnsi"/>
          <w:sz w:val="28"/>
          <w:szCs w:val="24"/>
        </w:rPr>
        <w:t>µ</w:t>
      </w:r>
      <w:r>
        <w:rPr>
          <w:sz w:val="28"/>
          <w:szCs w:val="24"/>
        </w:rPr>
        <w:t xml:space="preserve">L of Stopping Solution to the blank wells. </w:t>
      </w:r>
    </w:p>
    <w:p w:rsidR="004E7570" w:rsidRDefault="004E7570" w:rsidP="00E5465B">
      <w:pPr>
        <w:pStyle w:val="ListParagraph"/>
        <w:numPr>
          <w:ilvl w:val="0"/>
          <w:numId w:val="1"/>
        </w:numPr>
        <w:rPr>
          <w:sz w:val="28"/>
          <w:szCs w:val="24"/>
        </w:rPr>
      </w:pPr>
      <w:r>
        <w:rPr>
          <w:sz w:val="28"/>
          <w:szCs w:val="24"/>
        </w:rPr>
        <w:t xml:space="preserve"> Read the absorbance (OD) of each well at 405 or 410 nm using a reference filter of 490 nm. If the results cannot be read immediately, return the wells to a dark location for up to 30 minutes.</w:t>
      </w:r>
    </w:p>
    <w:p w:rsidR="004E7570" w:rsidRDefault="004E7570" w:rsidP="00E5465B">
      <w:pPr>
        <w:pStyle w:val="ListParagraph"/>
        <w:numPr>
          <w:ilvl w:val="0"/>
          <w:numId w:val="1"/>
        </w:numPr>
        <w:rPr>
          <w:sz w:val="28"/>
          <w:szCs w:val="24"/>
        </w:rPr>
      </w:pPr>
      <w:r>
        <w:rPr>
          <w:sz w:val="28"/>
          <w:szCs w:val="24"/>
        </w:rPr>
        <w:t>Record the results on the Recording Sheet.</w:t>
      </w:r>
    </w:p>
    <w:p w:rsidR="00BF4C04" w:rsidRDefault="00BF4C04" w:rsidP="00BF4C04">
      <w:pPr>
        <w:rPr>
          <w:b/>
          <w:sz w:val="28"/>
          <w:szCs w:val="24"/>
        </w:rPr>
      </w:pPr>
      <w:r w:rsidRPr="00BF4C04">
        <w:rPr>
          <w:b/>
          <w:sz w:val="28"/>
          <w:szCs w:val="24"/>
        </w:rPr>
        <w:t>Plate Reader:</w:t>
      </w:r>
    </w:p>
    <w:p w:rsidR="004F3B86" w:rsidRPr="00BF4C04" w:rsidRDefault="004F3B86" w:rsidP="00BF4C04">
      <w:pPr>
        <w:rPr>
          <w:b/>
          <w:sz w:val="28"/>
          <w:szCs w:val="24"/>
        </w:rPr>
      </w:pPr>
      <w:r>
        <w:rPr>
          <w:b/>
          <w:sz w:val="28"/>
          <w:szCs w:val="24"/>
        </w:rPr>
        <w:t>See attachments for screen shots</w:t>
      </w:r>
    </w:p>
    <w:p w:rsidR="00BF4C04" w:rsidRPr="00BF4C04" w:rsidRDefault="00BF4C04" w:rsidP="00BF4C04">
      <w:pPr>
        <w:pStyle w:val="ListParagraph"/>
        <w:widowControl w:val="0"/>
        <w:numPr>
          <w:ilvl w:val="0"/>
          <w:numId w:val="6"/>
        </w:numPr>
        <w:tabs>
          <w:tab w:val="center" w:pos="1080"/>
          <w:tab w:val="right" w:pos="9360"/>
        </w:tabs>
        <w:spacing w:line="360" w:lineRule="auto"/>
        <w:rPr>
          <w:rFonts w:ascii="Calibri" w:eastAsia="Calibri" w:hAnsi="Calibri"/>
          <w:sz w:val="28"/>
          <w:szCs w:val="28"/>
        </w:rPr>
      </w:pPr>
      <w:r w:rsidRPr="00BF4C04">
        <w:rPr>
          <w:rFonts w:ascii="Calibri" w:eastAsia="Calibri" w:hAnsi="Calibri"/>
          <w:sz w:val="28"/>
          <w:szCs w:val="28"/>
        </w:rPr>
        <w:t>Power on analyzer</w:t>
      </w:r>
    </w:p>
    <w:p w:rsidR="00BF4C04" w:rsidRPr="00BF4C04" w:rsidRDefault="00BF4C04" w:rsidP="00BF4C04">
      <w:pPr>
        <w:pStyle w:val="ListParagraph"/>
        <w:widowControl w:val="0"/>
        <w:numPr>
          <w:ilvl w:val="0"/>
          <w:numId w:val="6"/>
        </w:numPr>
        <w:tabs>
          <w:tab w:val="center" w:pos="1080"/>
          <w:tab w:val="right" w:pos="9360"/>
        </w:tabs>
        <w:spacing w:line="360" w:lineRule="auto"/>
        <w:rPr>
          <w:rFonts w:ascii="Calibri" w:eastAsia="Calibri" w:hAnsi="Calibri"/>
          <w:sz w:val="28"/>
          <w:szCs w:val="28"/>
        </w:rPr>
      </w:pPr>
      <w:r w:rsidRPr="00BF4C04">
        <w:rPr>
          <w:rFonts w:ascii="Calibri" w:eastAsia="Calibri" w:hAnsi="Calibri"/>
          <w:sz w:val="28"/>
          <w:szCs w:val="28"/>
        </w:rPr>
        <w:t>Gen 5 3.11</w:t>
      </w:r>
    </w:p>
    <w:p w:rsidR="00BF4C04" w:rsidRPr="00BF4C04" w:rsidRDefault="00BF4C04" w:rsidP="00BF4C04">
      <w:pPr>
        <w:pStyle w:val="ListParagraph"/>
        <w:widowControl w:val="0"/>
        <w:numPr>
          <w:ilvl w:val="0"/>
          <w:numId w:val="6"/>
        </w:numPr>
        <w:tabs>
          <w:tab w:val="center" w:pos="1080"/>
          <w:tab w:val="right" w:pos="9360"/>
        </w:tabs>
        <w:spacing w:line="360" w:lineRule="auto"/>
        <w:rPr>
          <w:rFonts w:ascii="Calibri" w:eastAsia="Calibri" w:hAnsi="Calibri"/>
          <w:sz w:val="28"/>
          <w:szCs w:val="28"/>
        </w:rPr>
      </w:pPr>
      <w:r w:rsidRPr="00BF4C04">
        <w:rPr>
          <w:rFonts w:ascii="Calibri" w:eastAsia="Calibri" w:hAnsi="Calibri"/>
          <w:sz w:val="28"/>
          <w:szCs w:val="28"/>
        </w:rPr>
        <w:t>Password admin – ok</w:t>
      </w:r>
    </w:p>
    <w:p w:rsidR="00BF4C04" w:rsidRPr="00BF4C04" w:rsidRDefault="00BF4C04" w:rsidP="00BF4C04">
      <w:pPr>
        <w:pStyle w:val="ListParagraph"/>
        <w:widowControl w:val="0"/>
        <w:numPr>
          <w:ilvl w:val="0"/>
          <w:numId w:val="6"/>
        </w:numPr>
        <w:tabs>
          <w:tab w:val="center" w:pos="1080"/>
          <w:tab w:val="right" w:pos="9360"/>
        </w:tabs>
        <w:spacing w:line="360" w:lineRule="auto"/>
        <w:rPr>
          <w:rFonts w:ascii="Calibri" w:eastAsia="Calibri" w:hAnsi="Calibri"/>
          <w:sz w:val="28"/>
          <w:szCs w:val="28"/>
        </w:rPr>
      </w:pPr>
      <w:r w:rsidRPr="00BF4C04">
        <w:rPr>
          <w:rFonts w:ascii="Calibri" w:eastAsia="Calibri" w:hAnsi="Calibri"/>
          <w:b/>
          <w:sz w:val="28"/>
          <w:szCs w:val="28"/>
        </w:rPr>
        <w:t>Protocols</w:t>
      </w:r>
      <w:r w:rsidRPr="00BF4C04">
        <w:rPr>
          <w:rFonts w:ascii="Calibri" w:eastAsia="Calibri" w:hAnsi="Calibri"/>
          <w:sz w:val="28"/>
          <w:szCs w:val="28"/>
        </w:rPr>
        <w:t xml:space="preserve"> – PF4 Vertical Assay Rush </w:t>
      </w:r>
      <w:proofErr w:type="spellStart"/>
      <w:r w:rsidRPr="00BF4C04">
        <w:rPr>
          <w:rFonts w:ascii="Calibri" w:eastAsia="Calibri" w:hAnsi="Calibri"/>
          <w:sz w:val="28"/>
          <w:szCs w:val="28"/>
        </w:rPr>
        <w:t>Copley.prt</w:t>
      </w:r>
      <w:proofErr w:type="spellEnd"/>
    </w:p>
    <w:p w:rsidR="00BF4C04" w:rsidRPr="00BF4C04" w:rsidRDefault="00BF4C04" w:rsidP="00BF4C04">
      <w:pPr>
        <w:pStyle w:val="ListParagraph"/>
        <w:widowControl w:val="0"/>
        <w:numPr>
          <w:ilvl w:val="0"/>
          <w:numId w:val="6"/>
        </w:numPr>
        <w:tabs>
          <w:tab w:val="center" w:pos="1080"/>
          <w:tab w:val="right" w:pos="9360"/>
        </w:tabs>
        <w:spacing w:line="360" w:lineRule="auto"/>
        <w:rPr>
          <w:rFonts w:ascii="Calibri" w:eastAsia="Calibri" w:hAnsi="Calibri"/>
          <w:sz w:val="28"/>
          <w:szCs w:val="28"/>
        </w:rPr>
      </w:pPr>
      <w:r w:rsidRPr="00BF4C04">
        <w:rPr>
          <w:rFonts w:ascii="Calibri" w:eastAsia="Calibri" w:hAnsi="Calibri"/>
          <w:b/>
          <w:sz w:val="28"/>
          <w:szCs w:val="28"/>
        </w:rPr>
        <w:t>Create Experiment and Read Now</w:t>
      </w:r>
      <w:r w:rsidRPr="00BF4C04">
        <w:rPr>
          <w:rFonts w:ascii="Calibri" w:eastAsia="Calibri" w:hAnsi="Calibri"/>
          <w:sz w:val="28"/>
          <w:szCs w:val="28"/>
        </w:rPr>
        <w:t xml:space="preserve"> (green arrow)</w:t>
      </w:r>
    </w:p>
    <w:p w:rsidR="00BF4C04" w:rsidRPr="00BF4C04" w:rsidRDefault="00BF4C04" w:rsidP="00BF4C04">
      <w:pPr>
        <w:pStyle w:val="ListParagraph"/>
        <w:widowControl w:val="0"/>
        <w:numPr>
          <w:ilvl w:val="0"/>
          <w:numId w:val="6"/>
        </w:numPr>
        <w:tabs>
          <w:tab w:val="center" w:pos="1080"/>
          <w:tab w:val="right" w:pos="9360"/>
        </w:tabs>
        <w:spacing w:line="360" w:lineRule="auto"/>
        <w:rPr>
          <w:rFonts w:ascii="Calibri" w:eastAsia="Calibri" w:hAnsi="Calibri"/>
          <w:sz w:val="28"/>
          <w:szCs w:val="28"/>
        </w:rPr>
      </w:pPr>
      <w:r w:rsidRPr="00BF4C04">
        <w:rPr>
          <w:rFonts w:ascii="Calibri" w:eastAsia="Calibri" w:hAnsi="Calibri"/>
          <w:sz w:val="28"/>
          <w:szCs w:val="28"/>
        </w:rPr>
        <w:t>Kit lot #, Expiration date, RT – “OK”.  Cancel run to add rest of info</w:t>
      </w:r>
    </w:p>
    <w:p w:rsidR="00BF4C04" w:rsidRPr="00BF4C04" w:rsidRDefault="00BF4C04" w:rsidP="00BF4C04">
      <w:pPr>
        <w:pStyle w:val="ListParagraph"/>
        <w:widowControl w:val="0"/>
        <w:numPr>
          <w:ilvl w:val="0"/>
          <w:numId w:val="6"/>
        </w:numPr>
        <w:tabs>
          <w:tab w:val="center" w:pos="1080"/>
          <w:tab w:val="right" w:pos="9360"/>
        </w:tabs>
        <w:spacing w:line="360" w:lineRule="auto"/>
        <w:rPr>
          <w:rFonts w:ascii="Calibri" w:eastAsia="Calibri" w:hAnsi="Calibri"/>
          <w:sz w:val="28"/>
          <w:szCs w:val="28"/>
        </w:rPr>
      </w:pPr>
      <w:r w:rsidRPr="00BF4C04">
        <w:rPr>
          <w:rFonts w:ascii="Calibri" w:eastAsia="Calibri" w:hAnsi="Calibri"/>
          <w:b/>
          <w:sz w:val="28"/>
          <w:szCs w:val="28"/>
        </w:rPr>
        <w:t xml:space="preserve">Protocol </w:t>
      </w:r>
      <w:r w:rsidRPr="00BF4C04">
        <w:rPr>
          <w:rFonts w:ascii="Calibri" w:eastAsia="Calibri" w:hAnsi="Calibri"/>
          <w:sz w:val="28"/>
          <w:szCs w:val="28"/>
        </w:rPr>
        <w:t xml:space="preserve">–Plate layout, </w:t>
      </w:r>
      <w:r w:rsidR="004F3B86">
        <w:rPr>
          <w:rFonts w:ascii="Calibri" w:eastAsia="Calibri" w:hAnsi="Calibri"/>
          <w:sz w:val="28"/>
          <w:szCs w:val="28"/>
        </w:rPr>
        <w:t>verify correct layout,</w:t>
      </w:r>
      <w:r w:rsidRPr="00BF4C04">
        <w:rPr>
          <w:rFonts w:ascii="Calibri" w:eastAsia="Calibri" w:hAnsi="Calibri"/>
          <w:sz w:val="28"/>
          <w:szCs w:val="28"/>
        </w:rPr>
        <w:t xml:space="preserve"> “OK”</w:t>
      </w:r>
    </w:p>
    <w:p w:rsidR="00BF4C04" w:rsidRPr="00BF4C04" w:rsidRDefault="00BF4C04" w:rsidP="00BF4C04">
      <w:pPr>
        <w:pStyle w:val="ListParagraph"/>
        <w:widowControl w:val="0"/>
        <w:numPr>
          <w:ilvl w:val="0"/>
          <w:numId w:val="6"/>
        </w:numPr>
        <w:tabs>
          <w:tab w:val="center" w:pos="1080"/>
          <w:tab w:val="right" w:pos="9360"/>
        </w:tabs>
        <w:spacing w:line="360" w:lineRule="auto"/>
        <w:rPr>
          <w:rFonts w:ascii="Calibri" w:eastAsia="Calibri" w:hAnsi="Calibri"/>
          <w:b/>
          <w:sz w:val="28"/>
          <w:szCs w:val="28"/>
        </w:rPr>
      </w:pPr>
      <w:r w:rsidRPr="00BF4C04">
        <w:rPr>
          <w:rFonts w:ascii="Calibri" w:eastAsia="Calibri" w:hAnsi="Calibri"/>
          <w:b/>
          <w:sz w:val="28"/>
          <w:szCs w:val="28"/>
        </w:rPr>
        <w:t xml:space="preserve">Plate-- </w:t>
      </w:r>
      <w:r w:rsidRPr="00BF4C04">
        <w:rPr>
          <w:rFonts w:ascii="Calibri" w:eastAsia="Calibri" w:hAnsi="Calibri"/>
          <w:sz w:val="28"/>
          <w:szCs w:val="28"/>
        </w:rPr>
        <w:t>Sample ID, enter Specimen only “OK”, Close audit trail -- “yes”, “are you sure you don’t want to enter comments – “yes”</w:t>
      </w:r>
    </w:p>
    <w:p w:rsidR="00BF4C04" w:rsidRPr="00BF4C04" w:rsidRDefault="00BF4C04" w:rsidP="00BF4C04">
      <w:pPr>
        <w:pStyle w:val="ListParagraph"/>
        <w:widowControl w:val="0"/>
        <w:numPr>
          <w:ilvl w:val="0"/>
          <w:numId w:val="6"/>
        </w:numPr>
        <w:tabs>
          <w:tab w:val="center" w:pos="1080"/>
          <w:tab w:val="right" w:pos="9360"/>
        </w:tabs>
        <w:spacing w:line="360" w:lineRule="auto"/>
        <w:rPr>
          <w:rFonts w:ascii="Calibri" w:eastAsia="Calibri" w:hAnsi="Calibri"/>
          <w:b/>
          <w:sz w:val="28"/>
          <w:szCs w:val="28"/>
        </w:rPr>
      </w:pPr>
      <w:r w:rsidRPr="00BF4C04">
        <w:rPr>
          <w:rFonts w:ascii="Calibri" w:eastAsia="Calibri" w:hAnsi="Calibri"/>
          <w:b/>
          <w:sz w:val="28"/>
          <w:szCs w:val="28"/>
        </w:rPr>
        <w:t>Plate—</w:t>
      </w:r>
      <w:r w:rsidRPr="00BF4C04">
        <w:rPr>
          <w:rFonts w:ascii="Calibri" w:eastAsia="Calibri" w:hAnsi="Calibri"/>
          <w:sz w:val="28"/>
          <w:szCs w:val="28"/>
        </w:rPr>
        <w:t>Information, fill in plate comment</w:t>
      </w:r>
      <w:r w:rsidRPr="00BF4C04">
        <w:rPr>
          <w:rFonts w:ascii="Calibri" w:eastAsia="Calibri" w:hAnsi="Calibri"/>
          <w:b/>
          <w:sz w:val="28"/>
          <w:szCs w:val="28"/>
        </w:rPr>
        <w:t xml:space="preserve"> “System Check Passed” -- </w:t>
      </w:r>
      <w:proofErr w:type="gramStart"/>
      <w:r w:rsidRPr="00BF4C04">
        <w:rPr>
          <w:rFonts w:ascii="Calibri" w:eastAsia="Calibri" w:hAnsi="Calibri"/>
          <w:b/>
          <w:sz w:val="28"/>
          <w:szCs w:val="28"/>
        </w:rPr>
        <w:t xml:space="preserve">OK,  </w:t>
      </w:r>
      <w:r w:rsidRPr="00BF4C04">
        <w:rPr>
          <w:rFonts w:ascii="Calibri" w:eastAsia="Calibri" w:hAnsi="Calibri"/>
          <w:sz w:val="28"/>
          <w:szCs w:val="28"/>
        </w:rPr>
        <w:t>close</w:t>
      </w:r>
      <w:proofErr w:type="gramEnd"/>
      <w:r w:rsidRPr="00BF4C04">
        <w:rPr>
          <w:rFonts w:ascii="Calibri" w:eastAsia="Calibri" w:hAnsi="Calibri"/>
          <w:sz w:val="28"/>
          <w:szCs w:val="28"/>
        </w:rPr>
        <w:t>, “are you sure you don’t want to enter comments – “yes”</w:t>
      </w:r>
    </w:p>
    <w:p w:rsidR="00BF4C04" w:rsidRPr="00BF4C04" w:rsidRDefault="00BF4C04" w:rsidP="00BF4C04">
      <w:pPr>
        <w:pStyle w:val="ListParagraph"/>
        <w:widowControl w:val="0"/>
        <w:numPr>
          <w:ilvl w:val="0"/>
          <w:numId w:val="6"/>
        </w:numPr>
        <w:tabs>
          <w:tab w:val="center" w:pos="1080"/>
          <w:tab w:val="right" w:pos="9360"/>
        </w:tabs>
        <w:spacing w:line="360" w:lineRule="auto"/>
        <w:rPr>
          <w:rFonts w:ascii="Calibri" w:eastAsia="Calibri" w:hAnsi="Calibri"/>
          <w:b/>
          <w:sz w:val="28"/>
          <w:szCs w:val="28"/>
        </w:rPr>
      </w:pPr>
      <w:r w:rsidRPr="00BF4C04">
        <w:rPr>
          <w:rFonts w:ascii="Calibri" w:eastAsia="Calibri" w:hAnsi="Calibri"/>
          <w:b/>
          <w:sz w:val="28"/>
          <w:szCs w:val="28"/>
        </w:rPr>
        <w:t>Place test tray into reader</w:t>
      </w:r>
    </w:p>
    <w:p w:rsidR="00BF4C04" w:rsidRPr="00BF4C04" w:rsidRDefault="00BF4C04" w:rsidP="00BF4C04">
      <w:pPr>
        <w:pStyle w:val="ListParagraph"/>
        <w:widowControl w:val="0"/>
        <w:numPr>
          <w:ilvl w:val="0"/>
          <w:numId w:val="6"/>
        </w:numPr>
        <w:tabs>
          <w:tab w:val="center" w:pos="1080"/>
          <w:tab w:val="right" w:pos="9360"/>
        </w:tabs>
        <w:spacing w:line="360" w:lineRule="auto"/>
        <w:rPr>
          <w:rFonts w:ascii="Calibri" w:eastAsia="Calibri" w:hAnsi="Calibri"/>
          <w:sz w:val="28"/>
          <w:szCs w:val="28"/>
        </w:rPr>
      </w:pPr>
      <w:r w:rsidRPr="00BF4C04">
        <w:rPr>
          <w:rFonts w:ascii="Calibri" w:eastAsia="Calibri" w:hAnsi="Calibri"/>
          <w:b/>
          <w:sz w:val="28"/>
          <w:szCs w:val="28"/>
        </w:rPr>
        <w:t xml:space="preserve">Green arrow (Read </w:t>
      </w:r>
      <w:proofErr w:type="gramStart"/>
      <w:r w:rsidRPr="00BF4C04">
        <w:rPr>
          <w:rFonts w:ascii="Calibri" w:eastAsia="Calibri" w:hAnsi="Calibri"/>
          <w:b/>
          <w:sz w:val="28"/>
          <w:szCs w:val="28"/>
        </w:rPr>
        <w:t>Now)--</w:t>
      </w:r>
      <w:proofErr w:type="gramEnd"/>
      <w:r w:rsidRPr="00BF4C04">
        <w:rPr>
          <w:rFonts w:ascii="Calibri" w:eastAsia="Calibri" w:hAnsi="Calibri"/>
          <w:b/>
          <w:sz w:val="28"/>
          <w:szCs w:val="28"/>
        </w:rPr>
        <w:t xml:space="preserve"> </w:t>
      </w:r>
      <w:r w:rsidRPr="00BF4C04">
        <w:rPr>
          <w:rFonts w:ascii="Calibri" w:eastAsia="Calibri" w:hAnsi="Calibri"/>
          <w:sz w:val="28"/>
          <w:szCs w:val="28"/>
        </w:rPr>
        <w:t>“OK”, pop up box “OK” when ready to run</w:t>
      </w:r>
    </w:p>
    <w:p w:rsidR="00BF4C04" w:rsidRPr="00BF4C04" w:rsidRDefault="00BF4C04" w:rsidP="00BF4C04">
      <w:pPr>
        <w:pStyle w:val="ListParagraph"/>
        <w:widowControl w:val="0"/>
        <w:numPr>
          <w:ilvl w:val="0"/>
          <w:numId w:val="6"/>
        </w:numPr>
        <w:tabs>
          <w:tab w:val="center" w:pos="1080"/>
          <w:tab w:val="right" w:pos="9360"/>
        </w:tabs>
        <w:spacing w:line="360" w:lineRule="auto"/>
        <w:rPr>
          <w:rFonts w:ascii="Calibri" w:eastAsia="Calibri" w:hAnsi="Calibri"/>
          <w:sz w:val="28"/>
          <w:szCs w:val="28"/>
        </w:rPr>
      </w:pPr>
      <w:r w:rsidRPr="00BF4C04">
        <w:rPr>
          <w:rFonts w:ascii="Calibri" w:eastAsia="Calibri" w:hAnsi="Calibri"/>
          <w:sz w:val="28"/>
          <w:szCs w:val="28"/>
        </w:rPr>
        <w:t>After completed</w:t>
      </w:r>
      <w:r w:rsidRPr="00BF4C04">
        <w:rPr>
          <w:rFonts w:ascii="Calibri" w:eastAsia="Calibri" w:hAnsi="Calibri"/>
          <w:b/>
          <w:sz w:val="28"/>
          <w:szCs w:val="28"/>
        </w:rPr>
        <w:t xml:space="preserve"> save</w:t>
      </w:r>
      <w:r w:rsidRPr="00BF4C04">
        <w:rPr>
          <w:rFonts w:ascii="Calibri" w:eastAsia="Calibri" w:hAnsi="Calibri"/>
          <w:sz w:val="28"/>
          <w:szCs w:val="28"/>
        </w:rPr>
        <w:t xml:space="preserve"> run with date and initials</w:t>
      </w:r>
    </w:p>
    <w:p w:rsidR="00BF4C04" w:rsidRPr="00BF4C04" w:rsidRDefault="00BF4C04" w:rsidP="00BF4C04">
      <w:pPr>
        <w:pStyle w:val="ListParagraph"/>
        <w:widowControl w:val="0"/>
        <w:numPr>
          <w:ilvl w:val="0"/>
          <w:numId w:val="6"/>
        </w:numPr>
        <w:tabs>
          <w:tab w:val="center" w:pos="1080"/>
          <w:tab w:val="right" w:pos="9360"/>
        </w:tabs>
        <w:spacing w:line="360" w:lineRule="auto"/>
        <w:rPr>
          <w:rFonts w:ascii="Calibri" w:eastAsia="Calibri" w:hAnsi="Calibri"/>
          <w:sz w:val="28"/>
          <w:szCs w:val="28"/>
        </w:rPr>
      </w:pPr>
      <w:r w:rsidRPr="00BF4C04">
        <w:rPr>
          <w:rFonts w:ascii="Calibri" w:eastAsia="Calibri" w:hAnsi="Calibri"/>
          <w:b/>
          <w:sz w:val="28"/>
          <w:szCs w:val="28"/>
        </w:rPr>
        <w:t>Print</w:t>
      </w:r>
      <w:r w:rsidRPr="00BF4C04">
        <w:rPr>
          <w:rFonts w:ascii="Calibri" w:eastAsia="Calibri" w:hAnsi="Calibri"/>
          <w:sz w:val="28"/>
          <w:szCs w:val="28"/>
        </w:rPr>
        <w:t xml:space="preserve"> report using Printer Icon in task bar</w:t>
      </w:r>
    </w:p>
    <w:p w:rsidR="00BF4C04" w:rsidRPr="00BF4C04" w:rsidRDefault="00BF4C04" w:rsidP="00BF4C04">
      <w:pPr>
        <w:pStyle w:val="ListParagraph"/>
        <w:widowControl w:val="0"/>
        <w:numPr>
          <w:ilvl w:val="0"/>
          <w:numId w:val="6"/>
        </w:numPr>
        <w:tabs>
          <w:tab w:val="center" w:pos="1080"/>
          <w:tab w:val="right" w:pos="9360"/>
        </w:tabs>
        <w:spacing w:line="360" w:lineRule="auto"/>
        <w:rPr>
          <w:rFonts w:ascii="Calibri" w:eastAsia="Calibri" w:hAnsi="Calibri"/>
          <w:sz w:val="28"/>
          <w:szCs w:val="28"/>
        </w:rPr>
      </w:pPr>
      <w:r w:rsidRPr="00BF4C04">
        <w:rPr>
          <w:rFonts w:ascii="Calibri" w:eastAsia="Calibri" w:hAnsi="Calibri"/>
          <w:sz w:val="28"/>
          <w:szCs w:val="28"/>
        </w:rPr>
        <w:t>CV needs to be &lt; 20</w:t>
      </w:r>
    </w:p>
    <w:p w:rsidR="00BF4C04" w:rsidRPr="00BF4C04" w:rsidRDefault="00BF4C04" w:rsidP="00BF4C04">
      <w:pPr>
        <w:rPr>
          <w:sz w:val="28"/>
          <w:szCs w:val="24"/>
        </w:rPr>
      </w:pPr>
    </w:p>
    <w:p w:rsidR="009C5BFD" w:rsidRPr="001557BA" w:rsidRDefault="004E7570">
      <w:pPr>
        <w:rPr>
          <w:b/>
          <w:sz w:val="28"/>
          <w:szCs w:val="24"/>
        </w:rPr>
      </w:pPr>
      <w:r>
        <w:rPr>
          <w:b/>
          <w:sz w:val="28"/>
          <w:szCs w:val="24"/>
        </w:rPr>
        <w:t>C</w:t>
      </w:r>
      <w:r w:rsidR="009C5BFD" w:rsidRPr="001557BA">
        <w:rPr>
          <w:b/>
          <w:sz w:val="28"/>
          <w:szCs w:val="24"/>
        </w:rPr>
        <w:t>alibration:</w:t>
      </w:r>
    </w:p>
    <w:p w:rsidR="00932781" w:rsidRDefault="00932781">
      <w:pPr>
        <w:rPr>
          <w:b/>
          <w:sz w:val="28"/>
          <w:szCs w:val="24"/>
        </w:rPr>
      </w:pPr>
      <w:r>
        <w:rPr>
          <w:noProof/>
        </w:rPr>
        <w:drawing>
          <wp:inline distT="0" distB="0" distL="0" distR="0" wp14:anchorId="7F27D756" wp14:editId="54596045">
            <wp:extent cx="6096000" cy="34194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16239" cy="3430828"/>
                    </a:xfrm>
                    <a:prstGeom prst="rect">
                      <a:avLst/>
                    </a:prstGeom>
                  </pic:spPr>
                </pic:pic>
              </a:graphicData>
            </a:graphic>
          </wp:inline>
        </w:drawing>
      </w:r>
    </w:p>
    <w:p w:rsidR="00932781" w:rsidRDefault="00932781">
      <w:pPr>
        <w:rPr>
          <w:b/>
          <w:sz w:val="28"/>
          <w:szCs w:val="24"/>
        </w:rPr>
      </w:pPr>
      <w:r>
        <w:rPr>
          <w:noProof/>
        </w:rPr>
        <w:drawing>
          <wp:inline distT="0" distB="0" distL="0" distR="0" wp14:anchorId="285AAA1B" wp14:editId="7A8A072B">
            <wp:extent cx="5754497" cy="168588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85228" cy="1694891"/>
                    </a:xfrm>
                    <a:prstGeom prst="rect">
                      <a:avLst/>
                    </a:prstGeom>
                  </pic:spPr>
                </pic:pic>
              </a:graphicData>
            </a:graphic>
          </wp:inline>
        </w:drawing>
      </w:r>
    </w:p>
    <w:p w:rsidR="00932781" w:rsidRDefault="00932781">
      <w:pPr>
        <w:rPr>
          <w:b/>
          <w:sz w:val="28"/>
          <w:szCs w:val="24"/>
        </w:rPr>
      </w:pPr>
      <w:r>
        <w:rPr>
          <w:noProof/>
        </w:rPr>
        <w:drawing>
          <wp:inline distT="0" distB="0" distL="0" distR="0" wp14:anchorId="3D117A53" wp14:editId="481D4E84">
            <wp:extent cx="5766435" cy="620606"/>
            <wp:effectExtent l="0" t="0" r="5715"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25000"/>
                    <a:stretch/>
                  </pic:blipFill>
                  <pic:spPr bwMode="auto">
                    <a:xfrm>
                      <a:off x="0" y="0"/>
                      <a:ext cx="5856492" cy="630298"/>
                    </a:xfrm>
                    <a:prstGeom prst="rect">
                      <a:avLst/>
                    </a:prstGeom>
                    <a:ln>
                      <a:noFill/>
                    </a:ln>
                    <a:extLst>
                      <a:ext uri="{53640926-AAD7-44D8-BBD7-CCE9431645EC}">
                        <a14:shadowObscured xmlns:a14="http://schemas.microsoft.com/office/drawing/2010/main"/>
                      </a:ext>
                    </a:extLst>
                  </pic:spPr>
                </pic:pic>
              </a:graphicData>
            </a:graphic>
          </wp:inline>
        </w:drawing>
      </w:r>
    </w:p>
    <w:p w:rsidR="003B09D8" w:rsidRDefault="003B09D8">
      <w:pPr>
        <w:rPr>
          <w:b/>
          <w:sz w:val="28"/>
          <w:szCs w:val="24"/>
        </w:rPr>
      </w:pPr>
    </w:p>
    <w:p w:rsidR="003B09D8" w:rsidRDefault="003B09D8">
      <w:pPr>
        <w:rPr>
          <w:b/>
          <w:sz w:val="28"/>
          <w:szCs w:val="24"/>
        </w:rPr>
      </w:pPr>
    </w:p>
    <w:p w:rsidR="009C5BFD" w:rsidRPr="007A6DC4" w:rsidRDefault="009C5BFD">
      <w:pPr>
        <w:rPr>
          <w:b/>
          <w:sz w:val="28"/>
          <w:szCs w:val="24"/>
        </w:rPr>
      </w:pPr>
      <w:bookmarkStart w:id="2" w:name="_GoBack"/>
      <w:bookmarkEnd w:id="2"/>
      <w:r w:rsidRPr="007A6DC4">
        <w:rPr>
          <w:b/>
          <w:sz w:val="28"/>
          <w:szCs w:val="24"/>
        </w:rPr>
        <w:lastRenderedPageBreak/>
        <w:t>Quality Control:</w:t>
      </w:r>
    </w:p>
    <w:p w:rsidR="001557BA" w:rsidRPr="001557BA" w:rsidRDefault="001557BA" w:rsidP="001557BA">
      <w:pPr>
        <w:autoSpaceDE w:val="0"/>
        <w:autoSpaceDN w:val="0"/>
        <w:adjustRightInd w:val="0"/>
        <w:spacing w:after="0" w:line="141" w:lineRule="atLeast"/>
        <w:rPr>
          <w:rFonts w:cstheme="minorHAnsi"/>
          <w:color w:val="000000"/>
          <w:sz w:val="28"/>
          <w:szCs w:val="28"/>
        </w:rPr>
      </w:pPr>
      <w:r w:rsidRPr="001557BA">
        <w:rPr>
          <w:rFonts w:cstheme="minorHAnsi"/>
          <w:color w:val="000000"/>
          <w:sz w:val="28"/>
          <w:szCs w:val="28"/>
        </w:rPr>
        <w:t>External Quality Control</w:t>
      </w:r>
    </w:p>
    <w:p w:rsidR="001557BA" w:rsidRPr="001557BA" w:rsidRDefault="001557BA" w:rsidP="001557BA">
      <w:pPr>
        <w:autoSpaceDE w:val="0"/>
        <w:autoSpaceDN w:val="0"/>
        <w:adjustRightInd w:val="0"/>
        <w:spacing w:after="40" w:line="111" w:lineRule="atLeast"/>
        <w:rPr>
          <w:rFonts w:cstheme="minorHAnsi"/>
          <w:color w:val="000000"/>
          <w:sz w:val="28"/>
          <w:szCs w:val="24"/>
        </w:rPr>
      </w:pPr>
      <w:r w:rsidRPr="001557BA">
        <w:rPr>
          <w:rFonts w:cstheme="minorHAnsi"/>
          <w:color w:val="000000"/>
          <w:sz w:val="28"/>
          <w:szCs w:val="24"/>
        </w:rPr>
        <w:t xml:space="preserve">Quality Control requirements should be established in accordance with local, state and federal regulations or accreditation requirements. </w:t>
      </w:r>
    </w:p>
    <w:p w:rsidR="001557BA" w:rsidRPr="007A6DC4" w:rsidRDefault="001557BA" w:rsidP="007A6DC4">
      <w:pPr>
        <w:autoSpaceDE w:val="0"/>
        <w:autoSpaceDN w:val="0"/>
        <w:adjustRightInd w:val="0"/>
        <w:spacing w:after="40" w:line="111" w:lineRule="atLeast"/>
        <w:rPr>
          <w:rFonts w:cstheme="minorHAnsi"/>
          <w:color w:val="000000"/>
          <w:sz w:val="28"/>
          <w:szCs w:val="24"/>
        </w:rPr>
      </w:pPr>
      <w:r w:rsidRPr="001557BA">
        <w:rPr>
          <w:rFonts w:cstheme="minorHAnsi"/>
          <w:color w:val="000000"/>
          <w:sz w:val="28"/>
          <w:szCs w:val="24"/>
        </w:rPr>
        <w:t xml:space="preserve">Positive and negative external controls are to be run with each new lot, new untrained operator and with each day that patient testing is performed.  </w:t>
      </w:r>
    </w:p>
    <w:p w:rsidR="004E7570" w:rsidRDefault="004E7570" w:rsidP="007A6DC4">
      <w:pPr>
        <w:autoSpaceDE w:val="0"/>
        <w:autoSpaceDN w:val="0"/>
        <w:adjustRightInd w:val="0"/>
        <w:spacing w:after="40" w:line="111" w:lineRule="atLeast"/>
        <w:rPr>
          <w:rFonts w:cstheme="minorHAnsi"/>
          <w:color w:val="000000"/>
          <w:sz w:val="28"/>
          <w:szCs w:val="24"/>
        </w:rPr>
      </w:pPr>
    </w:p>
    <w:p w:rsidR="004E7570" w:rsidRDefault="004E7570" w:rsidP="007A6DC4">
      <w:pPr>
        <w:autoSpaceDE w:val="0"/>
        <w:autoSpaceDN w:val="0"/>
        <w:adjustRightInd w:val="0"/>
        <w:spacing w:after="40" w:line="111" w:lineRule="atLeast"/>
        <w:rPr>
          <w:rFonts w:cstheme="minorHAnsi"/>
          <w:color w:val="000000"/>
          <w:sz w:val="28"/>
          <w:szCs w:val="24"/>
        </w:rPr>
      </w:pPr>
      <w:r>
        <w:rPr>
          <w:rFonts w:cstheme="minorHAnsi"/>
          <w:color w:val="000000"/>
          <w:sz w:val="28"/>
          <w:szCs w:val="24"/>
        </w:rPr>
        <w:t xml:space="preserve">Quality Control of the PF4 Enhanced assay is built into the test system by the inclusion of Positive and Negative Serum Controls. These controls should be included with each test run to help determine if technical errors or reagent failures have occurred. </w:t>
      </w:r>
    </w:p>
    <w:p w:rsidR="004E7570" w:rsidRDefault="004E7570" w:rsidP="007A6DC4">
      <w:pPr>
        <w:autoSpaceDE w:val="0"/>
        <w:autoSpaceDN w:val="0"/>
        <w:adjustRightInd w:val="0"/>
        <w:spacing w:after="40" w:line="111" w:lineRule="atLeast"/>
        <w:rPr>
          <w:rFonts w:cstheme="minorHAnsi"/>
          <w:color w:val="000000"/>
          <w:sz w:val="28"/>
          <w:szCs w:val="24"/>
        </w:rPr>
      </w:pPr>
    </w:p>
    <w:p w:rsidR="004E7570" w:rsidRPr="007A6DC4" w:rsidRDefault="004E7570" w:rsidP="007A6DC4">
      <w:pPr>
        <w:autoSpaceDE w:val="0"/>
        <w:autoSpaceDN w:val="0"/>
        <w:adjustRightInd w:val="0"/>
        <w:spacing w:after="40" w:line="111" w:lineRule="atLeast"/>
        <w:rPr>
          <w:rFonts w:cstheme="minorHAnsi"/>
          <w:color w:val="000000"/>
          <w:sz w:val="28"/>
          <w:szCs w:val="24"/>
        </w:rPr>
      </w:pPr>
      <w:r>
        <w:rPr>
          <w:rFonts w:cstheme="minorHAnsi"/>
          <w:color w:val="000000"/>
          <w:sz w:val="28"/>
          <w:szCs w:val="24"/>
        </w:rPr>
        <w:t xml:space="preserve">Criteria for a valid test:      </w:t>
      </w:r>
    </w:p>
    <w:p w:rsidR="007A6DC4" w:rsidRDefault="004E7570" w:rsidP="007A6DC4">
      <w:pPr>
        <w:autoSpaceDE w:val="0"/>
        <w:autoSpaceDN w:val="0"/>
        <w:adjustRightInd w:val="0"/>
        <w:spacing w:after="40" w:line="111" w:lineRule="atLeast"/>
        <w:rPr>
          <w:rFonts w:cstheme="minorHAnsi"/>
          <w:color w:val="000000"/>
          <w:sz w:val="24"/>
          <w:szCs w:val="24"/>
        </w:rPr>
      </w:pPr>
      <w:r>
        <w:rPr>
          <w:noProof/>
        </w:rPr>
        <w:drawing>
          <wp:inline distT="0" distB="0" distL="0" distR="0" wp14:anchorId="51E4C49E" wp14:editId="5057D011">
            <wp:extent cx="37909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90950" cy="666750"/>
                    </a:xfrm>
                    <a:prstGeom prst="rect">
                      <a:avLst/>
                    </a:prstGeom>
                  </pic:spPr>
                </pic:pic>
              </a:graphicData>
            </a:graphic>
          </wp:inline>
        </w:drawing>
      </w:r>
    </w:p>
    <w:p w:rsidR="004E7570" w:rsidRDefault="004E7570" w:rsidP="007A6DC4">
      <w:pPr>
        <w:autoSpaceDE w:val="0"/>
        <w:autoSpaceDN w:val="0"/>
        <w:adjustRightInd w:val="0"/>
        <w:spacing w:after="40" w:line="111" w:lineRule="atLeast"/>
        <w:rPr>
          <w:rFonts w:cstheme="minorHAnsi"/>
          <w:color w:val="000000"/>
          <w:sz w:val="24"/>
          <w:szCs w:val="24"/>
        </w:rPr>
      </w:pPr>
    </w:p>
    <w:p w:rsidR="004E7570" w:rsidRDefault="004E7570" w:rsidP="007A6DC4">
      <w:pPr>
        <w:autoSpaceDE w:val="0"/>
        <w:autoSpaceDN w:val="0"/>
        <w:adjustRightInd w:val="0"/>
        <w:spacing w:after="40" w:line="111" w:lineRule="atLeast"/>
        <w:rPr>
          <w:rFonts w:cstheme="minorHAnsi"/>
          <w:color w:val="000000"/>
          <w:sz w:val="28"/>
          <w:szCs w:val="24"/>
        </w:rPr>
      </w:pPr>
      <w:r>
        <w:rPr>
          <w:rFonts w:cstheme="minorHAnsi"/>
          <w:color w:val="000000"/>
          <w:sz w:val="28"/>
          <w:szCs w:val="24"/>
        </w:rPr>
        <w:t xml:space="preserve">OD readings obtained from duplicate tests should fall within 20% of the mean of the two values. Samples whose results are outside of this limit should be re-tested. </w:t>
      </w:r>
    </w:p>
    <w:p w:rsidR="004E7570" w:rsidRPr="004E7570" w:rsidRDefault="004E7570" w:rsidP="002F7053">
      <w:pPr>
        <w:autoSpaceDE w:val="0"/>
        <w:autoSpaceDN w:val="0"/>
        <w:adjustRightInd w:val="0"/>
        <w:spacing w:after="40" w:line="111" w:lineRule="atLeast"/>
        <w:ind w:left="720"/>
        <w:rPr>
          <w:rFonts w:cstheme="minorHAnsi"/>
          <w:color w:val="000000"/>
          <w:sz w:val="28"/>
          <w:szCs w:val="24"/>
        </w:rPr>
      </w:pPr>
      <w:r>
        <w:rPr>
          <w:rFonts w:cstheme="minorHAnsi"/>
          <w:b/>
          <w:color w:val="000000"/>
          <w:sz w:val="28"/>
          <w:szCs w:val="24"/>
        </w:rPr>
        <w:t xml:space="preserve">NOTE: </w:t>
      </w:r>
      <w:r>
        <w:rPr>
          <w:rFonts w:cstheme="minorHAnsi"/>
          <w:color w:val="000000"/>
          <w:sz w:val="28"/>
          <w:szCs w:val="24"/>
        </w:rPr>
        <w:t>Poor duplicates can be the result of reagent or sample omission, uneven addition of reagents, uneven temperature during incubations</w:t>
      </w:r>
      <w:r w:rsidR="002F7053">
        <w:rPr>
          <w:rFonts w:cstheme="minorHAnsi"/>
          <w:color w:val="000000"/>
          <w:sz w:val="28"/>
          <w:szCs w:val="24"/>
        </w:rPr>
        <w:t xml:space="preserve">, stray light during the final incubation or cross-well contamination. Failure to test in duplicate may lead to acceptance of erroneous results. </w:t>
      </w:r>
    </w:p>
    <w:p w:rsidR="004E7570" w:rsidRDefault="004E7570" w:rsidP="007A6DC4">
      <w:pPr>
        <w:autoSpaceDE w:val="0"/>
        <w:autoSpaceDN w:val="0"/>
        <w:adjustRightInd w:val="0"/>
        <w:spacing w:after="40" w:line="111" w:lineRule="atLeast"/>
        <w:rPr>
          <w:rFonts w:cstheme="minorHAnsi"/>
          <w:color w:val="000000"/>
          <w:sz w:val="24"/>
          <w:szCs w:val="24"/>
        </w:rPr>
      </w:pPr>
    </w:p>
    <w:p w:rsidR="00C07523" w:rsidRDefault="00C07523" w:rsidP="007A6DC4">
      <w:pPr>
        <w:autoSpaceDE w:val="0"/>
        <w:autoSpaceDN w:val="0"/>
        <w:adjustRightInd w:val="0"/>
        <w:spacing w:after="40" w:line="111" w:lineRule="atLeast"/>
        <w:rPr>
          <w:rFonts w:cstheme="minorHAnsi"/>
          <w:color w:val="000000"/>
          <w:sz w:val="24"/>
          <w:szCs w:val="24"/>
        </w:rPr>
      </w:pPr>
    </w:p>
    <w:p w:rsidR="00C07523" w:rsidRDefault="00C07523" w:rsidP="007A6DC4">
      <w:pPr>
        <w:autoSpaceDE w:val="0"/>
        <w:autoSpaceDN w:val="0"/>
        <w:adjustRightInd w:val="0"/>
        <w:spacing w:after="40" w:line="111" w:lineRule="atLeast"/>
        <w:rPr>
          <w:rFonts w:cstheme="minorHAnsi"/>
          <w:color w:val="000000"/>
          <w:sz w:val="24"/>
          <w:szCs w:val="24"/>
        </w:rPr>
      </w:pPr>
    </w:p>
    <w:p w:rsidR="009C5BFD" w:rsidRPr="00C96F8C" w:rsidRDefault="009C5BFD">
      <w:pPr>
        <w:rPr>
          <w:b/>
          <w:sz w:val="28"/>
          <w:szCs w:val="28"/>
        </w:rPr>
      </w:pPr>
      <w:r w:rsidRPr="00C96F8C">
        <w:rPr>
          <w:b/>
          <w:sz w:val="28"/>
          <w:szCs w:val="28"/>
        </w:rPr>
        <w:t>Reporting Results:</w:t>
      </w:r>
    </w:p>
    <w:p w:rsidR="00C721FE" w:rsidRDefault="00945E6D" w:rsidP="00C721FE">
      <w:pPr>
        <w:rPr>
          <w:sz w:val="28"/>
          <w:szCs w:val="28"/>
        </w:rPr>
      </w:pPr>
      <w:r w:rsidRPr="00945E6D">
        <w:rPr>
          <w:sz w:val="28"/>
          <w:szCs w:val="24"/>
        </w:rPr>
        <w:t>Report all results through the Laboratory Information System.  Refer to the LIS Procedure</w:t>
      </w:r>
      <w:r w:rsidR="00A70C0E">
        <w:rPr>
          <w:sz w:val="28"/>
          <w:szCs w:val="24"/>
        </w:rPr>
        <w:t xml:space="preserve"> </w:t>
      </w:r>
      <w:r w:rsidR="00A70C0E" w:rsidRPr="00A70C0E">
        <w:rPr>
          <w:sz w:val="28"/>
          <w:szCs w:val="24"/>
        </w:rPr>
        <w:t>4840-LIS-222</w:t>
      </w:r>
      <w:r w:rsidR="00A70C0E">
        <w:rPr>
          <w:sz w:val="28"/>
          <w:szCs w:val="24"/>
        </w:rPr>
        <w:t xml:space="preserve"> </w:t>
      </w:r>
      <w:r w:rsidRPr="00945E6D">
        <w:rPr>
          <w:sz w:val="28"/>
          <w:szCs w:val="24"/>
        </w:rPr>
        <w:t>for complete instructions on result entry.</w:t>
      </w:r>
      <w:r w:rsidR="002F3BCB">
        <w:rPr>
          <w:sz w:val="28"/>
          <w:szCs w:val="24"/>
        </w:rPr>
        <w:t xml:space="preserve">  Test code in Soft is </w:t>
      </w:r>
      <w:r w:rsidR="002F3BCB" w:rsidRPr="002F3BCB">
        <w:rPr>
          <w:b/>
          <w:sz w:val="28"/>
          <w:szCs w:val="24"/>
        </w:rPr>
        <w:t>HIT</w:t>
      </w:r>
      <w:r w:rsidR="002F3BCB">
        <w:rPr>
          <w:sz w:val="28"/>
          <w:szCs w:val="24"/>
        </w:rPr>
        <w:t xml:space="preserve"> (Heparin-Induced Platelet IgG Screen).</w:t>
      </w:r>
      <w:r w:rsidR="00C96F8C">
        <w:rPr>
          <w:sz w:val="28"/>
          <w:szCs w:val="24"/>
        </w:rPr>
        <w:t xml:space="preserve">  Go to Resulting Worklist.</w:t>
      </w:r>
      <w:r w:rsidR="00A70C0E">
        <w:rPr>
          <w:sz w:val="28"/>
          <w:szCs w:val="24"/>
        </w:rPr>
        <w:t xml:space="preserve"> </w:t>
      </w:r>
      <w:r w:rsidR="00C721FE">
        <w:rPr>
          <w:sz w:val="28"/>
          <w:szCs w:val="24"/>
        </w:rPr>
        <w:t xml:space="preserve"> Result under the YIMMU worklist.</w:t>
      </w:r>
      <w:r w:rsidR="00C96F8C">
        <w:rPr>
          <w:sz w:val="28"/>
          <w:szCs w:val="24"/>
        </w:rPr>
        <w:t xml:space="preserve">  Enter the Optical Density (OD)</w:t>
      </w:r>
      <w:r w:rsidR="00166946">
        <w:rPr>
          <w:sz w:val="28"/>
          <w:szCs w:val="24"/>
        </w:rPr>
        <w:t xml:space="preserve"> MEAN from the </w:t>
      </w:r>
      <w:r w:rsidR="00166946">
        <w:rPr>
          <w:sz w:val="28"/>
          <w:szCs w:val="24"/>
        </w:rPr>
        <w:lastRenderedPageBreak/>
        <w:t xml:space="preserve">printout in the HIT2 entry field.  HIT1 </w:t>
      </w:r>
      <w:r w:rsidR="00573F41">
        <w:rPr>
          <w:sz w:val="28"/>
          <w:szCs w:val="24"/>
        </w:rPr>
        <w:t>I</w:t>
      </w:r>
      <w:r w:rsidR="00166946">
        <w:rPr>
          <w:sz w:val="28"/>
          <w:szCs w:val="24"/>
        </w:rPr>
        <w:t>nterpretation has a keypad to select Positive or Negative</w:t>
      </w:r>
      <w:r w:rsidR="00C07523">
        <w:rPr>
          <w:sz w:val="28"/>
          <w:szCs w:val="24"/>
        </w:rPr>
        <w:t>.</w:t>
      </w:r>
      <w:r w:rsidR="00166946">
        <w:rPr>
          <w:sz w:val="28"/>
          <w:szCs w:val="24"/>
        </w:rPr>
        <w:t xml:space="preserve">  </w:t>
      </w:r>
      <w:r w:rsidR="00C721FE">
        <w:rPr>
          <w:sz w:val="28"/>
          <w:szCs w:val="28"/>
        </w:rPr>
        <w:t xml:space="preserve"> </w:t>
      </w:r>
    </w:p>
    <w:p w:rsidR="00C96F8C" w:rsidRDefault="00C96F8C" w:rsidP="00C721FE">
      <w:pPr>
        <w:rPr>
          <w:sz w:val="28"/>
          <w:szCs w:val="28"/>
        </w:rPr>
      </w:pPr>
      <w:r>
        <w:rPr>
          <w:noProof/>
        </w:rPr>
        <w:drawing>
          <wp:inline distT="0" distB="0" distL="0" distR="0" wp14:anchorId="23F85C5C" wp14:editId="515E9DD6">
            <wp:extent cx="5562600" cy="347662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81831" cy="3488646"/>
                    </a:xfrm>
                    <a:prstGeom prst="rect">
                      <a:avLst/>
                    </a:prstGeom>
                  </pic:spPr>
                </pic:pic>
              </a:graphicData>
            </a:graphic>
          </wp:inline>
        </w:drawing>
      </w:r>
    </w:p>
    <w:p w:rsidR="002F7053" w:rsidRDefault="002F7053" w:rsidP="00C721FE">
      <w:pPr>
        <w:rPr>
          <w:sz w:val="28"/>
          <w:szCs w:val="28"/>
        </w:rPr>
      </w:pPr>
      <w:r>
        <w:rPr>
          <w:sz w:val="28"/>
          <w:szCs w:val="28"/>
        </w:rPr>
        <w:t xml:space="preserve">Test results showing OD values equal to or greater than </w:t>
      </w:r>
      <w:r w:rsidRPr="00C07523">
        <w:rPr>
          <w:b/>
          <w:sz w:val="28"/>
          <w:szCs w:val="28"/>
        </w:rPr>
        <w:t>0.400</w:t>
      </w:r>
      <w:r>
        <w:rPr>
          <w:sz w:val="28"/>
          <w:szCs w:val="28"/>
        </w:rPr>
        <w:t xml:space="preserve"> are regarded as </w:t>
      </w:r>
      <w:r w:rsidRPr="00C07523">
        <w:rPr>
          <w:b/>
          <w:sz w:val="28"/>
          <w:szCs w:val="28"/>
        </w:rPr>
        <w:t>positive</w:t>
      </w:r>
      <w:r>
        <w:rPr>
          <w:sz w:val="28"/>
          <w:szCs w:val="28"/>
        </w:rPr>
        <w:t xml:space="preserve"> results.</w:t>
      </w:r>
      <w:r w:rsidR="00C07523">
        <w:rPr>
          <w:sz w:val="28"/>
          <w:szCs w:val="28"/>
        </w:rPr>
        <w:t xml:space="preserve">  </w:t>
      </w:r>
      <w:r>
        <w:rPr>
          <w:sz w:val="28"/>
          <w:szCs w:val="28"/>
        </w:rPr>
        <w:t xml:space="preserve"> </w:t>
      </w:r>
    </w:p>
    <w:p w:rsidR="00C721FE" w:rsidRPr="00C721FE" w:rsidRDefault="00C721FE">
      <w:pPr>
        <w:rPr>
          <w:b/>
          <w:sz w:val="28"/>
          <w:szCs w:val="28"/>
        </w:rPr>
      </w:pPr>
      <w:r>
        <w:rPr>
          <w:sz w:val="28"/>
          <w:szCs w:val="28"/>
        </w:rPr>
        <w:t xml:space="preserve">The printout from the </w:t>
      </w:r>
      <w:proofErr w:type="spellStart"/>
      <w:r>
        <w:rPr>
          <w:sz w:val="28"/>
          <w:szCs w:val="28"/>
        </w:rPr>
        <w:t>BioTek</w:t>
      </w:r>
      <w:proofErr w:type="spellEnd"/>
      <w:r>
        <w:rPr>
          <w:sz w:val="28"/>
          <w:szCs w:val="28"/>
        </w:rPr>
        <w:t xml:space="preserve"> plate reader will show you if the result is positive or negative. This is located under the RESULT column on the printout. The CV% needs to be less than 20% in order for the result to be valid. The CV% is listed under the RAW DATA in the far-right column of the result page. </w:t>
      </w:r>
    </w:p>
    <w:p w:rsidR="009C5BFD" w:rsidRDefault="009C5BFD">
      <w:pPr>
        <w:rPr>
          <w:b/>
          <w:sz w:val="28"/>
          <w:szCs w:val="28"/>
        </w:rPr>
      </w:pPr>
      <w:r w:rsidRPr="00C721FE">
        <w:rPr>
          <w:b/>
          <w:sz w:val="28"/>
          <w:szCs w:val="28"/>
        </w:rPr>
        <w:t>Calculations:</w:t>
      </w:r>
    </w:p>
    <w:p w:rsidR="00C721FE" w:rsidRPr="00C721FE" w:rsidRDefault="00940765">
      <w:pPr>
        <w:rPr>
          <w:sz w:val="28"/>
          <w:szCs w:val="28"/>
        </w:rPr>
      </w:pPr>
      <w:r>
        <w:rPr>
          <w:sz w:val="28"/>
          <w:szCs w:val="28"/>
        </w:rPr>
        <w:t>Calculations are performed by the GEN 5 software</w:t>
      </w:r>
    </w:p>
    <w:p w:rsidR="009C5BFD" w:rsidRPr="00CF7F96" w:rsidRDefault="009C5BFD">
      <w:pPr>
        <w:rPr>
          <w:b/>
          <w:sz w:val="28"/>
          <w:szCs w:val="24"/>
        </w:rPr>
      </w:pPr>
      <w:r w:rsidRPr="00CF7F96">
        <w:rPr>
          <w:b/>
          <w:sz w:val="28"/>
          <w:szCs w:val="24"/>
        </w:rPr>
        <w:t xml:space="preserve">Reference </w:t>
      </w:r>
      <w:r w:rsidR="004855B9" w:rsidRPr="00CF7F96">
        <w:rPr>
          <w:b/>
          <w:sz w:val="28"/>
          <w:szCs w:val="24"/>
        </w:rPr>
        <w:t>R</w:t>
      </w:r>
      <w:r w:rsidRPr="00CF7F96">
        <w:rPr>
          <w:b/>
          <w:sz w:val="28"/>
          <w:szCs w:val="24"/>
        </w:rPr>
        <w:t>anges:</w:t>
      </w:r>
    </w:p>
    <w:p w:rsidR="00BF4C04" w:rsidRPr="00BF4C04" w:rsidRDefault="00BF4C04">
      <w:pPr>
        <w:rPr>
          <w:rFonts w:cstheme="minorHAnsi"/>
          <w:sz w:val="28"/>
          <w:szCs w:val="20"/>
          <w:lang w:val="en"/>
        </w:rPr>
      </w:pPr>
      <w:r w:rsidRPr="00BF4C04">
        <w:rPr>
          <w:rFonts w:cstheme="minorHAnsi"/>
          <w:sz w:val="28"/>
          <w:szCs w:val="20"/>
          <w:lang w:val="en"/>
        </w:rPr>
        <w:t>Negative &lt; 0.400</w:t>
      </w:r>
    </w:p>
    <w:p w:rsidR="002F7053" w:rsidRDefault="00BF4C04">
      <w:pPr>
        <w:rPr>
          <w:rFonts w:cstheme="minorHAnsi"/>
          <w:sz w:val="28"/>
          <w:szCs w:val="20"/>
          <w:lang w:val="en"/>
        </w:rPr>
      </w:pPr>
      <w:r w:rsidRPr="00BF4C04">
        <w:rPr>
          <w:rFonts w:cstheme="minorHAnsi"/>
          <w:sz w:val="28"/>
          <w:szCs w:val="20"/>
          <w:lang w:val="en"/>
        </w:rPr>
        <w:t xml:space="preserve">Positive &gt;/= 0.400 </w:t>
      </w:r>
    </w:p>
    <w:p w:rsidR="00CF7F96" w:rsidRPr="004D6C11" w:rsidRDefault="00CF7F96">
      <w:pPr>
        <w:rPr>
          <w:rFonts w:cstheme="minorHAnsi"/>
          <w:sz w:val="36"/>
          <w:szCs w:val="20"/>
          <w:lang w:val="en"/>
        </w:rPr>
      </w:pPr>
      <w:r w:rsidRPr="004D6C11">
        <w:rPr>
          <w:rFonts w:cstheme="minorHAnsi"/>
          <w:sz w:val="24"/>
          <w:szCs w:val="20"/>
          <w:lang w:val="en"/>
        </w:rPr>
        <w:lastRenderedPageBreak/>
        <w:t>This assay is intended to detect IgG antibodies associated with clinically significant Type II HIT.  It will not detect the IgA or IgM antibodies.  Heparin inhibition confirmation not performed.  </w:t>
      </w:r>
    </w:p>
    <w:p w:rsidR="002F7053" w:rsidRDefault="002F7053">
      <w:pPr>
        <w:rPr>
          <w:b/>
          <w:sz w:val="28"/>
          <w:szCs w:val="24"/>
          <w:highlight w:val="yellow"/>
        </w:rPr>
      </w:pPr>
    </w:p>
    <w:p w:rsidR="00940765" w:rsidRDefault="004855B9">
      <w:pPr>
        <w:rPr>
          <w:b/>
          <w:sz w:val="28"/>
          <w:szCs w:val="24"/>
        </w:rPr>
      </w:pPr>
      <w:r>
        <w:rPr>
          <w:b/>
          <w:sz w:val="28"/>
          <w:szCs w:val="24"/>
        </w:rPr>
        <w:t>Limitations:</w:t>
      </w:r>
    </w:p>
    <w:p w:rsidR="004855B9" w:rsidRDefault="004855B9">
      <w:pPr>
        <w:rPr>
          <w:b/>
          <w:sz w:val="28"/>
          <w:szCs w:val="24"/>
        </w:rPr>
      </w:pPr>
      <w:r>
        <w:rPr>
          <w:noProof/>
        </w:rPr>
        <w:drawing>
          <wp:inline distT="0" distB="0" distL="0" distR="0" wp14:anchorId="7A4CA17E" wp14:editId="2BD49761">
            <wp:extent cx="6303225" cy="4291584"/>
            <wp:effectExtent l="0" t="0" r="254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70427" cy="4337339"/>
                    </a:xfrm>
                    <a:prstGeom prst="rect">
                      <a:avLst/>
                    </a:prstGeom>
                  </pic:spPr>
                </pic:pic>
              </a:graphicData>
            </a:graphic>
          </wp:inline>
        </w:drawing>
      </w:r>
    </w:p>
    <w:p w:rsidR="00801F3F" w:rsidRDefault="00801F3F">
      <w:pPr>
        <w:rPr>
          <w:b/>
          <w:sz w:val="28"/>
          <w:szCs w:val="24"/>
        </w:rPr>
      </w:pPr>
      <w:r w:rsidRPr="004855B9">
        <w:rPr>
          <w:b/>
          <w:sz w:val="28"/>
          <w:szCs w:val="24"/>
        </w:rPr>
        <w:lastRenderedPageBreak/>
        <w:t>Notes:</w:t>
      </w:r>
      <w:r w:rsidR="002F7053" w:rsidRPr="002F7053">
        <w:rPr>
          <w:noProof/>
        </w:rPr>
        <w:t xml:space="preserve"> </w:t>
      </w:r>
      <w:r w:rsidR="002F7053">
        <w:rPr>
          <w:noProof/>
        </w:rPr>
        <w:drawing>
          <wp:inline distT="0" distB="0" distL="0" distR="0" wp14:anchorId="52B79C12" wp14:editId="68EB51A0">
            <wp:extent cx="6300729" cy="4157472"/>
            <wp:effectExtent l="0" t="0" r="508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07638" cy="4162031"/>
                    </a:xfrm>
                    <a:prstGeom prst="rect">
                      <a:avLst/>
                    </a:prstGeom>
                  </pic:spPr>
                </pic:pic>
              </a:graphicData>
            </a:graphic>
          </wp:inline>
        </w:drawing>
      </w:r>
    </w:p>
    <w:p w:rsidR="009C5BFD" w:rsidRDefault="009C5BFD">
      <w:pPr>
        <w:rPr>
          <w:b/>
          <w:sz w:val="28"/>
          <w:szCs w:val="24"/>
        </w:rPr>
      </w:pPr>
      <w:r w:rsidRPr="004855B9">
        <w:rPr>
          <w:b/>
          <w:sz w:val="28"/>
          <w:szCs w:val="24"/>
        </w:rPr>
        <w:t>References:</w:t>
      </w:r>
    </w:p>
    <w:p w:rsidR="004855B9" w:rsidRPr="004855B9" w:rsidRDefault="004855B9">
      <w:pPr>
        <w:rPr>
          <w:b/>
          <w:sz w:val="28"/>
          <w:szCs w:val="24"/>
        </w:rPr>
      </w:pPr>
      <w:r>
        <w:rPr>
          <w:noProof/>
        </w:rPr>
        <w:drawing>
          <wp:inline distT="0" distB="0" distL="0" distR="0" wp14:anchorId="68006CAD" wp14:editId="505A0142">
            <wp:extent cx="6421120" cy="2133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55887" cy="2145152"/>
                    </a:xfrm>
                    <a:prstGeom prst="rect">
                      <a:avLst/>
                    </a:prstGeom>
                  </pic:spPr>
                </pic:pic>
              </a:graphicData>
            </a:graphic>
          </wp:inline>
        </w:drawing>
      </w:r>
    </w:p>
    <w:p w:rsidR="009C5BFD" w:rsidRDefault="009C5BFD">
      <w:pPr>
        <w:rPr>
          <w:b/>
          <w:sz w:val="24"/>
          <w:szCs w:val="24"/>
        </w:rPr>
      </w:pPr>
    </w:p>
    <w:p w:rsidR="004855B9" w:rsidRDefault="004855B9">
      <w:pPr>
        <w:rPr>
          <w:b/>
          <w:sz w:val="24"/>
          <w:szCs w:val="24"/>
        </w:rPr>
      </w:pPr>
      <w:r>
        <w:rPr>
          <w:noProof/>
        </w:rPr>
        <w:lastRenderedPageBreak/>
        <w:drawing>
          <wp:inline distT="0" distB="0" distL="0" distR="0" wp14:anchorId="04686474" wp14:editId="7F690965">
            <wp:extent cx="6315075" cy="3218688"/>
            <wp:effectExtent l="0" t="0" r="0"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16072" cy="3219196"/>
                    </a:xfrm>
                    <a:prstGeom prst="rect">
                      <a:avLst/>
                    </a:prstGeom>
                  </pic:spPr>
                </pic:pic>
              </a:graphicData>
            </a:graphic>
          </wp:inline>
        </w:drawing>
      </w:r>
    </w:p>
    <w:p w:rsidR="002F7053" w:rsidRDefault="002F7053">
      <w:pPr>
        <w:rPr>
          <w:szCs w:val="24"/>
        </w:rPr>
      </w:pPr>
      <w:r w:rsidRPr="002F7053">
        <w:rPr>
          <w:szCs w:val="24"/>
        </w:rPr>
        <w:t xml:space="preserve">   </w:t>
      </w:r>
      <w:r w:rsidR="005D2336" w:rsidRPr="002F7053">
        <w:rPr>
          <w:szCs w:val="24"/>
        </w:rPr>
        <w:t>18. 800 TS Microplate reader Operators Manual</w:t>
      </w:r>
    </w:p>
    <w:p w:rsidR="004855B9" w:rsidRDefault="00C10B39">
      <w:pPr>
        <w:rPr>
          <w:b/>
          <w:sz w:val="24"/>
          <w:szCs w:val="24"/>
        </w:rPr>
      </w:pPr>
      <w:r>
        <w:rPr>
          <w:noProof/>
        </w:rPr>
        <w:drawing>
          <wp:inline distT="0" distB="0" distL="0" distR="0" wp14:anchorId="3650D466" wp14:editId="38D3723A">
            <wp:extent cx="5899739" cy="4047744"/>
            <wp:effectExtent l="0" t="0" r="635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038664" cy="4143059"/>
                    </a:xfrm>
                    <a:prstGeom prst="rect">
                      <a:avLst/>
                    </a:prstGeom>
                  </pic:spPr>
                </pic:pic>
              </a:graphicData>
            </a:graphic>
          </wp:inline>
        </w:drawing>
      </w:r>
    </w:p>
    <w:sectPr w:rsidR="004855B9" w:rsidSect="009505CC">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FF3" w:rsidRDefault="00D14FF3" w:rsidP="00DF7FF5">
      <w:pPr>
        <w:spacing w:after="0" w:line="240" w:lineRule="auto"/>
      </w:pPr>
      <w:r>
        <w:separator/>
      </w:r>
    </w:p>
  </w:endnote>
  <w:endnote w:type="continuationSeparator" w:id="0">
    <w:p w:rsidR="00D14FF3" w:rsidRDefault="00D14FF3" w:rsidP="00DF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FF3" w:rsidRDefault="00D14FF3" w:rsidP="00DF7FF5">
      <w:pPr>
        <w:spacing w:after="0" w:line="240" w:lineRule="auto"/>
      </w:pPr>
      <w:r>
        <w:separator/>
      </w:r>
    </w:p>
  </w:footnote>
  <w:footnote w:type="continuationSeparator" w:id="0">
    <w:p w:rsidR="00D14FF3" w:rsidRDefault="00D14FF3" w:rsidP="00DF7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F3" w:rsidRDefault="00D14FF3">
    <w:pPr>
      <w:pStyle w:val="Header"/>
    </w:pPr>
    <w:r>
      <w:rPr>
        <w:noProof/>
      </w:rPr>
      <w:drawing>
        <wp:inline distT="0" distB="0" distL="0" distR="0">
          <wp:extent cx="2095500" cy="571500"/>
          <wp:effectExtent l="19050" t="0" r="0" b="0"/>
          <wp:docPr id="1"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 xml:space="preserve">                                                                                  </w:t>
    </w:r>
    <w:r w:rsidR="004456E6">
      <w:t>Proc.#7180-IM-119</w:t>
    </w:r>
  </w:p>
  <w:p w:rsidR="00D14FF3" w:rsidRDefault="00D14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A4C23"/>
    <w:multiLevelType w:val="hybridMultilevel"/>
    <w:tmpl w:val="054451AC"/>
    <w:lvl w:ilvl="0" w:tplc="2F4273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1550E7"/>
    <w:multiLevelType w:val="hybridMultilevel"/>
    <w:tmpl w:val="FBB631E6"/>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2E0F4399"/>
    <w:multiLevelType w:val="hybridMultilevel"/>
    <w:tmpl w:val="05D04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35105"/>
    <w:multiLevelType w:val="hybridMultilevel"/>
    <w:tmpl w:val="4294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F14BE"/>
    <w:multiLevelType w:val="hybridMultilevel"/>
    <w:tmpl w:val="BF8CF1F6"/>
    <w:lvl w:ilvl="0" w:tplc="D87EF026">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CEE7CC1"/>
    <w:multiLevelType w:val="hybridMultilevel"/>
    <w:tmpl w:val="2E5832A2"/>
    <w:lvl w:ilvl="0" w:tplc="1D2ED3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F5"/>
    <w:rsid w:val="000D5E36"/>
    <w:rsid w:val="001557BA"/>
    <w:rsid w:val="00166946"/>
    <w:rsid w:val="001C147F"/>
    <w:rsid w:val="002804FC"/>
    <w:rsid w:val="00291498"/>
    <w:rsid w:val="002B411A"/>
    <w:rsid w:val="002F3BCB"/>
    <w:rsid w:val="002F7053"/>
    <w:rsid w:val="003336D4"/>
    <w:rsid w:val="003B09D8"/>
    <w:rsid w:val="003C6C0C"/>
    <w:rsid w:val="00413DEE"/>
    <w:rsid w:val="004456E6"/>
    <w:rsid w:val="004855B9"/>
    <w:rsid w:val="004D6C11"/>
    <w:rsid w:val="004E7570"/>
    <w:rsid w:val="004F064D"/>
    <w:rsid w:val="004F3B86"/>
    <w:rsid w:val="00573F41"/>
    <w:rsid w:val="005D2336"/>
    <w:rsid w:val="0060080E"/>
    <w:rsid w:val="00607581"/>
    <w:rsid w:val="00632AB7"/>
    <w:rsid w:val="00650590"/>
    <w:rsid w:val="006E36A6"/>
    <w:rsid w:val="006E3D0E"/>
    <w:rsid w:val="007574E4"/>
    <w:rsid w:val="00763DAF"/>
    <w:rsid w:val="007A6DC4"/>
    <w:rsid w:val="007B6C85"/>
    <w:rsid w:val="00801F3F"/>
    <w:rsid w:val="00806544"/>
    <w:rsid w:val="00857E74"/>
    <w:rsid w:val="008D1EC3"/>
    <w:rsid w:val="008F3956"/>
    <w:rsid w:val="008F7E4F"/>
    <w:rsid w:val="00932781"/>
    <w:rsid w:val="00940765"/>
    <w:rsid w:val="00945E6D"/>
    <w:rsid w:val="009505CC"/>
    <w:rsid w:val="00984355"/>
    <w:rsid w:val="009C5BFD"/>
    <w:rsid w:val="00A70C0E"/>
    <w:rsid w:val="00A85DDC"/>
    <w:rsid w:val="00A877CA"/>
    <w:rsid w:val="00B24A7B"/>
    <w:rsid w:val="00BF4C04"/>
    <w:rsid w:val="00C07523"/>
    <w:rsid w:val="00C10B39"/>
    <w:rsid w:val="00C34DD9"/>
    <w:rsid w:val="00C41983"/>
    <w:rsid w:val="00C721FE"/>
    <w:rsid w:val="00C858F7"/>
    <w:rsid w:val="00C921C1"/>
    <w:rsid w:val="00C96F8C"/>
    <w:rsid w:val="00CF7F96"/>
    <w:rsid w:val="00D14FF3"/>
    <w:rsid w:val="00DD3901"/>
    <w:rsid w:val="00DF7FF5"/>
    <w:rsid w:val="00E23BFE"/>
    <w:rsid w:val="00E414A0"/>
    <w:rsid w:val="00E5465B"/>
    <w:rsid w:val="00EA3445"/>
    <w:rsid w:val="00F40F17"/>
    <w:rsid w:val="00FC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9517"/>
  <w15:docId w15:val="{4A5D9364-333E-4D38-93AC-726B4D5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F5"/>
  </w:style>
  <w:style w:type="paragraph" w:styleId="Footer">
    <w:name w:val="footer"/>
    <w:basedOn w:val="Normal"/>
    <w:link w:val="FooterChar"/>
    <w:uiPriority w:val="99"/>
    <w:unhideWhenUsed/>
    <w:rsid w:val="00DF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F5"/>
  </w:style>
  <w:style w:type="paragraph" w:styleId="BalloonText">
    <w:name w:val="Balloon Text"/>
    <w:basedOn w:val="Normal"/>
    <w:link w:val="BalloonTextChar"/>
    <w:uiPriority w:val="99"/>
    <w:semiHidden/>
    <w:unhideWhenUsed/>
    <w:rsid w:val="00DF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F5"/>
    <w:rPr>
      <w:rFonts w:ascii="Tahoma" w:hAnsi="Tahoma" w:cs="Tahoma"/>
      <w:sz w:val="16"/>
      <w:szCs w:val="16"/>
    </w:rPr>
  </w:style>
  <w:style w:type="paragraph" w:styleId="ListParagraph">
    <w:name w:val="List Paragraph"/>
    <w:basedOn w:val="Normal"/>
    <w:uiPriority w:val="34"/>
    <w:qFormat/>
    <w:rsid w:val="00806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DF341-D089-4A5A-B5A6-78760EEA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15</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ref2</dc:creator>
  <cp:lastModifiedBy>Yorkville Lab1</cp:lastModifiedBy>
  <cp:revision>25</cp:revision>
  <cp:lastPrinted>2021-12-30T22:19:00Z</cp:lastPrinted>
  <dcterms:created xsi:type="dcterms:W3CDTF">2021-12-01T20:57:00Z</dcterms:created>
  <dcterms:modified xsi:type="dcterms:W3CDTF">2022-01-10T21:39:00Z</dcterms:modified>
</cp:coreProperties>
</file>