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144" w:rsidRDefault="00BF0639" w:rsidP="004E6E33">
      <w:pPr>
        <w:spacing w:after="0"/>
      </w:pPr>
      <w:bookmarkStart w:id="0" w:name="_GoBack"/>
      <w:bookmarkEnd w:id="0"/>
      <w:r>
        <w:rPr>
          <w:noProof/>
        </w:rPr>
        <w:drawing>
          <wp:inline distT="0" distB="0" distL="0" distR="0" wp14:anchorId="48320A23" wp14:editId="42BBC3D8">
            <wp:extent cx="1581150" cy="476250"/>
            <wp:effectExtent l="0" t="0" r="0" b="0"/>
            <wp:docPr id="19" name="Picture 19"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7"/>
                    <a:srcRect/>
                    <a:stretch>
                      <a:fillRect/>
                    </a:stretch>
                  </pic:blipFill>
                  <pic:spPr bwMode="auto">
                    <a:xfrm>
                      <a:off x="0" y="0"/>
                      <a:ext cx="1581150" cy="476250"/>
                    </a:xfrm>
                    <a:prstGeom prst="rect">
                      <a:avLst/>
                    </a:prstGeom>
                    <a:noFill/>
                    <a:ln w="9525">
                      <a:noFill/>
                      <a:miter lim="800000"/>
                      <a:headEnd/>
                      <a:tailEnd/>
                    </a:ln>
                  </pic:spPr>
                </pic:pic>
              </a:graphicData>
            </a:graphic>
          </wp:inline>
        </w:drawing>
      </w:r>
      <w:r>
        <w:tab/>
      </w:r>
      <w:r>
        <w:tab/>
      </w:r>
      <w:r>
        <w:tab/>
      </w:r>
      <w:r>
        <w:tab/>
      </w:r>
      <w:r>
        <w:tab/>
      </w:r>
      <w:r>
        <w:tab/>
      </w:r>
      <w:r>
        <w:tab/>
        <w:t>4840-CH-</w:t>
      </w:r>
      <w:r w:rsidR="006635AD">
        <w:t>503</w:t>
      </w:r>
    </w:p>
    <w:p w:rsidR="004E6E33" w:rsidRDefault="004E6E33" w:rsidP="004E6E33">
      <w:pPr>
        <w:spacing w:after="0"/>
      </w:pPr>
      <w:r>
        <w:tab/>
      </w:r>
      <w:r>
        <w:tab/>
      </w:r>
      <w:r>
        <w:tab/>
      </w:r>
      <w:r>
        <w:tab/>
      </w:r>
      <w:r>
        <w:tab/>
      </w:r>
      <w:r>
        <w:tab/>
      </w:r>
      <w:r>
        <w:tab/>
      </w:r>
      <w:r>
        <w:tab/>
      </w:r>
      <w:r>
        <w:tab/>
      </w:r>
      <w:r>
        <w:tab/>
        <w:t>Rheumat</w:t>
      </w:r>
      <w:r w:rsidR="00D56E4E">
        <w:t>oi</w:t>
      </w:r>
      <w:r>
        <w:t>d Factor</w:t>
      </w:r>
    </w:p>
    <w:p w:rsidR="004E6E33" w:rsidRDefault="004E6E33" w:rsidP="004E6E33">
      <w:pPr>
        <w:spacing w:after="0"/>
      </w:pPr>
    </w:p>
    <w:p w:rsidR="004E6E33" w:rsidRDefault="004E6E33" w:rsidP="00E579B0">
      <w:pPr>
        <w:spacing w:after="0"/>
        <w:jc w:val="center"/>
        <w:rPr>
          <w:b/>
          <w:sz w:val="28"/>
          <w:szCs w:val="28"/>
        </w:rPr>
      </w:pPr>
      <w:r w:rsidRPr="004E6E33">
        <w:rPr>
          <w:b/>
          <w:sz w:val="28"/>
          <w:szCs w:val="28"/>
        </w:rPr>
        <w:t>RHEUMATOID FACTOR</w:t>
      </w:r>
    </w:p>
    <w:p w:rsidR="004E6E33" w:rsidRDefault="00E579B0" w:rsidP="00E579B0">
      <w:pPr>
        <w:spacing w:after="0"/>
        <w:jc w:val="center"/>
        <w:rPr>
          <w:b/>
          <w:sz w:val="28"/>
          <w:szCs w:val="28"/>
        </w:rPr>
      </w:pPr>
      <w:r>
        <w:rPr>
          <w:b/>
          <w:sz w:val="28"/>
          <w:szCs w:val="28"/>
        </w:rPr>
        <w:t>ABBOTT ARCHITECT</w:t>
      </w:r>
    </w:p>
    <w:p w:rsidR="00211FF5" w:rsidRDefault="00211FF5" w:rsidP="00E579B0">
      <w:pPr>
        <w:spacing w:after="0"/>
        <w:jc w:val="center"/>
        <w:rPr>
          <w:b/>
          <w:sz w:val="28"/>
          <w:szCs w:val="28"/>
        </w:rPr>
      </w:pPr>
    </w:p>
    <w:p w:rsidR="00211FF5" w:rsidRPr="00211FF5" w:rsidRDefault="00211FF5" w:rsidP="00211FF5">
      <w:pPr>
        <w:autoSpaceDE w:val="0"/>
        <w:autoSpaceDN w:val="0"/>
        <w:adjustRightInd w:val="0"/>
        <w:rPr>
          <w:rFonts w:eastAsia="HelenPro-Regular"/>
          <w:b/>
          <w:sz w:val="28"/>
          <w:szCs w:val="28"/>
        </w:rPr>
      </w:pPr>
      <w:r w:rsidRPr="00211FF5">
        <w:rPr>
          <w:rFonts w:eastAsia="HelenPro-Regular"/>
          <w:b/>
          <w:sz w:val="28"/>
          <w:szCs w:val="28"/>
        </w:rPr>
        <w:t>Principle</w:t>
      </w:r>
    </w:p>
    <w:p w:rsidR="00211FF5" w:rsidRDefault="006D342B" w:rsidP="00211FF5">
      <w:pPr>
        <w:autoSpaceDE w:val="0"/>
        <w:autoSpaceDN w:val="0"/>
        <w:adjustRightInd w:val="0"/>
        <w:rPr>
          <w:rFonts w:eastAsia="HelenPro-Regular"/>
        </w:rPr>
      </w:pPr>
      <w:r>
        <w:rPr>
          <w:rFonts w:eastAsia="HelenPro-Regular"/>
        </w:rPr>
        <w:t>R</w:t>
      </w:r>
      <w:r w:rsidR="00211FF5">
        <w:rPr>
          <w:rFonts w:eastAsia="HelenPro-Regular"/>
        </w:rPr>
        <w:t>heumatoid Factor is an in vitro diagnostic assay for the quantitative determination of rheumatoid factor in human serum. The Rheumatoid Factor assay is a latex enhanced immunoturbidimetric assay that involves an antigen-antibody reaction between rheumatoid factor in the sample and denatured human IgG, which has been adsorbed to latex particles. The resulting agglutination is detected as an absorbance change (572 nm), with the magnitude of the change being proportional to the quantity of rheumatoid factor in the sample. The actual concentration is then determined by interpolation from a calibration curve prepared from calibrators of known concentration.</w:t>
      </w:r>
    </w:p>
    <w:p w:rsidR="00211FF5" w:rsidRDefault="00211FF5" w:rsidP="00211FF5">
      <w:pPr>
        <w:autoSpaceDE w:val="0"/>
        <w:autoSpaceDN w:val="0"/>
        <w:adjustRightInd w:val="0"/>
        <w:rPr>
          <w:rFonts w:eastAsia="HelenPro-Regular"/>
        </w:rPr>
      </w:pPr>
      <w:r>
        <w:rPr>
          <w:rFonts w:eastAsia="HelenPro-Bold"/>
          <w:b/>
          <w:bCs/>
        </w:rPr>
        <w:t xml:space="preserve">Methodology: </w:t>
      </w:r>
      <w:r>
        <w:rPr>
          <w:rFonts w:eastAsia="HelenPro-Regular"/>
        </w:rPr>
        <w:t>Immunoturbidimetric.</w:t>
      </w:r>
    </w:p>
    <w:p w:rsidR="006D342B" w:rsidRDefault="006D342B" w:rsidP="006D342B">
      <w:pPr>
        <w:jc w:val="both"/>
        <w:rPr>
          <w:sz w:val="28"/>
          <w:szCs w:val="28"/>
        </w:rPr>
      </w:pPr>
      <w:r>
        <w:rPr>
          <w:b/>
          <w:sz w:val="28"/>
          <w:szCs w:val="28"/>
        </w:rPr>
        <w:t>Clinical Significance</w:t>
      </w:r>
      <w:r>
        <w:rPr>
          <w:sz w:val="28"/>
          <w:szCs w:val="28"/>
        </w:rPr>
        <w:t xml:space="preserve"> </w:t>
      </w:r>
    </w:p>
    <w:p w:rsidR="006D342B" w:rsidRDefault="006D342B" w:rsidP="006D342B">
      <w:pPr>
        <w:autoSpaceDE w:val="0"/>
        <w:autoSpaceDN w:val="0"/>
        <w:adjustRightInd w:val="0"/>
        <w:rPr>
          <w:rFonts w:eastAsia="HelenPro-Regular"/>
          <w:sz w:val="24"/>
          <w:szCs w:val="24"/>
        </w:rPr>
      </w:pPr>
      <w:r>
        <w:rPr>
          <w:rFonts w:eastAsia="HelenPro-Regular"/>
        </w:rPr>
        <w:t>Rheumatoid factor (RF) is an autoantibody against human immunoglobin G (IgG) commonly present at a high concentration in sera of patients with certain conditions, particularly in patients with rheumatoid arthritis.</w:t>
      </w:r>
    </w:p>
    <w:p w:rsidR="006D342B" w:rsidRDefault="006D342B" w:rsidP="006D342B">
      <w:pPr>
        <w:autoSpaceDE w:val="0"/>
        <w:autoSpaceDN w:val="0"/>
        <w:adjustRightInd w:val="0"/>
        <w:rPr>
          <w:rFonts w:eastAsia="HelenPro-Regular"/>
        </w:rPr>
      </w:pPr>
      <w:r>
        <w:rPr>
          <w:rFonts w:eastAsia="HelenPro-Regular"/>
        </w:rPr>
        <w:t>The measurement of rheumatoid factor is useful in evaluating the diagnosis, effects of therapy, and prognosis of diseases such as rheumatoid arthritis, systemic lupus erythematosus, Sjogren’s syndrome, cryoglobulinemia, and chronic hepatopathy. This assay is designed to accurately and reproducibly measure serum rheumatoid factor using latex agglutination</w:t>
      </w:r>
      <w:r>
        <w:rPr>
          <w:rFonts w:ascii="HelenPro-Regular" w:eastAsia="HelenPro-Regular" w:cs="HelenPro-Regular" w:hint="eastAsia"/>
          <w:sz w:val="16"/>
          <w:szCs w:val="16"/>
        </w:rPr>
        <w:t>.</w:t>
      </w:r>
    </w:p>
    <w:p w:rsidR="00211FF5" w:rsidRDefault="00211FF5" w:rsidP="00211FF5">
      <w:pPr>
        <w:rPr>
          <w:rFonts w:eastAsia="Times New Roman"/>
          <w:b/>
          <w:sz w:val="28"/>
          <w:szCs w:val="28"/>
        </w:rPr>
      </w:pPr>
      <w:r>
        <w:rPr>
          <w:b/>
          <w:sz w:val="28"/>
          <w:szCs w:val="28"/>
        </w:rPr>
        <w:t xml:space="preserve">Specimen Collection and Handling </w:t>
      </w:r>
    </w:p>
    <w:p w:rsidR="00211FF5" w:rsidRPr="00410663" w:rsidRDefault="00211FF5" w:rsidP="00211FF5">
      <w:pPr>
        <w:autoSpaceDE w:val="0"/>
        <w:autoSpaceDN w:val="0"/>
        <w:adjustRightInd w:val="0"/>
        <w:rPr>
          <w:rFonts w:eastAsia="HelenPro-Regular"/>
          <w:b/>
        </w:rPr>
      </w:pPr>
      <w:r w:rsidRPr="00410663">
        <w:rPr>
          <w:rFonts w:eastAsia="HelenPro-Regular"/>
          <w:b/>
        </w:rPr>
        <w:t xml:space="preserve">Serum is the </w:t>
      </w:r>
      <w:r w:rsidR="006D342B" w:rsidRPr="00410663">
        <w:rPr>
          <w:rFonts w:eastAsia="HelenPro-Regular"/>
          <w:b/>
        </w:rPr>
        <w:t xml:space="preserve">only </w:t>
      </w:r>
      <w:r w:rsidRPr="00410663">
        <w:rPr>
          <w:rFonts w:eastAsia="HelenPro-Regular"/>
          <w:b/>
        </w:rPr>
        <w:t>acceptable specimen. Do not use plasma.</w:t>
      </w:r>
    </w:p>
    <w:p w:rsidR="00211FF5" w:rsidRDefault="00211FF5" w:rsidP="00211FF5">
      <w:pPr>
        <w:autoSpaceDE w:val="0"/>
        <w:autoSpaceDN w:val="0"/>
        <w:adjustRightInd w:val="0"/>
        <w:rPr>
          <w:rFonts w:eastAsia="HelenPro-Regular"/>
        </w:rPr>
      </w:pPr>
      <w:r>
        <w:rPr>
          <w:rFonts w:eastAsia="HelenPro-Bold"/>
          <w:b/>
          <w:bCs/>
        </w:rPr>
        <w:t xml:space="preserve">Serum: </w:t>
      </w:r>
      <w:r>
        <w:rPr>
          <w:rFonts w:eastAsia="HelenPro-Regular"/>
        </w:rPr>
        <w:t>Use serum collected by standard venipuncture techniques into glass or plastic tubes with or without gel barriers. Ensure complete clot formation has taken place prior to centrifugation. Centrifuge according to tube manufacturer’s instructions to ensure proper separation of serum from blood cells.</w:t>
      </w:r>
    </w:p>
    <w:p w:rsidR="00211FF5" w:rsidRDefault="00211FF5" w:rsidP="00211FF5">
      <w:pPr>
        <w:autoSpaceDE w:val="0"/>
        <w:autoSpaceDN w:val="0"/>
        <w:adjustRightInd w:val="0"/>
        <w:rPr>
          <w:rFonts w:eastAsia="HelenPro-Regular"/>
        </w:rPr>
      </w:pPr>
      <w:r>
        <w:rPr>
          <w:rFonts w:eastAsia="HelenPro-Regular"/>
        </w:rPr>
        <w:t>Some specimens, especially those from patients receiving anticoagulant or thrombolytic therapy, may take longer to complete their clotting processes. Fibrin clots may subsequently form in these sera and the</w:t>
      </w:r>
      <w:r w:rsidR="006D342B">
        <w:rPr>
          <w:rFonts w:eastAsia="HelenPro-Regular"/>
        </w:rPr>
        <w:t xml:space="preserve"> </w:t>
      </w:r>
      <w:r>
        <w:rPr>
          <w:rFonts w:eastAsia="HelenPro-Regular"/>
        </w:rPr>
        <w:t xml:space="preserve">clots could cause erroneous test results. </w:t>
      </w:r>
    </w:p>
    <w:p w:rsidR="00211FF5" w:rsidRDefault="00211FF5" w:rsidP="00211FF5">
      <w:pPr>
        <w:autoSpaceDE w:val="0"/>
        <w:autoSpaceDN w:val="0"/>
        <w:adjustRightInd w:val="0"/>
        <w:rPr>
          <w:rFonts w:eastAsia="HelenPro-Regular"/>
          <w:b/>
        </w:rPr>
      </w:pPr>
      <w:r>
        <w:rPr>
          <w:rFonts w:eastAsia="HelenPro-Regular"/>
          <w:b/>
        </w:rPr>
        <w:t>Specimen Storage</w:t>
      </w:r>
    </w:p>
    <w:p w:rsidR="00211FF5" w:rsidRDefault="00211FF5" w:rsidP="00211FF5">
      <w:pPr>
        <w:autoSpaceDE w:val="0"/>
        <w:autoSpaceDN w:val="0"/>
        <w:adjustRightInd w:val="0"/>
        <w:rPr>
          <w:rFonts w:eastAsia="HelenPro-Regular"/>
        </w:rPr>
      </w:pPr>
      <w:r>
        <w:rPr>
          <w:noProof/>
        </w:rPr>
        <w:lastRenderedPageBreak/>
        <w:drawing>
          <wp:inline distT="0" distB="0" distL="0" distR="0">
            <wp:extent cx="2219325" cy="1333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1333500"/>
                    </a:xfrm>
                    <a:prstGeom prst="rect">
                      <a:avLst/>
                    </a:prstGeom>
                    <a:noFill/>
                    <a:ln>
                      <a:noFill/>
                    </a:ln>
                  </pic:spPr>
                </pic:pic>
              </a:graphicData>
            </a:graphic>
          </wp:inline>
        </w:drawing>
      </w:r>
    </w:p>
    <w:p w:rsidR="00211FF5" w:rsidRDefault="00211FF5" w:rsidP="002F08E5">
      <w:pPr>
        <w:autoSpaceDE w:val="0"/>
        <w:autoSpaceDN w:val="0"/>
        <w:adjustRightInd w:val="0"/>
        <w:rPr>
          <w:rFonts w:eastAsia="HelenPro-Regular"/>
        </w:rPr>
      </w:pPr>
      <w:r>
        <w:rPr>
          <w:rFonts w:eastAsia="HelenPro-Bold"/>
          <w:b/>
          <w:bCs/>
        </w:rPr>
        <w:t xml:space="preserve">NOTE: </w:t>
      </w:r>
      <w:r>
        <w:rPr>
          <w:rFonts w:eastAsia="HelenPro-Regular"/>
        </w:rPr>
        <w:t>Stored specimens must be inspected for particulates. If present, mix and centrifuge the specimen to remove particulates prior to testing</w:t>
      </w:r>
      <w:r>
        <w:rPr>
          <w:rFonts w:ascii="HelenPro-Regular" w:eastAsia="HelenPro-Regular" w:cs="HelenPro-Regular" w:hint="eastAsia"/>
          <w:sz w:val="16"/>
          <w:szCs w:val="16"/>
        </w:rPr>
        <w:t>.</w:t>
      </w:r>
    </w:p>
    <w:p w:rsidR="00211FF5" w:rsidRDefault="00211FF5" w:rsidP="00211FF5">
      <w:pPr>
        <w:rPr>
          <w:rFonts w:eastAsia="Times New Roman"/>
          <w:b/>
        </w:rPr>
      </w:pPr>
      <w:r>
        <w:rPr>
          <w:b/>
          <w:sz w:val="28"/>
          <w:szCs w:val="28"/>
        </w:rPr>
        <w:t xml:space="preserve">Materials and Equipment Required </w:t>
      </w:r>
    </w:p>
    <w:p w:rsidR="00211FF5" w:rsidRPr="00071C60" w:rsidRDefault="00071C60" w:rsidP="00071C60">
      <w:pPr>
        <w:pStyle w:val="ListParagraph"/>
        <w:numPr>
          <w:ilvl w:val="1"/>
          <w:numId w:val="5"/>
        </w:numPr>
        <w:rPr>
          <w:sz w:val="28"/>
          <w:szCs w:val="28"/>
        </w:rPr>
      </w:pPr>
      <w:r w:rsidRPr="00071C60">
        <w:rPr>
          <w:b/>
          <w:sz w:val="28"/>
          <w:szCs w:val="28"/>
        </w:rPr>
        <w:t>Abbott Architect Analyzers</w:t>
      </w:r>
    </w:p>
    <w:p w:rsidR="00071C60" w:rsidRPr="00071C60" w:rsidRDefault="00071C60" w:rsidP="00071C60">
      <w:pPr>
        <w:pStyle w:val="ListParagraph"/>
        <w:numPr>
          <w:ilvl w:val="1"/>
          <w:numId w:val="5"/>
        </w:numPr>
        <w:rPr>
          <w:b/>
          <w:sz w:val="28"/>
          <w:szCs w:val="28"/>
        </w:rPr>
      </w:pPr>
      <w:r w:rsidRPr="00071C60">
        <w:rPr>
          <w:b/>
          <w:sz w:val="28"/>
          <w:szCs w:val="28"/>
        </w:rPr>
        <w:t>8G66 Rheumatoid Factor Reagent Kit</w:t>
      </w:r>
    </w:p>
    <w:p w:rsidR="00071C60" w:rsidRPr="00071C60" w:rsidRDefault="00071C60" w:rsidP="00071C60">
      <w:pPr>
        <w:pStyle w:val="ListParagraph"/>
        <w:numPr>
          <w:ilvl w:val="1"/>
          <w:numId w:val="5"/>
        </w:numPr>
        <w:rPr>
          <w:b/>
          <w:sz w:val="28"/>
          <w:szCs w:val="28"/>
        </w:rPr>
      </w:pPr>
      <w:r w:rsidRPr="00071C60">
        <w:rPr>
          <w:b/>
          <w:sz w:val="28"/>
          <w:szCs w:val="28"/>
        </w:rPr>
        <w:t>8G67 Rheumatoid Factor Calibrator</w:t>
      </w:r>
    </w:p>
    <w:p w:rsidR="00071C60" w:rsidRPr="00071C60" w:rsidRDefault="00071C60" w:rsidP="00071C60">
      <w:pPr>
        <w:pStyle w:val="ListParagraph"/>
        <w:numPr>
          <w:ilvl w:val="1"/>
          <w:numId w:val="5"/>
        </w:numPr>
        <w:rPr>
          <w:b/>
          <w:sz w:val="28"/>
          <w:szCs w:val="28"/>
        </w:rPr>
      </w:pPr>
      <w:r w:rsidRPr="00071C60">
        <w:rPr>
          <w:b/>
          <w:sz w:val="28"/>
          <w:szCs w:val="28"/>
        </w:rPr>
        <w:t>BioRad Immunology Control Levels 1 and 3</w:t>
      </w:r>
    </w:p>
    <w:p w:rsidR="00071C60" w:rsidRPr="00071C60" w:rsidRDefault="00071C60" w:rsidP="00071C60">
      <w:pPr>
        <w:pStyle w:val="ListParagraph"/>
        <w:numPr>
          <w:ilvl w:val="1"/>
          <w:numId w:val="5"/>
        </w:numPr>
        <w:rPr>
          <w:b/>
          <w:sz w:val="28"/>
          <w:szCs w:val="28"/>
        </w:rPr>
      </w:pPr>
      <w:r w:rsidRPr="00071C60">
        <w:rPr>
          <w:b/>
          <w:sz w:val="28"/>
          <w:szCs w:val="28"/>
        </w:rPr>
        <w:t>Saline (0.85% to 0.90% NaCL for specimen dilutions</w:t>
      </w:r>
    </w:p>
    <w:p w:rsidR="002F08E5" w:rsidRDefault="002F08E5" w:rsidP="00211FF5">
      <w:pPr>
        <w:rPr>
          <w:b/>
          <w:sz w:val="28"/>
          <w:szCs w:val="28"/>
        </w:rPr>
      </w:pPr>
    </w:p>
    <w:p w:rsidR="00211FF5" w:rsidRDefault="00211FF5" w:rsidP="00211FF5">
      <w:pPr>
        <w:rPr>
          <w:b/>
          <w:sz w:val="28"/>
          <w:szCs w:val="28"/>
        </w:rPr>
      </w:pPr>
      <w:r>
        <w:rPr>
          <w:b/>
          <w:sz w:val="28"/>
          <w:szCs w:val="28"/>
        </w:rPr>
        <w:t xml:space="preserve">Reagent Handling and Storage: </w:t>
      </w:r>
    </w:p>
    <w:p w:rsidR="00211FF5" w:rsidRDefault="00211FF5" w:rsidP="00211FF5">
      <w:pPr>
        <w:pStyle w:val="txt"/>
        <w:numPr>
          <w:ilvl w:val="12"/>
          <w:numId w:val="0"/>
        </w:numPr>
        <w:rPr>
          <w:b/>
          <w:sz w:val="24"/>
          <w:szCs w:val="24"/>
        </w:rPr>
      </w:pPr>
      <w:r>
        <w:rPr>
          <w:b/>
          <w:i/>
          <w:sz w:val="24"/>
          <w:szCs w:val="24"/>
        </w:rPr>
        <w:t>CAUTION</w:t>
      </w:r>
      <w:r>
        <w:rPr>
          <w:b/>
          <w:sz w:val="24"/>
          <w:szCs w:val="24"/>
        </w:rPr>
        <w:t>:</w:t>
      </w:r>
    </w:p>
    <w:p w:rsidR="00211FF5" w:rsidRDefault="00211FF5" w:rsidP="00071C60">
      <w:pPr>
        <w:spacing w:after="0"/>
        <w:rPr>
          <w:rFonts w:eastAsia="HelenPro-Regular"/>
          <w:sz w:val="24"/>
          <w:szCs w:val="24"/>
        </w:rPr>
      </w:pPr>
      <w:r>
        <w:rPr>
          <w:rFonts w:eastAsia="HelenPro-Regular"/>
        </w:rPr>
        <w:t>1. For in vitro diagnostic use.</w:t>
      </w:r>
    </w:p>
    <w:p w:rsidR="00211FF5" w:rsidRDefault="00211FF5" w:rsidP="00071C60">
      <w:pPr>
        <w:spacing w:after="0"/>
        <w:rPr>
          <w:rFonts w:eastAsia="HelenPro-Regular"/>
        </w:rPr>
      </w:pPr>
      <w:r>
        <w:rPr>
          <w:rFonts w:eastAsia="HelenPro-Regular"/>
        </w:rPr>
        <w:t>2. Do not use components beyond the expiration date.</w:t>
      </w:r>
    </w:p>
    <w:p w:rsidR="00211FF5" w:rsidRDefault="00211FF5" w:rsidP="00071C60">
      <w:pPr>
        <w:spacing w:after="0"/>
        <w:rPr>
          <w:rFonts w:eastAsia="HelenPro-Regular"/>
        </w:rPr>
      </w:pPr>
      <w:r>
        <w:rPr>
          <w:rFonts w:eastAsia="HelenPro-Regular"/>
        </w:rPr>
        <w:t>3. Do not mix materials from different kit lot numbers.</w:t>
      </w:r>
    </w:p>
    <w:p w:rsidR="00211FF5" w:rsidRDefault="00211FF5" w:rsidP="00071C60">
      <w:pPr>
        <w:autoSpaceDE w:val="0"/>
        <w:autoSpaceDN w:val="0"/>
        <w:adjustRightInd w:val="0"/>
        <w:spacing w:after="0"/>
        <w:rPr>
          <w:rFonts w:eastAsia="HelenPro-Regular"/>
        </w:rPr>
      </w:pPr>
      <w:r>
        <w:rPr>
          <w:rFonts w:eastAsia="HelenPro-Regular"/>
        </w:rPr>
        <w:t>Do not mix reagents prepared at different times.</w:t>
      </w:r>
    </w:p>
    <w:p w:rsidR="00211FF5" w:rsidRDefault="00211FF5" w:rsidP="00071C60">
      <w:pPr>
        <w:spacing w:after="0"/>
        <w:rPr>
          <w:rFonts w:eastAsia="HelenPro-Regular"/>
        </w:rPr>
      </w:pPr>
      <w:r>
        <w:rPr>
          <w:rFonts w:eastAsia="HelenPro-Regular"/>
        </w:rPr>
        <w:t>Standard on Bloodborne Pathogens. Biosafety Level 2 or other appropriate biosafety practices should be used for materials that contain or are suspected of containing infectious agents.</w:t>
      </w:r>
    </w:p>
    <w:p w:rsidR="00211FF5" w:rsidRDefault="00211FF5" w:rsidP="00071C60">
      <w:pPr>
        <w:autoSpaceDE w:val="0"/>
        <w:autoSpaceDN w:val="0"/>
        <w:adjustRightInd w:val="0"/>
        <w:spacing w:after="0"/>
        <w:rPr>
          <w:rFonts w:eastAsia="HelenPro-Regular"/>
        </w:rPr>
      </w:pPr>
      <w:r>
        <w:rPr>
          <w:rFonts w:eastAsia="HelenPro-Regular"/>
        </w:rPr>
        <w:t>R2 contains IgG sourced from human serum. Donor units of the serum have been tested and found to be nonreactive for HBsAg, HIV-1 RNA or HIV-1 Ag, anti-HCV, and anti-HIV-1/HIV-2.</w:t>
      </w:r>
    </w:p>
    <w:p w:rsidR="00211FF5" w:rsidRDefault="00211FF5" w:rsidP="002F08E5">
      <w:pPr>
        <w:autoSpaceDE w:val="0"/>
        <w:autoSpaceDN w:val="0"/>
        <w:adjustRightInd w:val="0"/>
        <w:rPr>
          <w:rFonts w:eastAsia="HelenPro-Regular"/>
        </w:rPr>
      </w:pPr>
      <w:r>
        <w:rPr>
          <w:rFonts w:eastAsia="HelenPro-Regular"/>
        </w:rPr>
        <w:t>• The following warning and precaution apply to R1 and R2:</w:t>
      </w:r>
      <w:r w:rsidR="002F08E5">
        <w:rPr>
          <w:rFonts w:eastAsia="HelenPro-Regular"/>
        </w:rPr>
        <w:t xml:space="preserve">  </w:t>
      </w:r>
      <w:r>
        <w:rPr>
          <w:rFonts w:eastAsia="HelenPro-Regular"/>
        </w:rPr>
        <w:t>Contains sodium azide.</w:t>
      </w:r>
    </w:p>
    <w:p w:rsidR="00211FF5" w:rsidRDefault="00211FF5" w:rsidP="00071C60">
      <w:pPr>
        <w:autoSpaceDE w:val="0"/>
        <w:autoSpaceDN w:val="0"/>
        <w:adjustRightInd w:val="0"/>
        <w:spacing w:after="0"/>
        <w:rPr>
          <w:rFonts w:eastAsia="HelenPro-Regular"/>
        </w:rPr>
      </w:pPr>
      <w:r>
        <w:rPr>
          <w:rFonts w:eastAsia="HelenPro-Regular"/>
        </w:rPr>
        <w:t xml:space="preserve">EUH032 Contact with acids liberates very toxic gas. </w:t>
      </w:r>
    </w:p>
    <w:p w:rsidR="00211FF5" w:rsidRDefault="00211FF5" w:rsidP="00071C60">
      <w:pPr>
        <w:autoSpaceDE w:val="0"/>
        <w:autoSpaceDN w:val="0"/>
        <w:adjustRightInd w:val="0"/>
        <w:spacing w:after="0"/>
        <w:rPr>
          <w:rFonts w:eastAsia="HelenPro-Regular"/>
        </w:rPr>
      </w:pPr>
      <w:r>
        <w:rPr>
          <w:rFonts w:eastAsia="HelenPro-Regular"/>
        </w:rPr>
        <w:t>P501 Dispose of contents/container in accordance with local regulations.</w:t>
      </w:r>
    </w:p>
    <w:p w:rsidR="00211FF5" w:rsidRDefault="00211FF5" w:rsidP="00071C60">
      <w:pPr>
        <w:autoSpaceDE w:val="0"/>
        <w:autoSpaceDN w:val="0"/>
        <w:adjustRightInd w:val="0"/>
        <w:spacing w:after="0"/>
        <w:rPr>
          <w:rFonts w:eastAsia="HelenPro-Regular"/>
        </w:rPr>
      </w:pPr>
      <w:r>
        <w:rPr>
          <w:rFonts w:eastAsia="HelenPro-Regular"/>
        </w:rPr>
        <w:t>These materials and their containers must be disposed of in a safe way.</w:t>
      </w:r>
    </w:p>
    <w:p w:rsidR="00211FF5" w:rsidRDefault="00211FF5" w:rsidP="00071C60">
      <w:pPr>
        <w:autoSpaceDE w:val="0"/>
        <w:autoSpaceDN w:val="0"/>
        <w:adjustRightInd w:val="0"/>
        <w:spacing w:after="0"/>
        <w:rPr>
          <w:rFonts w:eastAsia="HelenPro-Bold"/>
          <w:b/>
          <w:bCs/>
        </w:rPr>
      </w:pPr>
    </w:p>
    <w:p w:rsidR="00211FF5" w:rsidRDefault="00211FF5" w:rsidP="00071C60">
      <w:pPr>
        <w:autoSpaceDE w:val="0"/>
        <w:autoSpaceDN w:val="0"/>
        <w:adjustRightInd w:val="0"/>
        <w:spacing w:after="0"/>
        <w:rPr>
          <w:rFonts w:eastAsia="HelenPro-Bold"/>
          <w:b/>
          <w:bCs/>
        </w:rPr>
      </w:pPr>
      <w:r>
        <w:rPr>
          <w:rFonts w:eastAsia="HelenPro-Bold"/>
          <w:b/>
          <w:bCs/>
        </w:rPr>
        <w:t>Reagent Handling</w:t>
      </w:r>
    </w:p>
    <w:p w:rsidR="00211FF5" w:rsidRDefault="00211FF5" w:rsidP="00071C60">
      <w:pPr>
        <w:autoSpaceDE w:val="0"/>
        <w:autoSpaceDN w:val="0"/>
        <w:adjustRightInd w:val="0"/>
        <w:spacing w:after="0"/>
        <w:rPr>
          <w:rFonts w:eastAsia="HelenPro-Regular"/>
        </w:rPr>
      </w:pPr>
      <w:r>
        <w:rPr>
          <w:rFonts w:eastAsia="HelenPro-Regular"/>
        </w:rPr>
        <w:t>Mix reagent cartridges by gentle inversion prior to placing on the instrument.</w:t>
      </w:r>
    </w:p>
    <w:p w:rsidR="00211FF5" w:rsidRDefault="00211FF5" w:rsidP="00071C60">
      <w:pPr>
        <w:autoSpaceDE w:val="0"/>
        <w:autoSpaceDN w:val="0"/>
        <w:adjustRightInd w:val="0"/>
        <w:spacing w:after="0"/>
        <w:rPr>
          <w:rFonts w:eastAsia="HelenPro-Regular"/>
        </w:rPr>
      </w:pPr>
      <w:r>
        <w:rPr>
          <w:rFonts w:eastAsia="HelenPro-Regular"/>
        </w:rPr>
        <w:t>• Remove air bubbles, if present in the reagent cartridge, with a new applicator stick. Alternatively, allow the reagent to sit at the appropriate storage temperature to allow the bubbles to dissipate.</w:t>
      </w:r>
    </w:p>
    <w:p w:rsidR="00211FF5" w:rsidRDefault="00211FF5" w:rsidP="00071C60">
      <w:pPr>
        <w:autoSpaceDE w:val="0"/>
        <w:autoSpaceDN w:val="0"/>
        <w:adjustRightInd w:val="0"/>
        <w:spacing w:after="0"/>
        <w:rPr>
          <w:rFonts w:eastAsia="HelenPro-Regular"/>
        </w:rPr>
      </w:pPr>
      <w:r>
        <w:rPr>
          <w:rFonts w:eastAsia="HelenPro-Regular"/>
        </w:rPr>
        <w:t>To minimize volume depletion, do not use a transfer pipette to remove the bubbles.</w:t>
      </w:r>
    </w:p>
    <w:p w:rsidR="00211FF5" w:rsidRDefault="00211FF5" w:rsidP="00071C60">
      <w:pPr>
        <w:autoSpaceDE w:val="0"/>
        <w:autoSpaceDN w:val="0"/>
        <w:adjustRightInd w:val="0"/>
        <w:spacing w:after="0"/>
        <w:rPr>
          <w:rFonts w:eastAsia="HelenPro-Regular"/>
        </w:rPr>
      </w:pPr>
      <w:r>
        <w:rPr>
          <w:rFonts w:eastAsia="HelenPro-Bold"/>
          <w:b/>
          <w:bCs/>
        </w:rPr>
        <w:lastRenderedPageBreak/>
        <w:t xml:space="preserve">CAUTION: </w:t>
      </w:r>
      <w:r>
        <w:rPr>
          <w:rFonts w:eastAsia="HelenPro-Regular"/>
        </w:rPr>
        <w:t>Reagent bubbles may interfere with proper detection of reagent level in the cartridge, causing insufficient reagent aspiration that could impact results.</w:t>
      </w:r>
    </w:p>
    <w:p w:rsidR="00211FF5" w:rsidRDefault="00211FF5" w:rsidP="00071C60">
      <w:pPr>
        <w:autoSpaceDE w:val="0"/>
        <w:autoSpaceDN w:val="0"/>
        <w:adjustRightInd w:val="0"/>
        <w:spacing w:after="0"/>
        <w:rPr>
          <w:rFonts w:eastAsia="HelenPro-Bold"/>
          <w:b/>
          <w:bCs/>
        </w:rPr>
      </w:pPr>
    </w:p>
    <w:p w:rsidR="00211FF5" w:rsidRDefault="00211FF5" w:rsidP="00071C60">
      <w:pPr>
        <w:autoSpaceDE w:val="0"/>
        <w:autoSpaceDN w:val="0"/>
        <w:adjustRightInd w:val="0"/>
        <w:spacing w:after="0"/>
        <w:rPr>
          <w:rFonts w:eastAsia="HelenPro-Bold"/>
          <w:b/>
          <w:bCs/>
        </w:rPr>
      </w:pPr>
      <w:r>
        <w:rPr>
          <w:rFonts w:eastAsia="HelenPro-Bold"/>
          <w:b/>
          <w:bCs/>
        </w:rPr>
        <w:t>Reagent Storage</w:t>
      </w:r>
    </w:p>
    <w:p w:rsidR="00211FF5" w:rsidRDefault="00211FF5" w:rsidP="00071C60">
      <w:pPr>
        <w:autoSpaceDE w:val="0"/>
        <w:autoSpaceDN w:val="0"/>
        <w:adjustRightInd w:val="0"/>
        <w:spacing w:after="0"/>
        <w:rPr>
          <w:rFonts w:eastAsia="HelenPro-Regular"/>
        </w:rPr>
      </w:pPr>
      <w:r>
        <w:rPr>
          <w:rFonts w:eastAsia="HelenPro-Regular"/>
        </w:rPr>
        <w:t>• Reagent stability is 30 days if the reagent is uncapped and onboard.</w:t>
      </w:r>
    </w:p>
    <w:p w:rsidR="00211FF5" w:rsidRDefault="00211FF5" w:rsidP="00071C60">
      <w:pPr>
        <w:autoSpaceDE w:val="0"/>
        <w:autoSpaceDN w:val="0"/>
        <w:adjustRightInd w:val="0"/>
        <w:spacing w:after="0"/>
        <w:rPr>
          <w:rFonts w:eastAsia="HelenPro-Regular"/>
        </w:rPr>
      </w:pPr>
      <w:r>
        <w:rPr>
          <w:rFonts w:eastAsia="HelenPro-Regular"/>
        </w:rPr>
        <w:t>• Unopened reagents are stable until the expiration date when stored at 2 to 8°C.</w:t>
      </w:r>
    </w:p>
    <w:p w:rsidR="00211FF5" w:rsidRDefault="00211FF5" w:rsidP="00071C60">
      <w:pPr>
        <w:autoSpaceDE w:val="0"/>
        <w:autoSpaceDN w:val="0"/>
        <w:adjustRightInd w:val="0"/>
        <w:spacing w:after="0"/>
        <w:rPr>
          <w:rFonts w:eastAsia="HelenPro-Regular"/>
        </w:rPr>
      </w:pPr>
      <w:r>
        <w:rPr>
          <w:rFonts w:eastAsia="HelenPro-Regular"/>
        </w:rPr>
        <w:t>R1 should be clear. R2 should appear milky.</w:t>
      </w:r>
    </w:p>
    <w:p w:rsidR="00211FF5" w:rsidRDefault="00211FF5" w:rsidP="00071C60">
      <w:pPr>
        <w:spacing w:after="0"/>
        <w:rPr>
          <w:rFonts w:eastAsia="Times New Roman"/>
        </w:rPr>
      </w:pPr>
      <w:r>
        <w:rPr>
          <w:rStyle w:val="BodyBold"/>
          <w:rFonts w:cs="Times New Roman" w:hint="default"/>
          <w:lang w:val="ru-RU"/>
        </w:rPr>
        <w:t>Reagent Preparation:</w:t>
      </w:r>
      <w:r>
        <w:rPr>
          <w:lang w:val="ru-RU"/>
        </w:rPr>
        <w:t xml:space="preserve"> </w:t>
      </w:r>
    </w:p>
    <w:p w:rsidR="00211FF5" w:rsidRDefault="00211FF5" w:rsidP="002F08E5">
      <w:pPr>
        <w:autoSpaceDE w:val="0"/>
        <w:autoSpaceDN w:val="0"/>
        <w:adjustRightInd w:val="0"/>
        <w:spacing w:after="0"/>
        <w:rPr>
          <w:rFonts w:ascii="Arial" w:eastAsia="HelenPro-Regular" w:hAnsi="Arial" w:cs="Arial"/>
        </w:rPr>
      </w:pPr>
      <w:r>
        <w:rPr>
          <w:rFonts w:eastAsia="HelenPro-Regular"/>
        </w:rPr>
        <w:t>8G66-21 Rheumatoid Factor is supplied as a liquid, ready-to-use, two-reagent kit which contains:</w:t>
      </w:r>
      <w:r>
        <w:rPr>
          <w:rFonts w:eastAsia="HelenPro-Regular"/>
          <w:b/>
          <w:bCs/>
        </w:rPr>
        <w:t xml:space="preserve"> R1 &amp; R2</w:t>
      </w:r>
    </w:p>
    <w:p w:rsidR="00211FF5" w:rsidRDefault="00211FF5" w:rsidP="00071C60">
      <w:pPr>
        <w:spacing w:after="0"/>
        <w:rPr>
          <w:rFonts w:ascii="Times New Roman" w:eastAsia="HelenPro-Regular" w:hAnsi="Times New Roman" w:cs="Times New Roman"/>
        </w:rPr>
      </w:pPr>
      <w:r>
        <w:rPr>
          <w:noProof/>
        </w:rPr>
        <w:drawing>
          <wp:inline distT="0" distB="0" distL="0" distR="0">
            <wp:extent cx="4210050" cy="1314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0050" cy="1314450"/>
                    </a:xfrm>
                    <a:prstGeom prst="rect">
                      <a:avLst/>
                    </a:prstGeom>
                    <a:noFill/>
                    <a:ln>
                      <a:noFill/>
                    </a:ln>
                  </pic:spPr>
                </pic:pic>
              </a:graphicData>
            </a:graphic>
          </wp:inline>
        </w:drawing>
      </w:r>
    </w:p>
    <w:p w:rsidR="00211FF5" w:rsidRDefault="00211FF5" w:rsidP="00071C60">
      <w:pPr>
        <w:pStyle w:val="txt"/>
        <w:spacing w:after="0"/>
        <w:ind w:left="0"/>
        <w:rPr>
          <w:sz w:val="24"/>
          <w:szCs w:val="24"/>
        </w:rPr>
      </w:pPr>
    </w:p>
    <w:p w:rsidR="00211FF5" w:rsidRDefault="00211FF5" w:rsidP="00071C60">
      <w:pPr>
        <w:autoSpaceDE w:val="0"/>
        <w:autoSpaceDN w:val="0"/>
        <w:adjustRightInd w:val="0"/>
        <w:spacing w:after="0"/>
        <w:rPr>
          <w:rFonts w:eastAsia="HelenPro-Regular"/>
          <w:sz w:val="24"/>
          <w:szCs w:val="24"/>
        </w:rPr>
      </w:pPr>
      <w:r>
        <w:rPr>
          <w:b/>
        </w:rPr>
        <w:t>Calibrator:</w:t>
      </w:r>
      <w:r>
        <w:t xml:space="preserve">  </w:t>
      </w:r>
      <w:r>
        <w:rPr>
          <w:rFonts w:eastAsia="HelenPro-Regular"/>
        </w:rPr>
        <w:t>8G67 Rheumatoid Factor Calibrator</w:t>
      </w:r>
    </w:p>
    <w:p w:rsidR="00211FF5" w:rsidRDefault="00211FF5" w:rsidP="00071C60">
      <w:pPr>
        <w:autoSpaceDE w:val="0"/>
        <w:autoSpaceDN w:val="0"/>
        <w:adjustRightInd w:val="0"/>
        <w:spacing w:after="0"/>
        <w:rPr>
          <w:rFonts w:eastAsia="HelenPro-Regular"/>
          <w:szCs w:val="24"/>
        </w:rPr>
      </w:pPr>
      <w:r>
        <w:rPr>
          <w:b/>
          <w:szCs w:val="14"/>
        </w:rPr>
        <w:t>Quality Control:</w:t>
      </w:r>
      <w:r>
        <w:rPr>
          <w:szCs w:val="14"/>
        </w:rPr>
        <w:t xml:space="preserve">  Chemistry Controls</w:t>
      </w:r>
    </w:p>
    <w:p w:rsidR="00211FF5" w:rsidRDefault="00211FF5" w:rsidP="00071C60">
      <w:pPr>
        <w:spacing w:after="0"/>
        <w:rPr>
          <w:rFonts w:eastAsia="Times New Roman"/>
          <w:b/>
          <w:sz w:val="28"/>
          <w:szCs w:val="28"/>
        </w:rPr>
      </w:pPr>
    </w:p>
    <w:p w:rsidR="00211FF5" w:rsidRDefault="00211FF5" w:rsidP="00071C60">
      <w:pPr>
        <w:spacing w:after="0"/>
        <w:rPr>
          <w:i/>
          <w:color w:val="FF0000"/>
          <w:sz w:val="24"/>
          <w:szCs w:val="15"/>
        </w:rPr>
      </w:pPr>
      <w:r>
        <w:rPr>
          <w:b/>
          <w:sz w:val="28"/>
          <w:szCs w:val="28"/>
        </w:rPr>
        <w:t xml:space="preserve">Calibration </w:t>
      </w:r>
    </w:p>
    <w:p w:rsidR="00211FF5" w:rsidRDefault="00211FF5" w:rsidP="00071C60">
      <w:pPr>
        <w:spacing w:after="0"/>
        <w:ind w:firstLine="720"/>
        <w:rPr>
          <w:b/>
          <w:sz w:val="24"/>
          <w:szCs w:val="24"/>
        </w:rPr>
      </w:pPr>
      <w:r>
        <w:rPr>
          <w:b/>
        </w:rPr>
        <w:t xml:space="preserve">Frequency:  </w:t>
      </w:r>
    </w:p>
    <w:p w:rsidR="00211FF5" w:rsidRDefault="00211FF5" w:rsidP="00071C60">
      <w:pPr>
        <w:autoSpaceDE w:val="0"/>
        <w:autoSpaceDN w:val="0"/>
        <w:adjustRightInd w:val="0"/>
        <w:spacing w:after="0"/>
        <w:ind w:left="720"/>
        <w:rPr>
          <w:rFonts w:eastAsia="HelenPro-Regular"/>
        </w:rPr>
      </w:pPr>
      <w:r>
        <w:t xml:space="preserve">Calibration is stable for 60 days for any one lot. </w:t>
      </w:r>
      <w:r>
        <w:rPr>
          <w:rFonts w:eastAsia="HelenPro-Regular"/>
        </w:rPr>
        <w:t>Calibration is required with each change in reagent lot number.</w:t>
      </w:r>
    </w:p>
    <w:p w:rsidR="00211FF5" w:rsidRDefault="00211FF5" w:rsidP="00071C60">
      <w:pPr>
        <w:autoSpaceDE w:val="0"/>
        <w:autoSpaceDN w:val="0"/>
        <w:adjustRightInd w:val="0"/>
        <w:spacing w:after="0"/>
        <w:ind w:left="720"/>
        <w:rPr>
          <w:rFonts w:eastAsia="Times New Roman"/>
          <w:b/>
          <w:highlight w:val="cyan"/>
        </w:rPr>
      </w:pPr>
    </w:p>
    <w:p w:rsidR="00211FF5" w:rsidRDefault="00211FF5" w:rsidP="00071C60">
      <w:pPr>
        <w:autoSpaceDE w:val="0"/>
        <w:autoSpaceDN w:val="0"/>
        <w:adjustRightInd w:val="0"/>
        <w:spacing w:after="0"/>
        <w:ind w:left="720"/>
        <w:rPr>
          <w:b/>
        </w:rPr>
      </w:pPr>
      <w:r>
        <w:rPr>
          <w:b/>
        </w:rPr>
        <w:t>A new calibration is required:</w:t>
      </w:r>
    </w:p>
    <w:p w:rsidR="00211FF5" w:rsidRDefault="00211FF5" w:rsidP="00071C60">
      <w:pPr>
        <w:autoSpaceDE w:val="0"/>
        <w:autoSpaceDN w:val="0"/>
        <w:adjustRightInd w:val="0"/>
        <w:spacing w:after="0"/>
        <w:ind w:left="720"/>
        <w:rPr>
          <w:b/>
        </w:rPr>
      </w:pPr>
    </w:p>
    <w:p w:rsidR="00211FF5" w:rsidRDefault="00211FF5" w:rsidP="00071C60">
      <w:pPr>
        <w:numPr>
          <w:ilvl w:val="0"/>
          <w:numId w:val="1"/>
        </w:numPr>
        <w:autoSpaceDE w:val="0"/>
        <w:autoSpaceDN w:val="0"/>
        <w:adjustRightInd w:val="0"/>
        <w:spacing w:after="0" w:line="240" w:lineRule="auto"/>
      </w:pPr>
      <w:r>
        <w:rPr>
          <w:rFonts w:eastAsia="HelenPro-Regular"/>
        </w:rPr>
        <w:t>If quality control results do not meet acceptance criteria defined by your</w:t>
      </w:r>
      <w:r>
        <w:t xml:space="preserve"> </w:t>
      </w:r>
      <w:r>
        <w:rPr>
          <w:rFonts w:eastAsia="HelenPro-Regular"/>
        </w:rPr>
        <w:t>laboratory, patient values may be suspect. Follow the established quality</w:t>
      </w:r>
      <w:r>
        <w:t xml:space="preserve"> </w:t>
      </w:r>
      <w:r>
        <w:rPr>
          <w:rFonts w:eastAsia="HelenPro-Regular"/>
        </w:rPr>
        <w:t>control procedures for your laboratory. Recalibration may be necessary.</w:t>
      </w:r>
    </w:p>
    <w:p w:rsidR="00211FF5" w:rsidRDefault="00211FF5" w:rsidP="00071C60">
      <w:pPr>
        <w:numPr>
          <w:ilvl w:val="0"/>
          <w:numId w:val="1"/>
        </w:numPr>
        <w:autoSpaceDE w:val="0"/>
        <w:autoSpaceDN w:val="0"/>
        <w:adjustRightInd w:val="0"/>
        <w:spacing w:after="0" w:line="240" w:lineRule="auto"/>
      </w:pPr>
      <w:r>
        <w:rPr>
          <w:rFonts w:eastAsia="HelenPro-Regular"/>
        </w:rPr>
        <w:t>Review quality control results and acceptance criteria following a</w:t>
      </w:r>
      <w:r>
        <w:t xml:space="preserve"> </w:t>
      </w:r>
      <w:r>
        <w:rPr>
          <w:rFonts w:eastAsia="HelenPro-Regular"/>
        </w:rPr>
        <w:t>change of reagent or calibrator lot.</w:t>
      </w:r>
    </w:p>
    <w:p w:rsidR="00211FF5" w:rsidRDefault="00211FF5" w:rsidP="00071C60">
      <w:pPr>
        <w:spacing w:after="0"/>
        <w:ind w:firstLine="720"/>
        <w:rPr>
          <w:i/>
          <w:color w:val="FF0000"/>
          <w:szCs w:val="15"/>
        </w:rPr>
      </w:pPr>
      <w:r>
        <w:rPr>
          <w:b/>
        </w:rPr>
        <w:t>Calibrator Required:</w:t>
      </w:r>
      <w:r>
        <w:t xml:space="preserve">  </w:t>
      </w:r>
      <w:r>
        <w:rPr>
          <w:rFonts w:eastAsia="HelenPro-Regular"/>
        </w:rPr>
        <w:t>8G67 Rheumatoid Factor Calibrator</w:t>
      </w:r>
    </w:p>
    <w:p w:rsidR="00211FF5" w:rsidRDefault="00211FF5" w:rsidP="00071C60">
      <w:pPr>
        <w:spacing w:after="0"/>
        <w:ind w:firstLine="720"/>
        <w:rPr>
          <w:color w:val="000000"/>
          <w:szCs w:val="14"/>
        </w:rPr>
      </w:pPr>
    </w:p>
    <w:p w:rsidR="00211FF5" w:rsidRDefault="00211FF5" w:rsidP="00071C60">
      <w:pPr>
        <w:spacing w:after="0"/>
        <w:ind w:firstLine="720"/>
        <w:rPr>
          <w:b/>
          <w:szCs w:val="24"/>
        </w:rPr>
      </w:pPr>
      <w:r>
        <w:rPr>
          <w:b/>
        </w:rPr>
        <w:t>Reagents:</w:t>
      </w:r>
    </w:p>
    <w:p w:rsidR="00211FF5" w:rsidRDefault="00211FF5" w:rsidP="00071C60">
      <w:pPr>
        <w:autoSpaceDE w:val="0"/>
        <w:autoSpaceDN w:val="0"/>
        <w:adjustRightInd w:val="0"/>
        <w:spacing w:after="0"/>
        <w:ind w:left="720"/>
        <w:rPr>
          <w:rFonts w:eastAsia="HelenPro-Regular"/>
        </w:rPr>
      </w:pPr>
      <w:r>
        <w:rPr>
          <w:rFonts w:eastAsia="HelenPro-Regular"/>
        </w:rPr>
        <w:t>8G67-02 Rheumatoid Factor Calibrator is prepared by diluting rheumatoid factor sera with a buffer solution containing 1% w/w bovine serum albumin to the concentration stated on each calibrator bottle. A preservative is also present.</w:t>
      </w:r>
    </w:p>
    <w:p w:rsidR="00211FF5" w:rsidRDefault="00211FF5" w:rsidP="00071C60">
      <w:pPr>
        <w:spacing w:after="0"/>
        <w:ind w:left="720"/>
        <w:rPr>
          <w:rFonts w:eastAsia="Times New Roman"/>
          <w:b/>
        </w:rPr>
      </w:pPr>
    </w:p>
    <w:p w:rsidR="00211FF5" w:rsidRDefault="00211FF5" w:rsidP="00071C60">
      <w:pPr>
        <w:spacing w:after="0"/>
        <w:ind w:left="720"/>
      </w:pPr>
      <w:r>
        <w:rPr>
          <w:b/>
        </w:rPr>
        <w:t xml:space="preserve">Calibrator Preparation: </w:t>
      </w:r>
    </w:p>
    <w:p w:rsidR="00211FF5" w:rsidRDefault="00211FF5" w:rsidP="00071C60">
      <w:pPr>
        <w:autoSpaceDE w:val="0"/>
        <w:autoSpaceDN w:val="0"/>
        <w:adjustRightInd w:val="0"/>
        <w:spacing w:after="0"/>
        <w:ind w:left="720"/>
        <w:rPr>
          <w:rFonts w:eastAsia="HelenPro-Regular"/>
          <w:b/>
        </w:rPr>
      </w:pPr>
      <w:r>
        <w:rPr>
          <w:rFonts w:eastAsia="HelenPro-Regular"/>
        </w:rPr>
        <w:t>Rheumatoid Factor Calibrator requires no preparation prior to use.</w:t>
      </w:r>
    </w:p>
    <w:p w:rsidR="00211FF5" w:rsidRDefault="00211FF5" w:rsidP="00071C60">
      <w:pPr>
        <w:autoSpaceDE w:val="0"/>
        <w:autoSpaceDN w:val="0"/>
        <w:adjustRightInd w:val="0"/>
        <w:spacing w:after="0"/>
        <w:ind w:left="720"/>
        <w:rPr>
          <w:rFonts w:eastAsia="HelenPro-Regular"/>
          <w:b/>
        </w:rPr>
      </w:pPr>
    </w:p>
    <w:p w:rsidR="00211FF5" w:rsidRDefault="00211FF5" w:rsidP="00071C60">
      <w:pPr>
        <w:autoSpaceDE w:val="0"/>
        <w:autoSpaceDN w:val="0"/>
        <w:adjustRightInd w:val="0"/>
        <w:spacing w:after="0"/>
        <w:ind w:left="720"/>
        <w:rPr>
          <w:rFonts w:eastAsia="HelenPro-Regular"/>
          <w:b/>
        </w:rPr>
      </w:pPr>
      <w:r>
        <w:rPr>
          <w:rFonts w:eastAsia="HelenPro-Regular"/>
          <w:b/>
        </w:rPr>
        <w:t>Calibrator Procedure:</w:t>
      </w:r>
    </w:p>
    <w:p w:rsidR="00211FF5" w:rsidRDefault="00211FF5" w:rsidP="00071C60">
      <w:pPr>
        <w:autoSpaceDE w:val="0"/>
        <w:autoSpaceDN w:val="0"/>
        <w:adjustRightInd w:val="0"/>
        <w:spacing w:after="0"/>
        <w:ind w:left="720"/>
        <w:rPr>
          <w:rFonts w:eastAsia="HelenPro-Regular"/>
        </w:rPr>
      </w:pPr>
      <w:r>
        <w:rPr>
          <w:rFonts w:eastAsia="HelenPro-Regular"/>
        </w:rPr>
        <w:t>Calibration is performed by running a water blank and the Rheumatoid Factor Calibrator set. Water for the blank is provided by the instrument.</w:t>
      </w:r>
    </w:p>
    <w:p w:rsidR="00211FF5" w:rsidRDefault="00211FF5" w:rsidP="00071C60">
      <w:pPr>
        <w:autoSpaceDE w:val="0"/>
        <w:autoSpaceDN w:val="0"/>
        <w:adjustRightInd w:val="0"/>
        <w:spacing w:after="0"/>
        <w:ind w:left="720"/>
        <w:rPr>
          <w:rFonts w:eastAsia="HelenPro-Regular"/>
        </w:rPr>
      </w:pPr>
      <w:r>
        <w:rPr>
          <w:rFonts w:eastAsia="HelenPro-Regular"/>
        </w:rPr>
        <w:t>1. Verify that the correct calibrator values have been entered into the calibration file.</w:t>
      </w:r>
    </w:p>
    <w:p w:rsidR="00211FF5" w:rsidRDefault="00211FF5" w:rsidP="00071C60">
      <w:pPr>
        <w:autoSpaceDE w:val="0"/>
        <w:autoSpaceDN w:val="0"/>
        <w:adjustRightInd w:val="0"/>
        <w:spacing w:after="0"/>
        <w:ind w:left="720"/>
        <w:rPr>
          <w:rFonts w:eastAsia="HelenPro-Regular"/>
        </w:rPr>
      </w:pPr>
      <w:r>
        <w:rPr>
          <w:rFonts w:eastAsia="HelenPro-Regular"/>
        </w:rPr>
        <w:t>2. Allow calibrator to come to room temperature.</w:t>
      </w:r>
    </w:p>
    <w:p w:rsidR="00211FF5" w:rsidRDefault="00211FF5" w:rsidP="00071C60">
      <w:pPr>
        <w:autoSpaceDE w:val="0"/>
        <w:autoSpaceDN w:val="0"/>
        <w:adjustRightInd w:val="0"/>
        <w:spacing w:after="0"/>
        <w:ind w:left="720"/>
        <w:rPr>
          <w:rFonts w:eastAsia="HelenPro-Regular"/>
        </w:rPr>
      </w:pPr>
      <w:r>
        <w:rPr>
          <w:rFonts w:eastAsia="HelenPro-Regular"/>
        </w:rPr>
        <w:t>3. Mix bottle several times by gentle inversion.</w:t>
      </w:r>
    </w:p>
    <w:p w:rsidR="00211FF5" w:rsidRDefault="00211FF5" w:rsidP="00071C60">
      <w:pPr>
        <w:autoSpaceDE w:val="0"/>
        <w:autoSpaceDN w:val="0"/>
        <w:adjustRightInd w:val="0"/>
        <w:spacing w:after="0"/>
        <w:ind w:left="720"/>
        <w:rPr>
          <w:rFonts w:eastAsia="HelenPro-Regular"/>
        </w:rPr>
      </w:pPr>
      <w:r>
        <w:rPr>
          <w:rFonts w:eastAsia="HelenPro-Regular"/>
        </w:rPr>
        <w:t>4. Open bottle, place an appropriate amount of each calibrator in a separate sample cup, and place in the assigned positions.</w:t>
      </w:r>
    </w:p>
    <w:p w:rsidR="00211FF5" w:rsidRDefault="00211FF5" w:rsidP="00071C60">
      <w:pPr>
        <w:autoSpaceDE w:val="0"/>
        <w:autoSpaceDN w:val="0"/>
        <w:adjustRightInd w:val="0"/>
        <w:spacing w:after="0"/>
        <w:ind w:left="720"/>
        <w:rPr>
          <w:rFonts w:eastAsia="HelenPro-Regular"/>
        </w:rPr>
      </w:pPr>
      <w:r>
        <w:rPr>
          <w:rFonts w:eastAsia="HelenPro-Regular"/>
        </w:rPr>
        <w:t>5. Cap bottle tightly and return to refrigerated storage immediately after use.</w:t>
      </w:r>
    </w:p>
    <w:p w:rsidR="00211FF5" w:rsidRDefault="00211FF5" w:rsidP="00071C60">
      <w:pPr>
        <w:autoSpaceDE w:val="0"/>
        <w:autoSpaceDN w:val="0"/>
        <w:adjustRightInd w:val="0"/>
        <w:spacing w:after="0"/>
        <w:ind w:left="720"/>
        <w:rPr>
          <w:rFonts w:eastAsia="HelenPro-Bold"/>
          <w:b/>
          <w:bCs/>
        </w:rPr>
      </w:pPr>
      <w:r>
        <w:rPr>
          <w:rFonts w:eastAsia="HelenPro-Regular"/>
        </w:rPr>
        <w:t xml:space="preserve">6. Perform calibration as indicated in the </w:t>
      </w:r>
      <w:r>
        <w:rPr>
          <w:rFonts w:eastAsia="HelenPro-Bold"/>
          <w:b/>
          <w:bCs/>
        </w:rPr>
        <w:t>ARCHITECT System Operations Manual</w:t>
      </w:r>
      <w:r>
        <w:rPr>
          <w:rFonts w:eastAsia="HelenPro-Regular"/>
        </w:rPr>
        <w:t>.</w:t>
      </w:r>
    </w:p>
    <w:p w:rsidR="00211FF5" w:rsidRDefault="00211FF5" w:rsidP="00071C60">
      <w:pPr>
        <w:spacing w:after="0"/>
        <w:ind w:left="720"/>
        <w:rPr>
          <w:rFonts w:eastAsia="Times New Roman"/>
          <w:b/>
          <w:bCs/>
        </w:rPr>
      </w:pPr>
    </w:p>
    <w:p w:rsidR="00211FF5" w:rsidRDefault="00211FF5" w:rsidP="00071C60">
      <w:pPr>
        <w:spacing w:after="0"/>
        <w:rPr>
          <w:i/>
          <w:color w:val="FF0000"/>
          <w:sz w:val="24"/>
          <w:szCs w:val="15"/>
        </w:rPr>
      </w:pPr>
      <w:r>
        <w:rPr>
          <w:b/>
          <w:sz w:val="28"/>
          <w:szCs w:val="28"/>
        </w:rPr>
        <w:t xml:space="preserve">Quality Control: </w:t>
      </w:r>
    </w:p>
    <w:p w:rsidR="00211FF5" w:rsidRDefault="00211FF5" w:rsidP="00071C60">
      <w:pPr>
        <w:autoSpaceDE w:val="0"/>
        <w:autoSpaceDN w:val="0"/>
        <w:adjustRightInd w:val="0"/>
        <w:spacing w:after="0"/>
        <w:ind w:left="720"/>
        <w:rPr>
          <w:rFonts w:eastAsia="HelenPro-Regular"/>
          <w:szCs w:val="24"/>
        </w:rPr>
      </w:pPr>
      <w:r>
        <w:rPr>
          <w:rFonts w:eastAsia="HelenPro-Regular"/>
        </w:rPr>
        <w:t>Abbott recommends, refer to your laboratory standard operating procedure(s) and/or quality assurance plan for additional quality control requirements and potential corrective actions:</w:t>
      </w:r>
    </w:p>
    <w:p w:rsidR="00211FF5" w:rsidRDefault="00211FF5" w:rsidP="00071C60">
      <w:pPr>
        <w:autoSpaceDE w:val="0"/>
        <w:autoSpaceDN w:val="0"/>
        <w:adjustRightInd w:val="0"/>
        <w:spacing w:after="0"/>
        <w:ind w:left="720"/>
        <w:rPr>
          <w:rFonts w:eastAsia="HelenPro-Regular"/>
        </w:rPr>
      </w:pPr>
      <w:r>
        <w:rPr>
          <w:rFonts w:eastAsia="HelenPro-Regular"/>
        </w:rPr>
        <w:t>• Two levels of controls (normal and abnormal) are to be run every 24 hours.</w:t>
      </w:r>
    </w:p>
    <w:p w:rsidR="00211FF5" w:rsidRDefault="00211FF5" w:rsidP="00071C60">
      <w:pPr>
        <w:autoSpaceDE w:val="0"/>
        <w:autoSpaceDN w:val="0"/>
        <w:adjustRightInd w:val="0"/>
        <w:spacing w:after="0"/>
        <w:ind w:left="720"/>
        <w:rPr>
          <w:rFonts w:eastAsia="HelenPro-Regular"/>
        </w:rPr>
      </w:pPr>
      <w:r>
        <w:rPr>
          <w:rFonts w:eastAsia="HelenPro-Regular"/>
        </w:rPr>
        <w:t>• If more frequent control monitoring is required, follow the established quality control procedures for your laboratory.</w:t>
      </w:r>
    </w:p>
    <w:p w:rsidR="00211FF5" w:rsidRDefault="00211FF5" w:rsidP="00071C60">
      <w:pPr>
        <w:autoSpaceDE w:val="0"/>
        <w:autoSpaceDN w:val="0"/>
        <w:adjustRightInd w:val="0"/>
        <w:spacing w:after="0"/>
        <w:ind w:left="720"/>
        <w:rPr>
          <w:rFonts w:eastAsia="HelenPro-Regular"/>
        </w:rPr>
      </w:pPr>
      <w:r>
        <w:rPr>
          <w:rFonts w:eastAsia="HelenPro-Regular"/>
        </w:rPr>
        <w:t>• If quality control results do not meet the acceptance criteria defined by your laboratory, patient values may be suspect. Follow the established quality control procedures for your laboratory.</w:t>
      </w:r>
    </w:p>
    <w:p w:rsidR="00211FF5" w:rsidRDefault="00211FF5" w:rsidP="00071C60">
      <w:pPr>
        <w:autoSpaceDE w:val="0"/>
        <w:autoSpaceDN w:val="0"/>
        <w:adjustRightInd w:val="0"/>
        <w:spacing w:after="0"/>
        <w:ind w:left="720"/>
        <w:rPr>
          <w:rFonts w:eastAsia="HelenPro-Regular"/>
        </w:rPr>
      </w:pPr>
      <w:r>
        <w:rPr>
          <w:rFonts w:eastAsia="HelenPro-Regular"/>
        </w:rPr>
        <w:t>Recalibration may be necessary.</w:t>
      </w:r>
    </w:p>
    <w:p w:rsidR="00211FF5" w:rsidRDefault="00211FF5" w:rsidP="00071C60">
      <w:pPr>
        <w:autoSpaceDE w:val="0"/>
        <w:autoSpaceDN w:val="0"/>
        <w:adjustRightInd w:val="0"/>
        <w:spacing w:after="0"/>
        <w:ind w:left="720"/>
        <w:rPr>
          <w:rFonts w:eastAsia="HelenPro-Regular"/>
        </w:rPr>
      </w:pPr>
      <w:r>
        <w:rPr>
          <w:rFonts w:eastAsia="HelenPro-Regular"/>
        </w:rPr>
        <w:t>• Review quality control results and acceptance criteria following a change of reagent or calibrator lot.</w:t>
      </w:r>
    </w:p>
    <w:p w:rsidR="00211FF5" w:rsidRDefault="00211FF5" w:rsidP="00071C60">
      <w:pPr>
        <w:spacing w:after="0"/>
        <w:rPr>
          <w:rFonts w:eastAsia="Times New Roman"/>
          <w:b/>
          <w:sz w:val="28"/>
          <w:szCs w:val="28"/>
        </w:rPr>
      </w:pPr>
    </w:p>
    <w:p w:rsidR="00211FF5" w:rsidRDefault="00211FF5" w:rsidP="00071C60">
      <w:pPr>
        <w:spacing w:after="0"/>
        <w:rPr>
          <w:b/>
          <w:sz w:val="28"/>
          <w:szCs w:val="28"/>
        </w:rPr>
      </w:pPr>
      <w:r>
        <w:rPr>
          <w:b/>
          <w:sz w:val="28"/>
          <w:szCs w:val="28"/>
        </w:rPr>
        <w:t xml:space="preserve">Procedure </w:t>
      </w:r>
    </w:p>
    <w:p w:rsidR="00211FF5" w:rsidRDefault="00211FF5" w:rsidP="00071C60">
      <w:pPr>
        <w:spacing w:after="0"/>
        <w:rPr>
          <w:b/>
          <w:sz w:val="24"/>
          <w:szCs w:val="24"/>
        </w:rPr>
      </w:pPr>
      <w:r>
        <w:rPr>
          <w:rFonts w:eastAsia="HelenPro-Regular"/>
        </w:rPr>
        <w:t xml:space="preserve">For a detailed description of how to run an assay, refer to the </w:t>
      </w:r>
      <w:r>
        <w:rPr>
          <w:b/>
          <w:bCs/>
        </w:rPr>
        <w:t>ARCHITECT System Operations Manual</w:t>
      </w:r>
      <w:r>
        <w:rPr>
          <w:rFonts w:eastAsia="HelenPro-Regular"/>
        </w:rPr>
        <w:t>.</w:t>
      </w:r>
    </w:p>
    <w:p w:rsidR="00211FF5" w:rsidRDefault="00211FF5" w:rsidP="00071C60">
      <w:pPr>
        <w:spacing w:after="0"/>
        <w:ind w:left="1530"/>
        <w:rPr>
          <w:rFonts w:eastAsia="HelenPro-Regular"/>
        </w:rPr>
      </w:pPr>
    </w:p>
    <w:p w:rsidR="00211FF5" w:rsidRDefault="00211FF5" w:rsidP="00071C60">
      <w:pPr>
        <w:spacing w:after="0"/>
        <w:jc w:val="both"/>
        <w:rPr>
          <w:sz w:val="28"/>
          <w:szCs w:val="28"/>
        </w:rPr>
      </w:pPr>
      <w:r>
        <w:rPr>
          <w:b/>
          <w:sz w:val="28"/>
          <w:szCs w:val="28"/>
        </w:rPr>
        <w:t>Reporting Results</w:t>
      </w:r>
      <w:r>
        <w:rPr>
          <w:sz w:val="28"/>
          <w:szCs w:val="28"/>
        </w:rPr>
        <w:t xml:space="preserve"> </w:t>
      </w:r>
    </w:p>
    <w:p w:rsidR="004E77E4" w:rsidRDefault="004E77E4" w:rsidP="00071C60">
      <w:pPr>
        <w:spacing w:after="0"/>
        <w:jc w:val="both"/>
        <w:rPr>
          <w:rFonts w:eastAsia="Times New Roman"/>
          <w:sz w:val="28"/>
          <w:szCs w:val="28"/>
        </w:rPr>
      </w:pPr>
    </w:p>
    <w:p w:rsidR="00211FF5" w:rsidRDefault="00211FF5" w:rsidP="00071C60">
      <w:pPr>
        <w:autoSpaceDE w:val="0"/>
        <w:autoSpaceDN w:val="0"/>
        <w:adjustRightInd w:val="0"/>
        <w:spacing w:after="0"/>
        <w:rPr>
          <w:rFonts w:eastAsia="HelenPro-Regular"/>
          <w:sz w:val="24"/>
          <w:szCs w:val="24"/>
        </w:rPr>
      </w:pPr>
      <w:r>
        <w:rPr>
          <w:rFonts w:eastAsia="HelenPro-Regular"/>
        </w:rPr>
        <w:t xml:space="preserve">For Rheumatoid Factor, results </w:t>
      </w:r>
      <w:r w:rsidR="00071C60">
        <w:rPr>
          <w:rFonts w:eastAsia="HelenPro-Regular"/>
        </w:rPr>
        <w:t xml:space="preserve">are reported as </w:t>
      </w:r>
      <w:r>
        <w:rPr>
          <w:rFonts w:eastAsia="HelenPro-Regular"/>
        </w:rPr>
        <w:t>IU/mL</w:t>
      </w:r>
    </w:p>
    <w:p w:rsidR="00211FF5" w:rsidRDefault="00211FF5" w:rsidP="00071C60">
      <w:pPr>
        <w:spacing w:after="0"/>
        <w:rPr>
          <w:rFonts w:ascii="Arial" w:hAnsi="Arial" w:cs="Arial"/>
          <w:b/>
          <w:bCs/>
        </w:rPr>
      </w:pPr>
      <w:r>
        <w:rPr>
          <w:rFonts w:ascii="Arial" w:hAnsi="Arial" w:cs="Arial"/>
          <w:b/>
          <w:bCs/>
        </w:rPr>
        <w:t xml:space="preserve">Reference Ranges </w:t>
      </w:r>
    </w:p>
    <w:p w:rsidR="004E77E4" w:rsidRDefault="004E77E4" w:rsidP="00071C60">
      <w:pPr>
        <w:spacing w:after="0"/>
        <w:rPr>
          <w:rFonts w:ascii="Arial" w:eastAsia="Times New Roman" w:hAnsi="Arial" w:cs="Arial"/>
          <w:b/>
          <w:bCs/>
        </w:rPr>
      </w:pPr>
    </w:p>
    <w:p w:rsidR="00211FF5" w:rsidRDefault="00211FF5" w:rsidP="00071C60">
      <w:pPr>
        <w:spacing w:after="0"/>
        <w:rPr>
          <w:rFonts w:ascii="Arial" w:hAnsi="Arial" w:cs="Arial"/>
          <w:b/>
          <w:bCs/>
        </w:rPr>
      </w:pPr>
      <w:r>
        <w:rPr>
          <w:rFonts w:ascii="Arial" w:hAnsi="Arial" w:cs="Arial"/>
          <w:b/>
          <w:bCs/>
        </w:rPr>
        <w:t xml:space="preserve">Serum </w:t>
      </w:r>
    </w:p>
    <w:p w:rsidR="00211FF5" w:rsidRDefault="00211FF5" w:rsidP="006635AD">
      <w:pPr>
        <w:autoSpaceDE w:val="0"/>
        <w:autoSpaceDN w:val="0"/>
        <w:adjustRightInd w:val="0"/>
        <w:spacing w:after="0"/>
        <w:rPr>
          <w:bCs/>
        </w:rPr>
      </w:pPr>
      <w:r>
        <w:rPr>
          <w:noProof/>
        </w:rPr>
        <w:drawing>
          <wp:inline distT="0" distB="0" distL="0" distR="0">
            <wp:extent cx="2695575" cy="466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5575" cy="466725"/>
                    </a:xfrm>
                    <a:prstGeom prst="rect">
                      <a:avLst/>
                    </a:prstGeom>
                    <a:noFill/>
                    <a:ln>
                      <a:noFill/>
                    </a:ln>
                  </pic:spPr>
                </pic:pic>
              </a:graphicData>
            </a:graphic>
          </wp:inline>
        </w:drawing>
      </w:r>
      <w:r>
        <w:rPr>
          <w:rFonts w:eastAsia="HelenPro-Regular"/>
        </w:rPr>
        <w:t xml:space="preserve">                                                       </w:t>
      </w:r>
    </w:p>
    <w:p w:rsidR="00211FF5" w:rsidRDefault="00211FF5" w:rsidP="006635AD">
      <w:pPr>
        <w:spacing w:after="0"/>
        <w:ind w:right="720"/>
        <w:jc w:val="both"/>
        <w:rPr>
          <w:b/>
          <w:sz w:val="28"/>
          <w:szCs w:val="28"/>
        </w:rPr>
      </w:pPr>
      <w:r>
        <w:rPr>
          <w:b/>
        </w:rPr>
        <w:t>Critical Values</w:t>
      </w:r>
      <w:r w:rsidR="006635AD">
        <w:rPr>
          <w:b/>
        </w:rPr>
        <w:t>:  NA</w:t>
      </w:r>
    </w:p>
    <w:p w:rsidR="00211FF5" w:rsidRDefault="00211FF5" w:rsidP="00071C60">
      <w:pPr>
        <w:spacing w:after="0"/>
        <w:rPr>
          <w:b/>
          <w:sz w:val="28"/>
          <w:szCs w:val="28"/>
        </w:rPr>
      </w:pPr>
    </w:p>
    <w:p w:rsidR="004E77E4" w:rsidRDefault="004E77E4" w:rsidP="00071C60">
      <w:pPr>
        <w:spacing w:after="0"/>
        <w:rPr>
          <w:b/>
          <w:sz w:val="28"/>
          <w:szCs w:val="28"/>
        </w:rPr>
      </w:pPr>
    </w:p>
    <w:p w:rsidR="00211FF5" w:rsidRDefault="00211FF5" w:rsidP="00071C60">
      <w:pPr>
        <w:spacing w:after="0"/>
        <w:rPr>
          <w:i/>
          <w:color w:val="FF0000"/>
          <w:sz w:val="28"/>
          <w:szCs w:val="28"/>
        </w:rPr>
      </w:pPr>
      <w:r>
        <w:rPr>
          <w:b/>
          <w:sz w:val="28"/>
          <w:szCs w:val="28"/>
        </w:rPr>
        <w:lastRenderedPageBreak/>
        <w:t xml:space="preserve">Performance Characteristics </w:t>
      </w:r>
    </w:p>
    <w:p w:rsidR="00211FF5" w:rsidRPr="00D9788F" w:rsidRDefault="00D9788F" w:rsidP="00071C60">
      <w:pPr>
        <w:autoSpaceDE w:val="0"/>
        <w:autoSpaceDN w:val="0"/>
        <w:adjustRightInd w:val="0"/>
        <w:spacing w:after="0"/>
        <w:rPr>
          <w:rFonts w:eastAsia="HelenPro-Bold"/>
          <w:bCs/>
          <w:sz w:val="24"/>
          <w:szCs w:val="24"/>
        </w:rPr>
      </w:pPr>
      <w:r w:rsidRPr="00D9788F">
        <w:rPr>
          <w:rFonts w:eastAsia="HelenPro-Bold"/>
          <w:bCs/>
          <w:sz w:val="24"/>
          <w:szCs w:val="24"/>
        </w:rPr>
        <w:t>Analytical Measuring Range</w:t>
      </w:r>
      <w:r>
        <w:rPr>
          <w:rFonts w:eastAsia="HelenPro-Bold"/>
          <w:bCs/>
          <w:sz w:val="24"/>
          <w:szCs w:val="24"/>
        </w:rPr>
        <w:t xml:space="preserve"> (AMR)</w:t>
      </w:r>
      <w:r w:rsidRPr="00D9788F">
        <w:rPr>
          <w:rFonts w:eastAsia="HelenPro-Bold"/>
          <w:bCs/>
          <w:sz w:val="24"/>
          <w:szCs w:val="24"/>
        </w:rPr>
        <w:t xml:space="preserve"> is 15.0 – 200 IU/mL</w:t>
      </w:r>
    </w:p>
    <w:p w:rsidR="00211FF5" w:rsidRDefault="00211FF5" w:rsidP="00071C60">
      <w:pPr>
        <w:autoSpaceDE w:val="0"/>
        <w:autoSpaceDN w:val="0"/>
        <w:adjustRightInd w:val="0"/>
        <w:spacing w:after="0"/>
        <w:rPr>
          <w:rFonts w:eastAsia="HelenPro-Bold"/>
          <w:b/>
          <w:bCs/>
        </w:rPr>
      </w:pPr>
      <w:r>
        <w:rPr>
          <w:rFonts w:eastAsia="HelenPro-Bold"/>
          <w:b/>
          <w:bCs/>
        </w:rPr>
        <w:t xml:space="preserve">Reportable Range </w:t>
      </w:r>
    </w:p>
    <w:p w:rsidR="00211FF5" w:rsidRDefault="00211FF5" w:rsidP="00071C60">
      <w:pPr>
        <w:autoSpaceDE w:val="0"/>
        <w:autoSpaceDN w:val="0"/>
        <w:adjustRightInd w:val="0"/>
        <w:spacing w:after="0"/>
        <w:rPr>
          <w:rFonts w:eastAsia="HelenPro-Regular"/>
        </w:rPr>
      </w:pPr>
      <w:r>
        <w:rPr>
          <w:rFonts w:eastAsia="HelenPro-Regular"/>
        </w:rPr>
        <w:t>The reportable range for Rheumatoid Factor is 15.0 to 20</w:t>
      </w:r>
      <w:r w:rsidR="008263F2">
        <w:rPr>
          <w:rFonts w:eastAsia="HelenPro-Regular"/>
        </w:rPr>
        <w:t>00</w:t>
      </w:r>
      <w:r>
        <w:rPr>
          <w:rFonts w:eastAsia="HelenPro-Regular"/>
        </w:rPr>
        <w:t>.0 IU/mL.</w:t>
      </w:r>
      <w:r w:rsidR="008263F2">
        <w:rPr>
          <w:rFonts w:eastAsia="HelenPro-Regular"/>
        </w:rPr>
        <w:t xml:space="preserve"> Results above 2000 IU/mL after a 1:10 dilution should be report</w:t>
      </w:r>
      <w:r w:rsidR="00256191">
        <w:rPr>
          <w:rFonts w:eastAsia="HelenPro-Regular"/>
        </w:rPr>
        <w:t>ed</w:t>
      </w:r>
      <w:r w:rsidR="008263F2">
        <w:rPr>
          <w:rFonts w:eastAsia="HelenPro-Regular"/>
        </w:rPr>
        <w:t xml:space="preserve"> as &gt;2000 IU/mL.</w:t>
      </w:r>
    </w:p>
    <w:p w:rsidR="00211FF5" w:rsidRDefault="00211FF5" w:rsidP="00071C60">
      <w:pPr>
        <w:autoSpaceDE w:val="0"/>
        <w:autoSpaceDN w:val="0"/>
        <w:adjustRightInd w:val="0"/>
        <w:spacing w:after="0"/>
        <w:rPr>
          <w:rFonts w:eastAsia="HelenPro-Bold"/>
          <w:b/>
          <w:bCs/>
        </w:rPr>
      </w:pPr>
    </w:p>
    <w:p w:rsidR="00211FF5" w:rsidRDefault="00211FF5" w:rsidP="00071C60">
      <w:pPr>
        <w:autoSpaceDE w:val="0"/>
        <w:autoSpaceDN w:val="0"/>
        <w:adjustRightInd w:val="0"/>
        <w:spacing w:after="0"/>
        <w:rPr>
          <w:rFonts w:eastAsia="HelenPro-Bold"/>
          <w:b/>
          <w:bCs/>
        </w:rPr>
      </w:pPr>
      <w:r>
        <w:rPr>
          <w:rFonts w:eastAsia="HelenPro-Bold"/>
          <w:b/>
          <w:bCs/>
        </w:rPr>
        <w:t>Limit of Quantitation (LOQ)</w:t>
      </w:r>
    </w:p>
    <w:p w:rsidR="00211FF5" w:rsidRDefault="00211FF5" w:rsidP="00071C60">
      <w:pPr>
        <w:spacing w:after="0"/>
        <w:rPr>
          <w:rFonts w:eastAsia="HelenPro-Bold"/>
          <w:b/>
          <w:bCs/>
        </w:rPr>
      </w:pPr>
      <w:r>
        <w:rPr>
          <w:rFonts w:eastAsia="HelenPro-Regular"/>
        </w:rPr>
        <w:t>The LOQ for Rheumatoid Factor is 15.0 IU/mL.</w:t>
      </w:r>
    </w:p>
    <w:p w:rsidR="00211FF5" w:rsidRDefault="00211FF5" w:rsidP="00071C60">
      <w:pPr>
        <w:spacing w:after="0"/>
        <w:rPr>
          <w:rFonts w:eastAsia="HelenPro-Bold"/>
          <w:b/>
          <w:bCs/>
        </w:rPr>
      </w:pPr>
    </w:p>
    <w:p w:rsidR="00211FF5" w:rsidRDefault="00211FF5" w:rsidP="00071C60">
      <w:pPr>
        <w:spacing w:after="0"/>
        <w:rPr>
          <w:rFonts w:eastAsia="HelenPro-Bold"/>
          <w:b/>
          <w:bCs/>
        </w:rPr>
      </w:pPr>
      <w:r>
        <w:rPr>
          <w:rFonts w:eastAsia="HelenPro-Bold"/>
          <w:b/>
          <w:bCs/>
        </w:rPr>
        <w:t xml:space="preserve">Dilution: </w:t>
      </w:r>
    </w:p>
    <w:p w:rsidR="00211FF5" w:rsidRDefault="00211FF5" w:rsidP="00071C60">
      <w:pPr>
        <w:autoSpaceDE w:val="0"/>
        <w:autoSpaceDN w:val="0"/>
        <w:adjustRightInd w:val="0"/>
        <w:spacing w:after="0"/>
        <w:rPr>
          <w:rFonts w:eastAsia="HelenPro-Regular"/>
        </w:rPr>
      </w:pPr>
      <w:r>
        <w:rPr>
          <w:rFonts w:eastAsia="HelenPro-Bold"/>
          <w:b/>
          <w:bCs/>
        </w:rPr>
        <w:t xml:space="preserve">Serum: </w:t>
      </w:r>
      <w:r>
        <w:rPr>
          <w:rFonts w:eastAsia="HelenPro-Regular"/>
        </w:rPr>
        <w:t>Specimens with rheumatoid factor values exceeding 200.0 IU/mL are flagged and may be diluted by following either the Automated Dilution Protocol or the Manual Dilution Procedure.</w:t>
      </w:r>
    </w:p>
    <w:p w:rsidR="00211FF5" w:rsidRDefault="00211FF5" w:rsidP="00071C60">
      <w:pPr>
        <w:autoSpaceDE w:val="0"/>
        <w:autoSpaceDN w:val="0"/>
        <w:adjustRightInd w:val="0"/>
        <w:spacing w:after="0"/>
        <w:rPr>
          <w:rFonts w:eastAsia="HelenPro-Bold"/>
          <w:b/>
          <w:bCs/>
        </w:rPr>
      </w:pPr>
    </w:p>
    <w:p w:rsidR="00211FF5" w:rsidRDefault="00211FF5" w:rsidP="00071C60">
      <w:pPr>
        <w:autoSpaceDE w:val="0"/>
        <w:autoSpaceDN w:val="0"/>
        <w:adjustRightInd w:val="0"/>
        <w:spacing w:after="0"/>
        <w:rPr>
          <w:rFonts w:eastAsia="HelenPro-Bold"/>
          <w:b/>
          <w:bCs/>
        </w:rPr>
      </w:pPr>
      <w:r>
        <w:rPr>
          <w:rFonts w:eastAsia="HelenPro-Bold"/>
          <w:b/>
          <w:bCs/>
        </w:rPr>
        <w:t>Automated Dilution Protocol</w:t>
      </w:r>
    </w:p>
    <w:p w:rsidR="00211FF5" w:rsidRDefault="008263F2" w:rsidP="00071C60">
      <w:pPr>
        <w:autoSpaceDE w:val="0"/>
        <w:autoSpaceDN w:val="0"/>
        <w:adjustRightInd w:val="0"/>
        <w:spacing w:after="0"/>
        <w:rPr>
          <w:rFonts w:eastAsia="HelenPro-Regular"/>
        </w:rPr>
      </w:pPr>
      <w:r>
        <w:rPr>
          <w:rFonts w:eastAsia="HelenPro-Regular"/>
        </w:rPr>
        <w:t>T</w:t>
      </w:r>
      <w:r w:rsidR="00211FF5">
        <w:rPr>
          <w:rFonts w:eastAsia="HelenPro-Regular"/>
        </w:rPr>
        <w:t>he Automated Dilution Protocol</w:t>
      </w:r>
      <w:r>
        <w:rPr>
          <w:rFonts w:eastAsia="HelenPro-Regular"/>
        </w:rPr>
        <w:t xml:space="preserve"> will </w:t>
      </w:r>
      <w:r w:rsidR="00211FF5">
        <w:rPr>
          <w:rFonts w:eastAsia="HelenPro-Regular"/>
        </w:rPr>
        <w:t>perform a 1:5 or 1:10 dilution of the specimen and automatically correct the concentration by multiplying the result by the appropriate dilution factor.</w:t>
      </w:r>
    </w:p>
    <w:p w:rsidR="00211FF5" w:rsidRDefault="00211FF5" w:rsidP="00071C60">
      <w:pPr>
        <w:autoSpaceDE w:val="0"/>
        <w:autoSpaceDN w:val="0"/>
        <w:adjustRightInd w:val="0"/>
        <w:spacing w:after="0"/>
        <w:rPr>
          <w:rFonts w:eastAsia="HelenPro-Bold"/>
          <w:b/>
          <w:bCs/>
        </w:rPr>
      </w:pPr>
      <w:r>
        <w:rPr>
          <w:rFonts w:eastAsia="HelenPro-Bold"/>
          <w:b/>
          <w:bCs/>
        </w:rPr>
        <w:t>Manual Dilution Procedure</w:t>
      </w:r>
    </w:p>
    <w:p w:rsidR="00211FF5" w:rsidRDefault="00211FF5" w:rsidP="00071C60">
      <w:pPr>
        <w:autoSpaceDE w:val="0"/>
        <w:autoSpaceDN w:val="0"/>
        <w:adjustRightInd w:val="0"/>
        <w:spacing w:after="0"/>
        <w:rPr>
          <w:rFonts w:eastAsia="HelenPro-Regular"/>
        </w:rPr>
      </w:pPr>
      <w:r>
        <w:rPr>
          <w:rFonts w:eastAsia="HelenPro-Regular"/>
        </w:rPr>
        <w:t>Manual dilutions should be performed as follows:</w:t>
      </w:r>
    </w:p>
    <w:p w:rsidR="00211FF5" w:rsidRDefault="00211FF5" w:rsidP="00071C60">
      <w:pPr>
        <w:autoSpaceDE w:val="0"/>
        <w:autoSpaceDN w:val="0"/>
        <w:adjustRightInd w:val="0"/>
        <w:spacing w:after="0"/>
        <w:rPr>
          <w:rFonts w:eastAsia="HelenPro-Regular"/>
        </w:rPr>
      </w:pPr>
      <w:r>
        <w:rPr>
          <w:rFonts w:eastAsia="HelenPro-Regular"/>
        </w:rPr>
        <w:t>• Use saline (0.85% to 0.90% NaCl) to dilute the sample.</w:t>
      </w:r>
    </w:p>
    <w:p w:rsidR="00211FF5" w:rsidRDefault="00211FF5" w:rsidP="00071C60">
      <w:pPr>
        <w:autoSpaceDE w:val="0"/>
        <w:autoSpaceDN w:val="0"/>
        <w:adjustRightInd w:val="0"/>
        <w:spacing w:after="0"/>
        <w:rPr>
          <w:rFonts w:eastAsia="HelenPro-Regular"/>
        </w:rPr>
      </w:pPr>
      <w:r>
        <w:rPr>
          <w:rFonts w:eastAsia="HelenPro-Regular"/>
        </w:rPr>
        <w:t>• The operator must enter the dilution factor in the patient or control order screen. The system uses this dilution factor to automatically correct the concentration by multiplying the result by the entered factor.</w:t>
      </w:r>
    </w:p>
    <w:p w:rsidR="00211FF5" w:rsidRDefault="00211FF5" w:rsidP="00071C60">
      <w:pPr>
        <w:autoSpaceDE w:val="0"/>
        <w:autoSpaceDN w:val="0"/>
        <w:adjustRightInd w:val="0"/>
        <w:spacing w:after="0"/>
        <w:rPr>
          <w:rFonts w:eastAsia="HelenPro-Regular"/>
        </w:rPr>
      </w:pPr>
      <w:r>
        <w:rPr>
          <w:rFonts w:eastAsia="HelenPro-Regular"/>
        </w:rPr>
        <w:t>• If the operator does not enter the dilution factor, the result must be multiplied by the appropriate dilution factor before reporting the result.</w:t>
      </w:r>
    </w:p>
    <w:p w:rsidR="00211FF5" w:rsidRDefault="00211FF5" w:rsidP="00071C60">
      <w:pPr>
        <w:autoSpaceDE w:val="0"/>
        <w:autoSpaceDN w:val="0"/>
        <w:adjustRightInd w:val="0"/>
        <w:spacing w:after="0"/>
        <w:rPr>
          <w:rFonts w:eastAsia="HelenPro-Regular"/>
        </w:rPr>
      </w:pPr>
      <w:r>
        <w:rPr>
          <w:rFonts w:eastAsia="HelenPro-Bold"/>
          <w:b/>
          <w:bCs/>
        </w:rPr>
        <w:t xml:space="preserve">NOTE: </w:t>
      </w:r>
      <w:r>
        <w:rPr>
          <w:rFonts w:eastAsia="HelenPro-Regular"/>
        </w:rPr>
        <w:t>If a diluted sample result is flagged indicating it is less than the linear low limit, do not report the result. Rerun using an appropriate dilution.</w:t>
      </w:r>
    </w:p>
    <w:p w:rsidR="00211FF5" w:rsidRDefault="00211FF5" w:rsidP="00071C60">
      <w:pPr>
        <w:autoSpaceDE w:val="0"/>
        <w:autoSpaceDN w:val="0"/>
        <w:adjustRightInd w:val="0"/>
        <w:spacing w:after="0"/>
        <w:rPr>
          <w:rFonts w:eastAsia="HelenPro-Regular"/>
        </w:rPr>
      </w:pPr>
      <w:r>
        <w:rPr>
          <w:rFonts w:eastAsia="HelenPro-Regular"/>
        </w:rPr>
        <w:t xml:space="preserve">For detailed information on ordering dilutions, refer to </w:t>
      </w:r>
      <w:r>
        <w:rPr>
          <w:rFonts w:eastAsia="HelenPro-Bold"/>
          <w:i/>
          <w:iCs/>
        </w:rPr>
        <w:t xml:space="preserve">Section 5 </w:t>
      </w:r>
      <w:r>
        <w:rPr>
          <w:rFonts w:eastAsia="HelenPro-Regular"/>
        </w:rPr>
        <w:t xml:space="preserve">of the </w:t>
      </w:r>
      <w:r>
        <w:rPr>
          <w:rFonts w:eastAsia="HelenPro-Bold"/>
          <w:b/>
          <w:bCs/>
        </w:rPr>
        <w:t>ARCHITECT System Operations Manual</w:t>
      </w:r>
      <w:r>
        <w:rPr>
          <w:rFonts w:eastAsia="HelenPro-Regular"/>
        </w:rPr>
        <w:t>.</w:t>
      </w:r>
    </w:p>
    <w:p w:rsidR="00211FF5" w:rsidRDefault="00211FF5" w:rsidP="00071C60">
      <w:pPr>
        <w:autoSpaceDE w:val="0"/>
        <w:autoSpaceDN w:val="0"/>
        <w:adjustRightInd w:val="0"/>
        <w:spacing w:after="0"/>
        <w:rPr>
          <w:rFonts w:eastAsia="HelenPro-Regular"/>
        </w:rPr>
      </w:pPr>
      <w:r>
        <w:rPr>
          <w:rFonts w:eastAsia="HelenPro-Regular"/>
        </w:rPr>
        <w:t>Error code 1054 indicates antigen excess. Dilute specimens and rerun. Specimens with rheumatoid factor values greater than 200.0 IU/mL up to 5,557.6 IU/mL were tested, and the results were flagged appropriately.</w:t>
      </w:r>
    </w:p>
    <w:p w:rsidR="00211FF5" w:rsidRDefault="00211FF5" w:rsidP="00071C60">
      <w:pPr>
        <w:spacing w:after="0"/>
        <w:rPr>
          <w:rFonts w:eastAsia="HelenPro-Regular"/>
        </w:rPr>
      </w:pPr>
      <w:r>
        <w:rPr>
          <w:b/>
          <w:color w:val="000000"/>
        </w:rPr>
        <w:t xml:space="preserve">Precision: </w:t>
      </w:r>
    </w:p>
    <w:p w:rsidR="00211FF5" w:rsidRDefault="00211FF5" w:rsidP="00071C60">
      <w:pPr>
        <w:autoSpaceDE w:val="0"/>
        <w:autoSpaceDN w:val="0"/>
        <w:adjustRightInd w:val="0"/>
        <w:spacing w:after="0"/>
        <w:rPr>
          <w:rFonts w:eastAsia="HelenPro-Regular"/>
        </w:rPr>
      </w:pPr>
      <w:r>
        <w:rPr>
          <w:rFonts w:eastAsia="HelenPro-Regular"/>
        </w:rPr>
        <w:t xml:space="preserve">The imprecision of the Rheumatoid Factor assay for results ≥ 30 IU/mL is ≤ 5% Total CV, and for results &lt; 30 IU/mL the SD is </w:t>
      </w:r>
      <w:r>
        <w:rPr>
          <w:rFonts w:eastAsia="HelenPro-Light"/>
        </w:rPr>
        <w:t xml:space="preserve">≤ </w:t>
      </w:r>
      <w:r>
        <w:rPr>
          <w:rFonts w:eastAsia="HelenPro-Regular"/>
        </w:rPr>
        <w:t>3 IU/mL.</w:t>
      </w:r>
    </w:p>
    <w:p w:rsidR="00211FF5" w:rsidRDefault="00211FF5" w:rsidP="00071C60">
      <w:pPr>
        <w:autoSpaceDE w:val="0"/>
        <w:autoSpaceDN w:val="0"/>
        <w:adjustRightInd w:val="0"/>
        <w:spacing w:after="0"/>
        <w:rPr>
          <w:rFonts w:eastAsia="HelenPro-Regular"/>
        </w:rPr>
      </w:pPr>
      <w:r>
        <w:rPr>
          <w:noProof/>
        </w:rPr>
        <w:lastRenderedPageBreak/>
        <w:drawing>
          <wp:inline distT="0" distB="0" distL="0" distR="0">
            <wp:extent cx="4210050" cy="2219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0050" cy="2219325"/>
                    </a:xfrm>
                    <a:prstGeom prst="rect">
                      <a:avLst/>
                    </a:prstGeom>
                    <a:noFill/>
                    <a:ln>
                      <a:noFill/>
                    </a:ln>
                  </pic:spPr>
                </pic:pic>
              </a:graphicData>
            </a:graphic>
          </wp:inline>
        </w:drawing>
      </w:r>
    </w:p>
    <w:p w:rsidR="00211FF5" w:rsidRDefault="00211FF5" w:rsidP="00071C60">
      <w:pPr>
        <w:pStyle w:val="Heading4"/>
        <w:spacing w:after="0"/>
        <w:rPr>
          <w:sz w:val="24"/>
          <w:szCs w:val="24"/>
        </w:rPr>
      </w:pPr>
      <w:r>
        <w:rPr>
          <w:sz w:val="24"/>
          <w:szCs w:val="24"/>
        </w:rPr>
        <w:t xml:space="preserve">Limitations of Procedure </w:t>
      </w:r>
    </w:p>
    <w:p w:rsidR="00211FF5" w:rsidRDefault="00211FF5" w:rsidP="00071C60">
      <w:pPr>
        <w:autoSpaceDE w:val="0"/>
        <w:autoSpaceDN w:val="0"/>
        <w:adjustRightInd w:val="0"/>
        <w:spacing w:after="0"/>
        <w:rPr>
          <w:rFonts w:eastAsia="HelenPro-Regular"/>
          <w:sz w:val="24"/>
          <w:szCs w:val="24"/>
        </w:rPr>
      </w:pPr>
      <w:r>
        <w:rPr>
          <w:rFonts w:eastAsia="HelenPro-Regular"/>
        </w:rPr>
        <w:t>N/A</w:t>
      </w:r>
    </w:p>
    <w:p w:rsidR="00211FF5" w:rsidRDefault="00211FF5" w:rsidP="00071C60">
      <w:pPr>
        <w:autoSpaceDE w:val="0"/>
        <w:autoSpaceDN w:val="0"/>
        <w:adjustRightInd w:val="0"/>
        <w:spacing w:after="0"/>
        <w:rPr>
          <w:rFonts w:eastAsia="HelenPro-Bold"/>
          <w:b/>
          <w:bCs/>
        </w:rPr>
      </w:pPr>
    </w:p>
    <w:p w:rsidR="00211FF5" w:rsidRDefault="00211FF5" w:rsidP="00071C60">
      <w:pPr>
        <w:autoSpaceDE w:val="0"/>
        <w:autoSpaceDN w:val="0"/>
        <w:adjustRightInd w:val="0"/>
        <w:spacing w:after="0"/>
        <w:rPr>
          <w:rFonts w:eastAsia="HelenPro-Bold"/>
          <w:b/>
          <w:bCs/>
        </w:rPr>
      </w:pPr>
      <w:r>
        <w:rPr>
          <w:rFonts w:eastAsia="HelenPro-Bold"/>
          <w:b/>
          <w:bCs/>
        </w:rPr>
        <w:t>Interfering Substances</w:t>
      </w:r>
    </w:p>
    <w:p w:rsidR="00211FF5" w:rsidRDefault="00211FF5" w:rsidP="00071C60">
      <w:pPr>
        <w:spacing w:after="0"/>
        <w:jc w:val="both"/>
        <w:rPr>
          <w:rFonts w:eastAsia="Times New Roman"/>
          <w:b/>
        </w:rPr>
      </w:pPr>
      <w:r>
        <w:rPr>
          <w:noProof/>
        </w:rPr>
        <w:drawing>
          <wp:inline distT="0" distB="0" distL="0" distR="0">
            <wp:extent cx="4219575" cy="2009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9575" cy="2009775"/>
                    </a:xfrm>
                    <a:prstGeom prst="rect">
                      <a:avLst/>
                    </a:prstGeom>
                    <a:noFill/>
                    <a:ln>
                      <a:noFill/>
                    </a:ln>
                  </pic:spPr>
                </pic:pic>
              </a:graphicData>
            </a:graphic>
          </wp:inline>
        </w:drawing>
      </w:r>
    </w:p>
    <w:p w:rsidR="00211FF5" w:rsidRDefault="00211FF5" w:rsidP="00071C60">
      <w:pPr>
        <w:autoSpaceDE w:val="0"/>
        <w:autoSpaceDN w:val="0"/>
        <w:adjustRightInd w:val="0"/>
        <w:spacing w:after="0"/>
        <w:rPr>
          <w:rFonts w:eastAsia="HelenPro-Regular"/>
        </w:rPr>
      </w:pPr>
      <w:r>
        <w:rPr>
          <w:rFonts w:eastAsia="HelenPro-Regular"/>
        </w:rPr>
        <w:t>Pharmaceuticals listed below may affect rheumatoid factor concentration.</w:t>
      </w:r>
    </w:p>
    <w:p w:rsidR="00211FF5" w:rsidRDefault="00211FF5" w:rsidP="00071C60">
      <w:pPr>
        <w:autoSpaceDE w:val="0"/>
        <w:autoSpaceDN w:val="0"/>
        <w:adjustRightInd w:val="0"/>
        <w:spacing w:after="0"/>
        <w:rPr>
          <w:rFonts w:eastAsia="HelenPro-Regular"/>
        </w:rPr>
      </w:pPr>
      <w:r>
        <w:rPr>
          <w:rFonts w:eastAsia="HelenPro-Regular"/>
        </w:rPr>
        <w:t>1. Interferon Alfa-2a and methotrexate may decrease serum rheumatoid factor levels.</w:t>
      </w:r>
    </w:p>
    <w:p w:rsidR="00211FF5" w:rsidRDefault="00211FF5" w:rsidP="00071C60">
      <w:pPr>
        <w:autoSpaceDE w:val="0"/>
        <w:autoSpaceDN w:val="0"/>
        <w:adjustRightInd w:val="0"/>
        <w:spacing w:after="0"/>
        <w:rPr>
          <w:rFonts w:eastAsia="HelenPro-Regular"/>
        </w:rPr>
      </w:pPr>
      <w:r>
        <w:rPr>
          <w:rFonts w:eastAsia="HelenPro-Regular"/>
        </w:rPr>
        <w:t>2. Penicillamine, pentopril, and timegadine have no significant effect on serum rheumatoid factor levels.</w:t>
      </w:r>
    </w:p>
    <w:p w:rsidR="00211FF5" w:rsidRDefault="00211FF5" w:rsidP="00071C60">
      <w:pPr>
        <w:autoSpaceDE w:val="0"/>
        <w:autoSpaceDN w:val="0"/>
        <w:adjustRightInd w:val="0"/>
        <w:spacing w:after="0"/>
        <w:rPr>
          <w:rFonts w:eastAsia="HelenPro-Regular"/>
        </w:rPr>
      </w:pPr>
      <w:r>
        <w:rPr>
          <w:rFonts w:eastAsia="HelenPro-Regular"/>
        </w:rPr>
        <w:t>3. Methyldopa, oral contraceptives, and oxyphenisatin may increase serum rheumatoid factor levels.</w:t>
      </w:r>
    </w:p>
    <w:p w:rsidR="00211FF5" w:rsidRDefault="00211FF5" w:rsidP="00071C60">
      <w:pPr>
        <w:autoSpaceDE w:val="0"/>
        <w:autoSpaceDN w:val="0"/>
        <w:adjustRightInd w:val="0"/>
        <w:spacing w:after="0"/>
        <w:rPr>
          <w:rFonts w:eastAsia="HelenPro-Regular"/>
        </w:rPr>
      </w:pPr>
      <w:r>
        <w:rPr>
          <w:rFonts w:eastAsia="HelenPro-Regular"/>
        </w:rPr>
        <w:t>4. Nonsteroidal anti-inflammatory drugs may decrease or have no significant effect on serum rheumatoid factor levels.</w:t>
      </w:r>
    </w:p>
    <w:p w:rsidR="00211FF5" w:rsidRDefault="00211FF5" w:rsidP="00071C60">
      <w:pPr>
        <w:spacing w:after="0"/>
        <w:jc w:val="both"/>
        <w:rPr>
          <w:b/>
        </w:rPr>
      </w:pPr>
      <w:r>
        <w:rPr>
          <w:b/>
        </w:rPr>
        <w:t xml:space="preserve">References: </w:t>
      </w:r>
    </w:p>
    <w:p w:rsidR="00211FF5" w:rsidRDefault="00211FF5" w:rsidP="00071C60">
      <w:pPr>
        <w:pStyle w:val="ListParagraph"/>
        <w:numPr>
          <w:ilvl w:val="0"/>
          <w:numId w:val="2"/>
        </w:numPr>
        <w:rPr>
          <w:rFonts w:ascii="Arial" w:hAnsi="Arial" w:cs="Arial"/>
          <w:sz w:val="22"/>
          <w:szCs w:val="22"/>
        </w:rPr>
      </w:pPr>
      <w:r>
        <w:rPr>
          <w:rFonts w:ascii="Arial" w:hAnsi="Arial" w:cs="Arial"/>
          <w:sz w:val="22"/>
          <w:szCs w:val="22"/>
        </w:rPr>
        <w:t>ABBOTT ARCHITECT RF package insert</w:t>
      </w:r>
    </w:p>
    <w:p w:rsidR="00211FF5" w:rsidRDefault="00211FF5" w:rsidP="00071C60">
      <w:pPr>
        <w:pStyle w:val="ListParagraph"/>
        <w:rPr>
          <w:rFonts w:ascii="Arial" w:hAnsi="Arial" w:cs="Arial"/>
          <w:sz w:val="22"/>
          <w:szCs w:val="22"/>
        </w:rPr>
      </w:pPr>
      <w:r>
        <w:rPr>
          <w:rFonts w:ascii="Arial" w:hAnsi="Arial" w:cs="Arial"/>
          <w:sz w:val="22"/>
          <w:szCs w:val="22"/>
        </w:rPr>
        <w:t>Abbott Laboratories</w:t>
      </w:r>
    </w:p>
    <w:p w:rsidR="00211FF5" w:rsidRDefault="00211FF5" w:rsidP="00071C60">
      <w:pPr>
        <w:pStyle w:val="ListParagraph"/>
        <w:rPr>
          <w:rFonts w:ascii="Arial" w:hAnsi="Arial" w:cs="Arial"/>
          <w:sz w:val="22"/>
          <w:szCs w:val="22"/>
        </w:rPr>
      </w:pPr>
      <w:r>
        <w:rPr>
          <w:rFonts w:ascii="Arial" w:hAnsi="Arial" w:cs="Arial"/>
          <w:sz w:val="22"/>
          <w:szCs w:val="22"/>
        </w:rPr>
        <w:t>Diagnostics Division</w:t>
      </w:r>
    </w:p>
    <w:p w:rsidR="00211FF5" w:rsidRDefault="00211FF5" w:rsidP="00071C60">
      <w:pPr>
        <w:pStyle w:val="ListParagraph"/>
        <w:rPr>
          <w:rFonts w:ascii="Arial" w:hAnsi="Arial" w:cs="Arial"/>
          <w:sz w:val="22"/>
          <w:szCs w:val="22"/>
        </w:rPr>
      </w:pPr>
      <w:r>
        <w:rPr>
          <w:rFonts w:ascii="Arial" w:hAnsi="Arial" w:cs="Arial"/>
          <w:sz w:val="22"/>
          <w:szCs w:val="22"/>
        </w:rPr>
        <w:t>Abbott Park, IL  60064</w:t>
      </w:r>
    </w:p>
    <w:p w:rsidR="00211FF5" w:rsidRDefault="00211FF5" w:rsidP="00071C60">
      <w:pPr>
        <w:pStyle w:val="ListParagraph"/>
        <w:rPr>
          <w:rFonts w:eastAsia="HelenPro-Bold"/>
          <w:b/>
          <w:bCs/>
          <w:sz w:val="20"/>
          <w:szCs w:val="20"/>
        </w:rPr>
      </w:pPr>
      <w:r>
        <w:rPr>
          <w:rFonts w:ascii="Arial" w:hAnsi="Arial" w:cs="Arial"/>
          <w:bCs/>
          <w:sz w:val="22"/>
          <w:szCs w:val="22"/>
        </w:rPr>
        <w:t xml:space="preserve">Nov 2015 </w:t>
      </w:r>
      <w:r>
        <w:rPr>
          <w:rFonts w:eastAsia="HelenPro-Bold"/>
          <w:bCs/>
        </w:rPr>
        <w:t>306776/R03</w:t>
      </w:r>
    </w:p>
    <w:p w:rsidR="00211FF5" w:rsidRDefault="00211FF5" w:rsidP="00071C60">
      <w:pPr>
        <w:pStyle w:val="ListParagraph"/>
        <w:numPr>
          <w:ilvl w:val="0"/>
          <w:numId w:val="2"/>
        </w:numPr>
        <w:rPr>
          <w:rFonts w:eastAsia="HelenPro-Bold"/>
          <w:b/>
          <w:bCs/>
          <w:sz w:val="20"/>
          <w:szCs w:val="20"/>
        </w:rPr>
      </w:pPr>
      <w:r>
        <w:rPr>
          <w:rFonts w:ascii="Arial" w:hAnsi="Arial" w:cs="Arial"/>
          <w:sz w:val="22"/>
          <w:szCs w:val="22"/>
        </w:rPr>
        <w:t xml:space="preserve">ABBOTT ARCHITECT </w:t>
      </w:r>
      <w:r>
        <w:rPr>
          <w:rFonts w:eastAsia="HelenPro-Regular"/>
        </w:rPr>
        <w:t xml:space="preserve">RF </w:t>
      </w:r>
      <w:r>
        <w:rPr>
          <w:rFonts w:ascii="Arial" w:hAnsi="Arial" w:cs="Arial"/>
          <w:sz w:val="22"/>
          <w:szCs w:val="22"/>
        </w:rPr>
        <w:t>Calibrator package insert</w:t>
      </w:r>
    </w:p>
    <w:p w:rsidR="00211FF5" w:rsidRDefault="00211FF5" w:rsidP="00071C60">
      <w:pPr>
        <w:pStyle w:val="ListParagraph"/>
        <w:rPr>
          <w:rFonts w:ascii="Arial" w:hAnsi="Arial" w:cs="Arial"/>
          <w:sz w:val="22"/>
          <w:szCs w:val="22"/>
        </w:rPr>
      </w:pPr>
      <w:r>
        <w:rPr>
          <w:rFonts w:ascii="Arial" w:hAnsi="Arial" w:cs="Arial"/>
          <w:sz w:val="22"/>
          <w:szCs w:val="22"/>
        </w:rPr>
        <w:t>Abbott Laboratories</w:t>
      </w:r>
    </w:p>
    <w:p w:rsidR="00211FF5" w:rsidRDefault="00211FF5" w:rsidP="00071C60">
      <w:pPr>
        <w:pStyle w:val="ListParagraph"/>
        <w:rPr>
          <w:rFonts w:ascii="Arial" w:hAnsi="Arial" w:cs="Arial"/>
          <w:sz w:val="22"/>
          <w:szCs w:val="22"/>
        </w:rPr>
      </w:pPr>
      <w:r>
        <w:rPr>
          <w:rFonts w:ascii="Arial" w:hAnsi="Arial" w:cs="Arial"/>
          <w:sz w:val="22"/>
          <w:szCs w:val="22"/>
        </w:rPr>
        <w:t>Diagnostics Division</w:t>
      </w:r>
    </w:p>
    <w:p w:rsidR="00211FF5" w:rsidRPr="004E77E4" w:rsidRDefault="00211FF5" w:rsidP="00C61C34">
      <w:pPr>
        <w:pStyle w:val="ListParagraph"/>
        <w:numPr>
          <w:ilvl w:val="0"/>
          <w:numId w:val="2"/>
        </w:numPr>
        <w:jc w:val="both"/>
        <w:rPr>
          <w:sz w:val="20"/>
        </w:rPr>
      </w:pPr>
      <w:r>
        <w:t>Abbott ARCHITECT</w:t>
      </w:r>
      <w:r w:rsidRPr="003D2917">
        <w:rPr>
          <w:lang w:val="ru-RU"/>
        </w:rPr>
        <w:t xml:space="preserve"> Operator’s Guide</w:t>
      </w:r>
    </w:p>
    <w:sectPr w:rsidR="00211FF5" w:rsidRPr="004E77E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9D9" w:rsidRDefault="002809D9" w:rsidP="00BF0639">
      <w:pPr>
        <w:spacing w:after="0" w:line="240" w:lineRule="auto"/>
      </w:pPr>
      <w:r>
        <w:separator/>
      </w:r>
    </w:p>
  </w:endnote>
  <w:endnote w:type="continuationSeparator" w:id="0">
    <w:p w:rsidR="002809D9" w:rsidRDefault="002809D9" w:rsidP="00BF0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enPro-BoldCond">
    <w:altName w:val="DokChampa"/>
    <w:panose1 w:val="00000000000000000000"/>
    <w:charset w:val="4D"/>
    <w:family w:val="auto"/>
    <w:notTrueType/>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enPro-Regular">
    <w:altName w:val="MS Mincho"/>
    <w:panose1 w:val="00000000000000000000"/>
    <w:charset w:val="80"/>
    <w:family w:val="auto"/>
    <w:notTrueType/>
    <w:pitch w:val="default"/>
    <w:sig w:usb0="00000083" w:usb1="08070000" w:usb2="00000010" w:usb3="00000000" w:csb0="00020009" w:csb1="00000000"/>
  </w:font>
  <w:font w:name="HelenPro-Bold">
    <w:altName w:val="Yu Gothic"/>
    <w:panose1 w:val="00000000000000000000"/>
    <w:charset w:val="80"/>
    <w:family w:val="swiss"/>
    <w:notTrueType/>
    <w:pitch w:val="default"/>
    <w:sig w:usb0="00000083" w:usb1="08070000" w:usb2="00000010" w:usb3="00000000" w:csb0="00020009" w:csb1="00000000"/>
  </w:font>
  <w:font w:name="Arial">
    <w:panose1 w:val="020B0604020202020204"/>
    <w:charset w:val="00"/>
    <w:family w:val="swiss"/>
    <w:pitch w:val="variable"/>
    <w:sig w:usb0="E0002EFF" w:usb1="C000785B" w:usb2="00000009" w:usb3="00000000" w:csb0="000001FF" w:csb1="00000000"/>
  </w:font>
  <w:font w:name="HelenPro-Ligh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5816939"/>
      <w:docPartObj>
        <w:docPartGallery w:val="Page Numbers (Bottom of Page)"/>
        <w:docPartUnique/>
      </w:docPartObj>
    </w:sdtPr>
    <w:sdtEndPr/>
    <w:sdtContent>
      <w:sdt>
        <w:sdtPr>
          <w:id w:val="1728636285"/>
          <w:docPartObj>
            <w:docPartGallery w:val="Page Numbers (Top of Page)"/>
            <w:docPartUnique/>
          </w:docPartObj>
        </w:sdtPr>
        <w:sdtEndPr/>
        <w:sdtContent>
          <w:p w:rsidR="004E77E4" w:rsidRDefault="004E77E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4E77E4" w:rsidRDefault="004E7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9D9" w:rsidRDefault="002809D9" w:rsidP="00BF0639">
      <w:pPr>
        <w:spacing w:after="0" w:line="240" w:lineRule="auto"/>
      </w:pPr>
      <w:r>
        <w:separator/>
      </w:r>
    </w:p>
  </w:footnote>
  <w:footnote w:type="continuationSeparator" w:id="0">
    <w:p w:rsidR="002809D9" w:rsidRDefault="002809D9" w:rsidP="00BF06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15B17"/>
    <w:multiLevelType w:val="hybridMultilevel"/>
    <w:tmpl w:val="B2C49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82B0891"/>
    <w:multiLevelType w:val="hybridMultilevel"/>
    <w:tmpl w:val="867E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639"/>
    <w:rsid w:val="00071C60"/>
    <w:rsid w:val="00211FF5"/>
    <w:rsid w:val="00256191"/>
    <w:rsid w:val="002809D9"/>
    <w:rsid w:val="002A24E0"/>
    <w:rsid w:val="002F08E5"/>
    <w:rsid w:val="003D2917"/>
    <w:rsid w:val="003D785A"/>
    <w:rsid w:val="00410663"/>
    <w:rsid w:val="004E6E33"/>
    <w:rsid w:val="004E77E4"/>
    <w:rsid w:val="00567651"/>
    <w:rsid w:val="006635AD"/>
    <w:rsid w:val="006C5B29"/>
    <w:rsid w:val="006D342B"/>
    <w:rsid w:val="00736E46"/>
    <w:rsid w:val="008263F2"/>
    <w:rsid w:val="00A9608F"/>
    <w:rsid w:val="00BF0639"/>
    <w:rsid w:val="00C32446"/>
    <w:rsid w:val="00CC174F"/>
    <w:rsid w:val="00D24E2F"/>
    <w:rsid w:val="00D56E4E"/>
    <w:rsid w:val="00D9788F"/>
    <w:rsid w:val="00DC2142"/>
    <w:rsid w:val="00E579B0"/>
    <w:rsid w:val="00EA4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5EDB1-E97D-45A1-AF41-7C988ACF5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semiHidden/>
    <w:unhideWhenUsed/>
    <w:qFormat/>
    <w:rsid w:val="00211FF5"/>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639"/>
  </w:style>
  <w:style w:type="paragraph" w:styleId="Footer">
    <w:name w:val="footer"/>
    <w:basedOn w:val="Normal"/>
    <w:link w:val="FooterChar"/>
    <w:uiPriority w:val="99"/>
    <w:unhideWhenUsed/>
    <w:rsid w:val="00BF0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639"/>
  </w:style>
  <w:style w:type="character" w:customStyle="1" w:styleId="Heading4Char">
    <w:name w:val="Heading 4 Char"/>
    <w:basedOn w:val="DefaultParagraphFont"/>
    <w:link w:val="Heading4"/>
    <w:semiHidden/>
    <w:rsid w:val="00211FF5"/>
    <w:rPr>
      <w:rFonts w:ascii="Times New Roman" w:eastAsia="Times New Roman" w:hAnsi="Times New Roman" w:cs="Times New Roman"/>
      <w:b/>
      <w:bCs/>
      <w:sz w:val="28"/>
      <w:szCs w:val="28"/>
    </w:rPr>
  </w:style>
  <w:style w:type="paragraph" w:styleId="ListParagraph">
    <w:name w:val="List Paragraph"/>
    <w:basedOn w:val="Normal"/>
    <w:uiPriority w:val="34"/>
    <w:qFormat/>
    <w:rsid w:val="00211FF5"/>
    <w:pPr>
      <w:spacing w:after="0" w:line="240" w:lineRule="auto"/>
      <w:ind w:left="720"/>
      <w:contextualSpacing/>
    </w:pPr>
    <w:rPr>
      <w:rFonts w:ascii="Times New Roman" w:eastAsia="Times New Roman" w:hAnsi="Times New Roman" w:cs="Times New Roman"/>
      <w:sz w:val="24"/>
      <w:szCs w:val="24"/>
    </w:rPr>
  </w:style>
  <w:style w:type="paragraph" w:customStyle="1" w:styleId="txt">
    <w:name w:val="txt"/>
    <w:basedOn w:val="Normal"/>
    <w:rsid w:val="00211FF5"/>
    <w:pPr>
      <w:overflowPunct w:val="0"/>
      <w:autoSpaceDE w:val="0"/>
      <w:autoSpaceDN w:val="0"/>
      <w:adjustRightInd w:val="0"/>
      <w:spacing w:after="120" w:line="240" w:lineRule="auto"/>
      <w:ind w:left="274"/>
    </w:pPr>
    <w:rPr>
      <w:rFonts w:ascii="Times New Roman" w:eastAsia="Times New Roman" w:hAnsi="Times New Roman" w:cs="Times New Roman"/>
      <w:szCs w:val="20"/>
    </w:rPr>
  </w:style>
  <w:style w:type="character" w:customStyle="1" w:styleId="BodyBold">
    <w:name w:val="Body Bold"/>
    <w:rsid w:val="00211FF5"/>
    <w:rPr>
      <w:rFonts w:ascii="HelenPro-BoldCond" w:hAnsi="HelenPro-BoldCond" w:cs="HelenPro-BoldCond" w:hint="cs"/>
      <w:b/>
      <w:bCs w:val="0"/>
      <w:strike w:val="0"/>
      <w:dstrike w:val="0"/>
      <w:color w:val="000000"/>
      <w:spacing w:val="0"/>
      <w:w w:val="100"/>
      <w:position w:val="0"/>
      <w:sz w:val="15"/>
      <w:szCs w:val="15"/>
      <w:u w:val="none"/>
      <w:effect w:val="none"/>
      <w:vertAlign w:val="baseline"/>
    </w:rPr>
  </w:style>
  <w:style w:type="paragraph" w:styleId="BalloonText">
    <w:name w:val="Balloon Text"/>
    <w:basedOn w:val="Normal"/>
    <w:link w:val="BalloonTextChar"/>
    <w:uiPriority w:val="99"/>
    <w:semiHidden/>
    <w:unhideWhenUsed/>
    <w:rsid w:val="005676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6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39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1414</Words>
  <Characters>8065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Rush Copley Medical Center</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Khoury</dc:creator>
  <cp:keywords/>
  <dc:description/>
  <cp:lastModifiedBy>Suzanne Khoury</cp:lastModifiedBy>
  <cp:revision>2</cp:revision>
  <cp:lastPrinted>2022-04-11T16:06:00Z</cp:lastPrinted>
  <dcterms:created xsi:type="dcterms:W3CDTF">2022-06-14T16:30:00Z</dcterms:created>
  <dcterms:modified xsi:type="dcterms:W3CDTF">2022-06-14T16:30:00Z</dcterms:modified>
</cp:coreProperties>
</file>