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3A" w:rsidRDefault="002E163A" w:rsidP="0067244D">
      <w:pPr>
        <w:ind w:firstLine="720"/>
        <w:jc w:val="center"/>
        <w:rPr>
          <w:rFonts w:ascii="Times New Roman" w:hAnsi="Times New Roman" w:cs="Times New Roman"/>
          <w:b/>
          <w:sz w:val="52"/>
          <w:szCs w:val="52"/>
        </w:rPr>
      </w:pPr>
    </w:p>
    <w:p w:rsidR="00AA7E50" w:rsidRPr="002E163A" w:rsidRDefault="00F954E4" w:rsidP="0067244D">
      <w:pPr>
        <w:ind w:firstLine="720"/>
        <w:jc w:val="center"/>
        <w:rPr>
          <w:rFonts w:ascii="Times New Roman" w:hAnsi="Times New Roman" w:cs="Times New Roman"/>
          <w:b/>
          <w:sz w:val="52"/>
          <w:szCs w:val="52"/>
        </w:rPr>
      </w:pPr>
      <w:r w:rsidRPr="002E163A">
        <w:rPr>
          <w:rFonts w:ascii="Times New Roman" w:hAnsi="Times New Roman" w:cs="Times New Roman"/>
          <w:b/>
          <w:sz w:val="52"/>
          <w:szCs w:val="52"/>
        </w:rPr>
        <w:t>OHSA revised Hazard Communication Standard</w:t>
      </w:r>
    </w:p>
    <w:p w:rsidR="00D10574" w:rsidRPr="00184196" w:rsidRDefault="00D10574" w:rsidP="0067244D">
      <w:pPr>
        <w:ind w:firstLine="720"/>
        <w:jc w:val="center"/>
        <w:rPr>
          <w:rFonts w:ascii="Times New Roman" w:hAnsi="Times New Roman" w:cs="Times New Roman"/>
          <w:b/>
          <w:sz w:val="36"/>
          <w:szCs w:val="36"/>
        </w:rPr>
      </w:pPr>
    </w:p>
    <w:p w:rsidR="00F954E4" w:rsidRPr="002E163A" w:rsidRDefault="00F954E4" w:rsidP="0067244D">
      <w:pPr>
        <w:ind w:left="720"/>
        <w:rPr>
          <w:rFonts w:ascii="Times New Roman" w:hAnsi="Times New Roman" w:cs="Times New Roman"/>
          <w:sz w:val="36"/>
          <w:szCs w:val="36"/>
        </w:rPr>
      </w:pPr>
      <w:r w:rsidRPr="002E163A">
        <w:rPr>
          <w:rFonts w:ascii="Times New Roman" w:hAnsi="Times New Roman" w:cs="Times New Roman"/>
          <w:sz w:val="36"/>
          <w:szCs w:val="36"/>
        </w:rPr>
        <w:t>OSHA revised its Hazard Communication Standard (HCS) to align with the United Nations’ Globally Harmonized System of Classification and Labeling of Chemicals (GHS) and published it in the Federal Register in March 2012 (77 FR 17574).</w:t>
      </w:r>
    </w:p>
    <w:p w:rsidR="00F954E4" w:rsidRPr="002E163A" w:rsidRDefault="00F954E4" w:rsidP="0067244D">
      <w:pPr>
        <w:ind w:firstLine="720"/>
        <w:rPr>
          <w:rFonts w:ascii="Times New Roman" w:hAnsi="Times New Roman" w:cs="Times New Roman"/>
          <w:sz w:val="36"/>
          <w:szCs w:val="36"/>
        </w:rPr>
      </w:pPr>
      <w:r w:rsidRPr="002E163A">
        <w:rPr>
          <w:rFonts w:ascii="Times New Roman" w:hAnsi="Times New Roman" w:cs="Times New Roman"/>
          <w:sz w:val="36"/>
          <w:szCs w:val="36"/>
        </w:rPr>
        <w:t>Two significant changes contained in the revised standard require the use of:</w:t>
      </w:r>
    </w:p>
    <w:p w:rsidR="00F954E4" w:rsidRPr="002E163A" w:rsidRDefault="00F954E4" w:rsidP="00F954E4">
      <w:pPr>
        <w:pStyle w:val="ListParagraph"/>
        <w:numPr>
          <w:ilvl w:val="0"/>
          <w:numId w:val="2"/>
        </w:numPr>
        <w:rPr>
          <w:rFonts w:ascii="Times New Roman" w:hAnsi="Times New Roman" w:cs="Times New Roman"/>
          <w:sz w:val="36"/>
          <w:szCs w:val="36"/>
        </w:rPr>
      </w:pPr>
      <w:r w:rsidRPr="002E163A">
        <w:rPr>
          <w:rFonts w:ascii="Times New Roman" w:hAnsi="Times New Roman" w:cs="Times New Roman"/>
          <w:sz w:val="36"/>
          <w:szCs w:val="36"/>
        </w:rPr>
        <w:t xml:space="preserve">new labeling elements </w:t>
      </w:r>
    </w:p>
    <w:p w:rsidR="00F954E4" w:rsidRPr="002E163A" w:rsidRDefault="00F954E4" w:rsidP="00F954E4">
      <w:pPr>
        <w:pStyle w:val="ListParagraph"/>
        <w:numPr>
          <w:ilvl w:val="0"/>
          <w:numId w:val="2"/>
        </w:numPr>
        <w:rPr>
          <w:rFonts w:ascii="Times New Roman" w:hAnsi="Times New Roman" w:cs="Times New Roman"/>
          <w:sz w:val="36"/>
          <w:szCs w:val="36"/>
        </w:rPr>
      </w:pPr>
      <w:r w:rsidRPr="002E163A">
        <w:rPr>
          <w:rFonts w:ascii="Times New Roman" w:hAnsi="Times New Roman" w:cs="Times New Roman"/>
          <w:sz w:val="36"/>
          <w:szCs w:val="36"/>
        </w:rPr>
        <w:t>standardized format for Safety Data Sheets (SDSs), formerly known as, Material Safety Data Sheets (MSDSs)</w:t>
      </w:r>
    </w:p>
    <w:p w:rsidR="00D10574" w:rsidRPr="002E163A" w:rsidRDefault="00F954E4" w:rsidP="0067244D">
      <w:pPr>
        <w:ind w:left="720"/>
        <w:rPr>
          <w:rFonts w:ascii="Times New Roman" w:hAnsi="Times New Roman" w:cs="Times New Roman"/>
          <w:sz w:val="36"/>
          <w:szCs w:val="36"/>
        </w:rPr>
      </w:pPr>
      <w:r w:rsidRPr="002E163A">
        <w:rPr>
          <w:rFonts w:ascii="Times New Roman" w:hAnsi="Times New Roman" w:cs="Times New Roman"/>
          <w:sz w:val="36"/>
          <w:szCs w:val="36"/>
        </w:rPr>
        <w:t>The new label elements and SDS requirements will improve worker understanding of the hazards associated with the chemicals in their workplace.</w:t>
      </w:r>
    </w:p>
    <w:p w:rsidR="00D10574" w:rsidRDefault="00D10574">
      <w:pPr>
        <w:rPr>
          <w:rFonts w:ascii="Times New Roman" w:hAnsi="Times New Roman" w:cs="Times New Roman"/>
          <w:sz w:val="32"/>
          <w:szCs w:val="32"/>
        </w:rPr>
      </w:pPr>
      <w:r>
        <w:rPr>
          <w:rFonts w:ascii="Times New Roman" w:hAnsi="Times New Roman" w:cs="Times New Roman"/>
          <w:sz w:val="32"/>
          <w:szCs w:val="32"/>
        </w:rPr>
        <w:br w:type="page"/>
      </w:r>
    </w:p>
    <w:p w:rsidR="00F954E4" w:rsidRDefault="00F954E4" w:rsidP="00F954E4"/>
    <w:p w:rsidR="00D10574" w:rsidRDefault="00D10574">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0" type="#_x0000_t202" style="position:absolute;margin-left:-1.35pt;margin-top:311.85pt;width:753pt;height:186pt;z-index:251662336" fillcolor="#eaf1dd [662]">
            <v:textbox>
              <w:txbxContent>
                <w:p w:rsidR="00D10574" w:rsidRPr="00D10574" w:rsidRDefault="00D10574" w:rsidP="00D10574">
                  <w:pPr>
                    <w:rPr>
                      <w:rFonts w:ascii="Times New Roman" w:hAnsi="Times New Roman" w:cs="Times New Roman"/>
                      <w:b/>
                      <w:sz w:val="28"/>
                      <w:szCs w:val="28"/>
                    </w:rPr>
                  </w:pPr>
                  <w:r w:rsidRPr="00D10574">
                    <w:rPr>
                      <w:rFonts w:ascii="Times New Roman" w:hAnsi="Times New Roman" w:cs="Times New Roman"/>
                      <w:b/>
                      <w:sz w:val="28"/>
                      <w:szCs w:val="28"/>
                    </w:rPr>
                    <w:t>Type of information expected to see on the labels including:</w:t>
                  </w:r>
                </w:p>
                <w:p w:rsidR="00D10574" w:rsidRPr="00D10574" w:rsidRDefault="00D10574" w:rsidP="00D10574">
                  <w:pPr>
                    <w:pStyle w:val="ListParagraph"/>
                    <w:numPr>
                      <w:ilvl w:val="0"/>
                      <w:numId w:val="3"/>
                    </w:numPr>
                    <w:rPr>
                      <w:rFonts w:ascii="Times New Roman" w:hAnsi="Times New Roman" w:cs="Times New Roman"/>
                      <w:sz w:val="28"/>
                      <w:szCs w:val="28"/>
                    </w:rPr>
                  </w:pPr>
                  <w:r w:rsidRPr="00D10574">
                    <w:rPr>
                      <w:rFonts w:ascii="Times New Roman" w:hAnsi="Times New Roman" w:cs="Times New Roman"/>
                      <w:b/>
                      <w:sz w:val="28"/>
                      <w:szCs w:val="28"/>
                    </w:rPr>
                    <w:t>Product identifier</w:t>
                  </w:r>
                  <w:r w:rsidRPr="00D10574">
                    <w:rPr>
                      <w:rFonts w:ascii="Times New Roman" w:hAnsi="Times New Roman" w:cs="Times New Roman"/>
                      <w:sz w:val="28"/>
                      <w:szCs w:val="28"/>
                    </w:rPr>
                    <w:t>: How the hazardous chemical is identified, example, Chemical name, code number or batch number.</w:t>
                  </w:r>
                </w:p>
                <w:p w:rsidR="00D10574" w:rsidRPr="00D10574" w:rsidRDefault="00D10574" w:rsidP="00D10574">
                  <w:pPr>
                    <w:pStyle w:val="ListParagraph"/>
                    <w:numPr>
                      <w:ilvl w:val="0"/>
                      <w:numId w:val="3"/>
                    </w:numPr>
                    <w:rPr>
                      <w:rFonts w:ascii="Times New Roman" w:hAnsi="Times New Roman" w:cs="Times New Roman"/>
                      <w:sz w:val="28"/>
                      <w:szCs w:val="28"/>
                    </w:rPr>
                  </w:pPr>
                  <w:r w:rsidRPr="00D10574">
                    <w:rPr>
                      <w:rFonts w:ascii="Times New Roman" w:hAnsi="Times New Roman" w:cs="Times New Roman"/>
                      <w:b/>
                      <w:sz w:val="28"/>
                      <w:szCs w:val="28"/>
                    </w:rPr>
                    <w:t>Signal word</w:t>
                  </w:r>
                  <w:r w:rsidRPr="00D10574">
                    <w:rPr>
                      <w:rFonts w:ascii="Times New Roman" w:hAnsi="Times New Roman" w:cs="Times New Roman"/>
                      <w:sz w:val="28"/>
                      <w:szCs w:val="28"/>
                    </w:rPr>
                    <w:t>: Indicate the relative level of severity of hazard and the alert the reader to a potential hazard.</w:t>
                  </w:r>
                </w:p>
                <w:p w:rsidR="00D10574" w:rsidRPr="00D10574" w:rsidRDefault="00D10574" w:rsidP="00D10574">
                  <w:pPr>
                    <w:pStyle w:val="ListParagraph"/>
                    <w:numPr>
                      <w:ilvl w:val="0"/>
                      <w:numId w:val="3"/>
                    </w:numPr>
                    <w:rPr>
                      <w:rFonts w:ascii="Times New Roman" w:hAnsi="Times New Roman" w:cs="Times New Roman"/>
                      <w:sz w:val="28"/>
                      <w:szCs w:val="28"/>
                    </w:rPr>
                  </w:pPr>
                  <w:r w:rsidRPr="00D10574">
                    <w:rPr>
                      <w:rFonts w:ascii="Times New Roman" w:hAnsi="Times New Roman" w:cs="Times New Roman"/>
                      <w:b/>
                      <w:sz w:val="28"/>
                      <w:szCs w:val="28"/>
                    </w:rPr>
                    <w:t>Pictogram</w:t>
                  </w:r>
                  <w:r w:rsidRPr="00D10574">
                    <w:rPr>
                      <w:rFonts w:ascii="Times New Roman" w:hAnsi="Times New Roman" w:cs="Times New Roman"/>
                      <w:sz w:val="28"/>
                      <w:szCs w:val="28"/>
                    </w:rPr>
                    <w:t>: OSHA has designated eight pictograms under this standard for application to a hazard category.</w:t>
                  </w:r>
                </w:p>
                <w:p w:rsidR="00D10574" w:rsidRPr="00D10574" w:rsidRDefault="00D10574" w:rsidP="00D10574">
                  <w:pPr>
                    <w:pStyle w:val="ListParagraph"/>
                    <w:numPr>
                      <w:ilvl w:val="0"/>
                      <w:numId w:val="3"/>
                    </w:numPr>
                    <w:rPr>
                      <w:rFonts w:ascii="Times New Roman" w:hAnsi="Times New Roman" w:cs="Times New Roman"/>
                      <w:sz w:val="28"/>
                      <w:szCs w:val="28"/>
                    </w:rPr>
                  </w:pPr>
                  <w:r w:rsidRPr="00D10574">
                    <w:rPr>
                      <w:rFonts w:ascii="Times New Roman" w:hAnsi="Times New Roman" w:cs="Times New Roman"/>
                      <w:b/>
                      <w:sz w:val="28"/>
                      <w:szCs w:val="28"/>
                    </w:rPr>
                    <w:t>Hazard statement</w:t>
                  </w:r>
                  <w:r w:rsidRPr="00D10574">
                    <w:rPr>
                      <w:rFonts w:ascii="Times New Roman" w:hAnsi="Times New Roman" w:cs="Times New Roman"/>
                      <w:sz w:val="28"/>
                      <w:szCs w:val="28"/>
                    </w:rPr>
                    <w:t>: Describe the nature of the hazard(s) of a chemical, including, where appropriate, the degree of hazard.</w:t>
                  </w:r>
                </w:p>
                <w:p w:rsidR="00D10574" w:rsidRDefault="00D10574" w:rsidP="00D10574">
                  <w:pPr>
                    <w:pStyle w:val="ListParagraph"/>
                    <w:numPr>
                      <w:ilvl w:val="0"/>
                      <w:numId w:val="3"/>
                    </w:numPr>
                    <w:rPr>
                      <w:rFonts w:ascii="Times New Roman" w:hAnsi="Times New Roman" w:cs="Times New Roman"/>
                      <w:sz w:val="28"/>
                      <w:szCs w:val="28"/>
                    </w:rPr>
                  </w:pPr>
                  <w:r w:rsidRPr="00D10574">
                    <w:rPr>
                      <w:rFonts w:ascii="Times New Roman" w:hAnsi="Times New Roman" w:cs="Times New Roman"/>
                      <w:b/>
                      <w:sz w:val="28"/>
                      <w:szCs w:val="28"/>
                    </w:rPr>
                    <w:t>Precautionary statement(s):</w:t>
                  </w:r>
                  <w:r w:rsidRPr="00D10574">
                    <w:rPr>
                      <w:rFonts w:ascii="Times New Roman" w:hAnsi="Times New Roman" w:cs="Times New Roman"/>
                      <w:sz w:val="28"/>
                      <w:szCs w:val="28"/>
                    </w:rPr>
                    <w:t xml:space="preserve"> a phrase that describes recommended measures that should be taken to minimize or prevent adverse effects resulting from exposure to a hazardous chemical or improper storage or handling.</w:t>
                  </w:r>
                </w:p>
                <w:p w:rsidR="00D10574" w:rsidRPr="00D10574" w:rsidRDefault="00D10574" w:rsidP="00D10574">
                  <w:pPr>
                    <w:pStyle w:val="ListParagraph"/>
                    <w:numPr>
                      <w:ilvl w:val="0"/>
                      <w:numId w:val="3"/>
                    </w:numPr>
                    <w:rPr>
                      <w:rFonts w:ascii="Times New Roman" w:hAnsi="Times New Roman" w:cs="Times New Roman"/>
                      <w:sz w:val="28"/>
                      <w:szCs w:val="28"/>
                    </w:rPr>
                  </w:pPr>
                  <w:r w:rsidRPr="00C43FCC">
                    <w:rPr>
                      <w:rFonts w:ascii="Times New Roman" w:hAnsi="Times New Roman" w:cs="Times New Roman"/>
                      <w:b/>
                      <w:sz w:val="28"/>
                      <w:szCs w:val="28"/>
                    </w:rPr>
                    <w:t>Supplier Identification</w:t>
                  </w:r>
                  <w:r w:rsidRPr="00D10574">
                    <w:rPr>
                      <w:rFonts w:ascii="Times New Roman" w:hAnsi="Times New Roman" w:cs="Times New Roman"/>
                      <w:sz w:val="28"/>
                      <w:szCs w:val="28"/>
                    </w:rPr>
                    <w:t>: Name, address and phone number of the chemical manufacturer, distributor, or importer</w:t>
                  </w:r>
                </w:p>
                <w:p w:rsidR="00D10574" w:rsidRDefault="00D10574"/>
              </w:txbxContent>
            </v:textbox>
          </v:shape>
        </w:pict>
      </w:r>
      <w:r>
        <w:rPr>
          <w:rFonts w:ascii="Times New Roman" w:hAnsi="Times New Roman" w:cs="Times New Roman"/>
          <w:noProof/>
          <w:sz w:val="28"/>
          <w:szCs w:val="28"/>
        </w:rPr>
        <w:pict>
          <v:shape id="_x0000_s1029" type="#_x0000_t202" style="position:absolute;margin-left:-13.35pt;margin-top:-41.4pt;width:774.75pt;height:336pt;z-index:251661312" stroked="f">
            <v:textbox>
              <w:txbxContent>
                <w:p w:rsidR="00D10574" w:rsidRDefault="00D10574">
                  <w:r>
                    <w:t xml:space="preserve"> </w:t>
                  </w:r>
                  <w:r w:rsidRPr="00D10574">
                    <w:drawing>
                      <wp:inline distT="0" distB="0" distL="0" distR="0">
                        <wp:extent cx="9533957" cy="42386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55973" cy="4248413"/>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sz w:val="28"/>
          <w:szCs w:val="28"/>
        </w:rPr>
        <w:br w:type="page"/>
      </w:r>
    </w:p>
    <w:p w:rsidR="00184196" w:rsidRDefault="0067244D" w:rsidP="0067244D">
      <w:pPr>
        <w:ind w:left="720"/>
      </w:pPr>
      <w:r>
        <w:rPr>
          <w:noProof/>
        </w:rPr>
        <w:lastRenderedPageBreak/>
        <w:pict>
          <v:shape id="_x0000_s1026" type="#_x0000_t202" style="position:absolute;left:0;text-align:left;margin-left:380.4pt;margin-top:-23.4pt;width:363.75pt;height:564pt;z-index:251658240" stroked="f">
            <v:textbox style="mso-next-textbox:#_x0000_s1026">
              <w:txbxContent>
                <w:p w:rsidR="0067244D" w:rsidRDefault="0067244D">
                  <w:r>
                    <w:rPr>
                      <w:noProof/>
                    </w:rPr>
                    <w:drawing>
                      <wp:inline distT="0" distB="0" distL="0" distR="0">
                        <wp:extent cx="4597633" cy="6886366"/>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4600638" cy="6890866"/>
                                </a:xfrm>
                                <a:prstGeom prst="rect">
                                  <a:avLst/>
                                </a:prstGeom>
                                <a:noFill/>
                                <a:ln w="9525">
                                  <a:noFill/>
                                  <a:miter lim="800000"/>
                                  <a:headEnd/>
                                  <a:tailEnd/>
                                </a:ln>
                              </pic:spPr>
                            </pic:pic>
                          </a:graphicData>
                        </a:graphic>
                      </wp:inline>
                    </w:drawing>
                  </w:r>
                </w:p>
              </w:txbxContent>
            </v:textbox>
          </v:shape>
        </w:pict>
      </w:r>
      <w:r w:rsidR="00184196">
        <w:rPr>
          <w:noProof/>
        </w:rPr>
        <w:drawing>
          <wp:inline distT="0" distB="0" distL="0" distR="0">
            <wp:extent cx="4419600" cy="31682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419600" cy="3168267"/>
                    </a:xfrm>
                    <a:prstGeom prst="rect">
                      <a:avLst/>
                    </a:prstGeom>
                    <a:noFill/>
                    <a:ln w="9525">
                      <a:noFill/>
                      <a:miter lim="800000"/>
                      <a:headEnd/>
                      <a:tailEnd/>
                    </a:ln>
                  </pic:spPr>
                </pic:pic>
              </a:graphicData>
            </a:graphic>
          </wp:inline>
        </w:drawing>
      </w:r>
    </w:p>
    <w:p w:rsidR="0067244D" w:rsidRDefault="007C5198" w:rsidP="0067244D">
      <w:pPr>
        <w:ind w:left="720"/>
      </w:pPr>
      <w:r>
        <w:rPr>
          <w:noProof/>
        </w:rPr>
        <w:pict>
          <v:shape id="_x0000_s1031" type="#_x0000_t202" style="position:absolute;left:0;text-align:left;margin-left:37.65pt;margin-top:24.85pt;width:351.75pt;height:235.5pt;z-index:251663360">
            <v:textbox style="mso-next-textbox:#_x0000_s1031">
              <w:txbxContent>
                <w:p w:rsidR="00D10574" w:rsidRPr="007C5198" w:rsidRDefault="007C5198" w:rsidP="007C5198">
                  <w:pPr>
                    <w:jc w:val="center"/>
                    <w:rPr>
                      <w:rFonts w:ascii="Times New Roman" w:hAnsi="Times New Roman" w:cs="Times New Roman"/>
                      <w:b/>
                      <w:sz w:val="32"/>
                      <w:szCs w:val="32"/>
                    </w:rPr>
                  </w:pPr>
                  <w:r w:rsidRPr="007C5198">
                    <w:rPr>
                      <w:rFonts w:ascii="Times New Roman" w:hAnsi="Times New Roman" w:cs="Times New Roman"/>
                      <w:b/>
                      <w:sz w:val="32"/>
                      <w:szCs w:val="32"/>
                    </w:rPr>
                    <w:t>OSHA designated 8 pictograms:</w:t>
                  </w:r>
                </w:p>
                <w:tbl>
                  <w:tblPr>
                    <w:tblStyle w:val="TableGrid"/>
                    <w:tblW w:w="7003" w:type="dxa"/>
                    <w:tblLook w:val="04A0"/>
                  </w:tblPr>
                  <w:tblGrid>
                    <w:gridCol w:w="3501"/>
                    <w:gridCol w:w="3502"/>
                  </w:tblGrid>
                  <w:tr w:rsidR="007C5198" w:rsidRPr="007C5198" w:rsidTr="007C5198">
                    <w:trPr>
                      <w:trHeight w:val="388"/>
                    </w:trPr>
                    <w:tc>
                      <w:tcPr>
                        <w:tcW w:w="3501" w:type="dxa"/>
                        <w:tcBorders>
                          <w:bottom w:val="single" w:sz="4" w:space="0" w:color="auto"/>
                        </w:tcBorders>
                        <w:shd w:val="clear" w:color="auto" w:fill="C2D69B" w:themeFill="accent3" w:themeFillTint="99"/>
                      </w:tcPr>
                      <w:p w:rsidR="007C5198" w:rsidRPr="007C5198" w:rsidRDefault="007C5198">
                        <w:pPr>
                          <w:rPr>
                            <w:rFonts w:ascii="Times New Roman" w:hAnsi="Times New Roman" w:cs="Times New Roman"/>
                            <w:b/>
                            <w:sz w:val="32"/>
                            <w:szCs w:val="32"/>
                          </w:rPr>
                        </w:pPr>
                        <w:r w:rsidRPr="007C5198">
                          <w:rPr>
                            <w:rFonts w:ascii="Times New Roman" w:hAnsi="Times New Roman" w:cs="Times New Roman"/>
                            <w:b/>
                            <w:sz w:val="32"/>
                            <w:szCs w:val="32"/>
                          </w:rPr>
                          <w:t>Pictogram</w:t>
                        </w:r>
                      </w:p>
                    </w:tc>
                    <w:tc>
                      <w:tcPr>
                        <w:tcW w:w="3502" w:type="dxa"/>
                        <w:tcBorders>
                          <w:bottom w:val="single" w:sz="4" w:space="0" w:color="auto"/>
                        </w:tcBorders>
                        <w:shd w:val="clear" w:color="auto" w:fill="C2D69B" w:themeFill="accent3" w:themeFillTint="99"/>
                      </w:tcPr>
                      <w:p w:rsidR="007C5198" w:rsidRPr="007C5198" w:rsidRDefault="007C5198">
                        <w:pPr>
                          <w:rPr>
                            <w:rFonts w:ascii="Times New Roman" w:hAnsi="Times New Roman" w:cs="Times New Roman"/>
                            <w:b/>
                            <w:sz w:val="32"/>
                            <w:szCs w:val="32"/>
                          </w:rPr>
                        </w:pPr>
                        <w:r>
                          <w:rPr>
                            <w:rFonts w:ascii="Times New Roman" w:hAnsi="Times New Roman" w:cs="Times New Roman"/>
                            <w:b/>
                            <w:sz w:val="32"/>
                            <w:szCs w:val="32"/>
                          </w:rPr>
                          <w:t xml:space="preserve">Example </w:t>
                        </w:r>
                        <w:r w:rsidRPr="007C5198">
                          <w:rPr>
                            <w:rFonts w:ascii="Times New Roman" w:hAnsi="Times New Roman" w:cs="Times New Roman"/>
                            <w:b/>
                            <w:sz w:val="32"/>
                            <w:szCs w:val="32"/>
                          </w:rPr>
                          <w:t>of hazard</w:t>
                        </w:r>
                      </w:p>
                    </w:tc>
                  </w:tr>
                  <w:tr w:rsidR="007C5198" w:rsidRPr="007C5198" w:rsidTr="007C5198">
                    <w:trPr>
                      <w:trHeight w:val="356"/>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Health Hazard</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Carcinogen</w:t>
                        </w:r>
                      </w:p>
                    </w:tc>
                  </w:tr>
                  <w:tr w:rsidR="007C5198" w:rsidRPr="007C5198" w:rsidTr="007C5198">
                    <w:trPr>
                      <w:trHeight w:val="339"/>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Flame</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Flammables</w:t>
                        </w:r>
                      </w:p>
                    </w:tc>
                  </w:tr>
                  <w:tr w:rsidR="007C5198" w:rsidRPr="007C5198" w:rsidTr="007C5198">
                    <w:trPr>
                      <w:trHeight w:val="339"/>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Exclamation Mark</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Irritant</w:t>
                        </w:r>
                      </w:p>
                    </w:tc>
                  </w:tr>
                  <w:tr w:rsidR="007C5198" w:rsidRPr="007C5198" w:rsidTr="007C5198">
                    <w:trPr>
                      <w:trHeight w:val="339"/>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Gas Cylinder</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Gases under pressure</w:t>
                        </w:r>
                      </w:p>
                    </w:tc>
                  </w:tr>
                  <w:tr w:rsidR="007C5198" w:rsidRPr="007C5198" w:rsidTr="007C5198">
                    <w:trPr>
                      <w:trHeight w:val="339"/>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Corrosion</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Skin corrosion/burns</w:t>
                        </w:r>
                      </w:p>
                    </w:tc>
                  </w:tr>
                  <w:tr w:rsidR="007C5198" w:rsidRPr="007C5198" w:rsidTr="007C5198">
                    <w:trPr>
                      <w:trHeight w:val="339"/>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Exploding Bomb</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Explosives</w:t>
                        </w:r>
                      </w:p>
                    </w:tc>
                  </w:tr>
                  <w:tr w:rsidR="007C5198" w:rsidRPr="007C5198" w:rsidTr="007C5198">
                    <w:trPr>
                      <w:trHeight w:val="339"/>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Flame Over Circle</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Oxidizers</w:t>
                        </w:r>
                      </w:p>
                    </w:tc>
                  </w:tr>
                  <w:tr w:rsidR="007C5198" w:rsidRPr="007C5198" w:rsidTr="007C5198">
                    <w:trPr>
                      <w:trHeight w:val="356"/>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Skull and Crossbones</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Acute Toxicity</w:t>
                        </w:r>
                      </w:p>
                    </w:tc>
                  </w:tr>
                  <w:tr w:rsidR="007C5198" w:rsidRPr="007C5198" w:rsidTr="007C5198">
                    <w:trPr>
                      <w:trHeight w:val="695"/>
                    </w:trPr>
                    <w:tc>
                      <w:tcPr>
                        <w:tcW w:w="3501"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Environment (Non Mandatory)</w:t>
                        </w:r>
                      </w:p>
                    </w:tc>
                    <w:tc>
                      <w:tcPr>
                        <w:tcW w:w="3502" w:type="dxa"/>
                        <w:shd w:val="clear" w:color="auto" w:fill="EAF1DD" w:themeFill="accent3" w:themeFillTint="33"/>
                      </w:tcPr>
                      <w:p w:rsidR="007C5198" w:rsidRPr="007C5198" w:rsidRDefault="007C5198">
                        <w:pPr>
                          <w:rPr>
                            <w:rFonts w:ascii="Times New Roman" w:hAnsi="Times New Roman" w:cs="Times New Roman"/>
                            <w:sz w:val="28"/>
                            <w:szCs w:val="28"/>
                          </w:rPr>
                        </w:pPr>
                        <w:r w:rsidRPr="007C5198">
                          <w:rPr>
                            <w:rFonts w:ascii="Times New Roman" w:hAnsi="Times New Roman" w:cs="Times New Roman"/>
                            <w:sz w:val="28"/>
                            <w:szCs w:val="28"/>
                          </w:rPr>
                          <w:t>Aquatic Toxicity</w:t>
                        </w:r>
                      </w:p>
                    </w:tc>
                  </w:tr>
                </w:tbl>
                <w:p w:rsidR="007C5198" w:rsidRDefault="007C5198"/>
              </w:txbxContent>
            </v:textbox>
          </v:shape>
        </w:pict>
      </w:r>
    </w:p>
    <w:p w:rsidR="0067244D" w:rsidRDefault="0067244D" w:rsidP="0067244D">
      <w:pPr>
        <w:ind w:left="720"/>
      </w:pPr>
    </w:p>
    <w:p w:rsidR="0067244D" w:rsidRDefault="0067244D" w:rsidP="0067244D">
      <w:pPr>
        <w:ind w:left="720"/>
      </w:pPr>
    </w:p>
    <w:p w:rsidR="0067244D" w:rsidRDefault="0067244D" w:rsidP="0067244D">
      <w:pPr>
        <w:ind w:left="720"/>
      </w:pPr>
    </w:p>
    <w:p w:rsidR="0067244D" w:rsidRDefault="0067244D" w:rsidP="0067244D">
      <w:pPr>
        <w:ind w:left="720"/>
      </w:pPr>
    </w:p>
    <w:p w:rsidR="0067244D" w:rsidRDefault="0067244D" w:rsidP="0067244D">
      <w:pPr>
        <w:ind w:left="720"/>
      </w:pPr>
    </w:p>
    <w:p w:rsidR="0067244D" w:rsidRDefault="0067244D" w:rsidP="0067244D">
      <w:pPr>
        <w:ind w:left="720"/>
      </w:pPr>
    </w:p>
    <w:p w:rsidR="0067244D" w:rsidRDefault="0067244D" w:rsidP="0067244D">
      <w:pPr>
        <w:ind w:left="720"/>
      </w:pPr>
    </w:p>
    <w:p w:rsidR="0067244D" w:rsidRDefault="0067244D" w:rsidP="0067244D">
      <w:pPr>
        <w:ind w:left="720"/>
      </w:pPr>
    </w:p>
    <w:p w:rsidR="0067244D" w:rsidRDefault="0067244D" w:rsidP="0067244D">
      <w:pPr>
        <w:ind w:left="720"/>
      </w:pPr>
    </w:p>
    <w:p w:rsidR="00F6316D" w:rsidRDefault="002E163A" w:rsidP="0067244D">
      <w:pPr>
        <w:ind w:left="720"/>
      </w:pPr>
      <w:r>
        <w:rPr>
          <w:noProof/>
        </w:rPr>
        <w:lastRenderedPageBreak/>
        <w:pict>
          <v:shape id="_x0000_s1035" type="#_x0000_t202" style="position:absolute;left:0;text-align:left;margin-left:-13.35pt;margin-top:326.85pt;width:79.5pt;height:92.25pt;z-index:251667456" fillcolor="#eaf1dd [662]">
            <v:textbox>
              <w:txbxContent>
                <w:p w:rsidR="002E163A" w:rsidRPr="002E163A" w:rsidRDefault="002E163A">
                  <w:pPr>
                    <w:rPr>
                      <w:rFonts w:ascii="Times New Roman" w:hAnsi="Times New Roman" w:cs="Times New Roman"/>
                    </w:rPr>
                  </w:pPr>
                  <w:r w:rsidRPr="002E163A">
                    <w:rPr>
                      <w:rFonts w:ascii="Times New Roman" w:hAnsi="Times New Roman" w:cs="Times New Roman"/>
                    </w:rPr>
                    <w:t>Precautionary statements will be the same on SDS and on the label.</w:t>
                  </w:r>
                </w:p>
              </w:txbxContent>
            </v:textbox>
          </v:shape>
        </w:pict>
      </w:r>
      <w:r>
        <w:rPr>
          <w:noProof/>
        </w:rPr>
        <w:pict>
          <v:shape id="_x0000_s1034" type="#_x0000_t202" style="position:absolute;left:0;text-align:left;margin-left:49.65pt;margin-top:263.1pt;width:43.5pt;height:212.25pt;z-index:251666432" stroked="f">
            <v:textbox>
              <w:txbxContent>
                <w:p w:rsidR="002E163A" w:rsidRPr="002E163A" w:rsidRDefault="002E163A">
                  <w:pPr>
                    <w:rPr>
                      <w:sz w:val="296"/>
                      <w:szCs w:val="296"/>
                    </w:rPr>
                  </w:pPr>
                  <w:r w:rsidRPr="002E163A">
                    <w:rPr>
                      <w:sz w:val="296"/>
                      <w:szCs w:val="296"/>
                    </w:rPr>
                    <w:t>{</w:t>
                  </w:r>
                </w:p>
              </w:txbxContent>
            </v:textbox>
          </v:shape>
        </w:pict>
      </w:r>
      <w:r w:rsidR="00C43FCC">
        <w:rPr>
          <w:noProof/>
        </w:rPr>
        <w:pict>
          <v:shape id="_x0000_s1032" type="#_x0000_t202" style="position:absolute;left:0;text-align:left;margin-left:631.65pt;margin-top:65.85pt;width:123.75pt;height:96pt;z-index:251664384" fillcolor="#eaf1dd [662]">
            <v:textbox>
              <w:txbxContent>
                <w:p w:rsidR="00C43FCC" w:rsidRPr="00C43FCC" w:rsidRDefault="00C43FCC">
                  <w:pPr>
                    <w:rPr>
                      <w:rFonts w:ascii="Times New Roman" w:hAnsi="Times New Roman" w:cs="Times New Roman"/>
                    </w:rPr>
                  </w:pPr>
                  <w:r w:rsidRPr="00C43FCC">
                    <w:rPr>
                      <w:rFonts w:ascii="Times New Roman" w:hAnsi="Times New Roman" w:cs="Times New Roman"/>
                      <w:b/>
                    </w:rPr>
                    <w:t>Section 8</w:t>
                  </w:r>
                  <w:r w:rsidRPr="00C43FCC">
                    <w:rPr>
                      <w:rFonts w:ascii="Times New Roman" w:hAnsi="Times New Roman" w:cs="Times New Roman"/>
                    </w:rPr>
                    <w:t xml:space="preserve"> will always contain information about exposure limits, engineering contr</w:t>
                  </w:r>
                  <w:r w:rsidR="002E163A">
                    <w:rPr>
                      <w:rFonts w:ascii="Times New Roman" w:hAnsi="Times New Roman" w:cs="Times New Roman"/>
                    </w:rPr>
                    <w:t>ols and ways to protect you</w:t>
                  </w:r>
                  <w:r w:rsidRPr="00C43FCC">
                    <w:rPr>
                      <w:rFonts w:ascii="Times New Roman" w:hAnsi="Times New Roman" w:cs="Times New Roman"/>
                    </w:rPr>
                    <w:t>, including PPE.</w:t>
                  </w:r>
                </w:p>
              </w:txbxContent>
            </v:textbox>
          </v:shape>
        </w:pict>
      </w:r>
      <w:r w:rsidR="00C43FCC">
        <w:rPr>
          <w:noProof/>
        </w:rPr>
        <w:pict>
          <v:shapetype id="_x0000_t32" coordsize="21600,21600" o:spt="32" o:oned="t" path="m,l21600,21600e" filled="f">
            <v:path arrowok="t" fillok="f" o:connecttype="none"/>
            <o:lock v:ext="edit" shapetype="t"/>
          </v:shapetype>
          <v:shape id="_x0000_s1033" type="#_x0000_t32" style="position:absolute;left:0;text-align:left;margin-left:442.65pt;margin-top:86.85pt;width:189pt;height:6pt;flip:x;z-index:251665408" o:connectortype="straight" strokecolor="red" strokeweight="1pt">
            <v:stroke endarrow="block"/>
          </v:shape>
        </w:pict>
      </w:r>
      <w:r w:rsidR="007C5198">
        <w:rPr>
          <w:noProof/>
        </w:rPr>
        <w:pict>
          <v:shape id="_x0000_s1028" type="#_x0000_t202" style="position:absolute;left:0;text-align:left;margin-left:375.9pt;margin-top:-41.4pt;width:274.5pt;height:593.25pt;z-index:251660288">
            <v:textbox>
              <w:txbxContent>
                <w:p w:rsidR="00F6316D" w:rsidRDefault="00F6316D">
                  <w:r>
                    <w:rPr>
                      <w:noProof/>
                    </w:rPr>
                    <w:drawing>
                      <wp:inline distT="0" distB="0" distL="0" distR="0">
                        <wp:extent cx="3371850" cy="7495881"/>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3371850" cy="7495881"/>
                                </a:xfrm>
                                <a:prstGeom prst="rect">
                                  <a:avLst/>
                                </a:prstGeom>
                                <a:noFill/>
                                <a:ln w="9525">
                                  <a:noFill/>
                                  <a:miter lim="800000"/>
                                  <a:headEnd/>
                                  <a:tailEnd/>
                                </a:ln>
                              </pic:spPr>
                            </pic:pic>
                          </a:graphicData>
                        </a:graphic>
                      </wp:inline>
                    </w:drawing>
                  </w:r>
                </w:p>
              </w:txbxContent>
            </v:textbox>
          </v:shape>
        </w:pict>
      </w:r>
      <w:r w:rsidR="007C5198">
        <w:rPr>
          <w:noProof/>
        </w:rPr>
        <w:pict>
          <v:shape id="_x0000_s1027" type="#_x0000_t202" style="position:absolute;left:0;text-align:left;margin-left:78.15pt;margin-top:-41.4pt;width:4in;height:593.25pt;z-index:251659264">
            <v:textbox>
              <w:txbxContent>
                <w:p w:rsidR="00F6316D" w:rsidRDefault="00F6316D">
                  <w:r w:rsidRPr="00F6316D">
                    <w:drawing>
                      <wp:inline distT="0" distB="0" distL="0" distR="0">
                        <wp:extent cx="3366676" cy="7484380"/>
                        <wp:effectExtent l="19050" t="0" r="5174"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3366676" cy="7484380"/>
                                </a:xfrm>
                                <a:prstGeom prst="rect">
                                  <a:avLst/>
                                </a:prstGeom>
                                <a:noFill/>
                                <a:ln w="9525">
                                  <a:noFill/>
                                  <a:miter lim="800000"/>
                                  <a:headEnd/>
                                  <a:tailEnd/>
                                </a:ln>
                              </pic:spPr>
                            </pic:pic>
                          </a:graphicData>
                        </a:graphic>
                      </wp:inline>
                    </w:drawing>
                  </w:r>
                </w:p>
              </w:txbxContent>
            </v:textbox>
          </v:shape>
        </w:pict>
      </w:r>
    </w:p>
    <w:sectPr w:rsidR="00F6316D" w:rsidSect="0067244D">
      <w:pgSz w:w="15840" w:h="12240" w:orient="landscape"/>
      <w:pgMar w:top="1008" w:right="1080" w:bottom="100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D01"/>
    <w:multiLevelType w:val="hybridMultilevel"/>
    <w:tmpl w:val="6C4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81D14"/>
    <w:multiLevelType w:val="hybridMultilevel"/>
    <w:tmpl w:val="6C9C0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742F43"/>
    <w:multiLevelType w:val="hybridMultilevel"/>
    <w:tmpl w:val="BB38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77EA5"/>
    <w:multiLevelType w:val="hybridMultilevel"/>
    <w:tmpl w:val="A9F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54E4"/>
    <w:rsid w:val="00184196"/>
    <w:rsid w:val="002E163A"/>
    <w:rsid w:val="0067244D"/>
    <w:rsid w:val="007C5198"/>
    <w:rsid w:val="00AA7E50"/>
    <w:rsid w:val="00C43FCC"/>
    <w:rsid w:val="00D10574"/>
    <w:rsid w:val="00F6316D"/>
    <w:rsid w:val="00F95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2]" strokecolor="none"/>
    </o:shapedefaults>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4E4"/>
    <w:pPr>
      <w:ind w:left="720"/>
      <w:contextualSpacing/>
    </w:pPr>
  </w:style>
  <w:style w:type="paragraph" w:styleId="BalloonText">
    <w:name w:val="Balloon Text"/>
    <w:basedOn w:val="Normal"/>
    <w:link w:val="BalloonTextChar"/>
    <w:uiPriority w:val="99"/>
    <w:semiHidden/>
    <w:unhideWhenUsed/>
    <w:rsid w:val="0018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196"/>
    <w:rPr>
      <w:rFonts w:ascii="Tahoma" w:hAnsi="Tahoma" w:cs="Tahoma"/>
      <w:sz w:val="16"/>
      <w:szCs w:val="16"/>
    </w:rPr>
  </w:style>
  <w:style w:type="table" w:styleId="TableGrid">
    <w:name w:val="Table Grid"/>
    <w:basedOn w:val="TableNormal"/>
    <w:uiPriority w:val="59"/>
    <w:rsid w:val="007C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Sutter Health</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Ho-Yan</dc:creator>
  <cp:lastModifiedBy>Christine Ho-Yan</cp:lastModifiedBy>
  <cp:revision>1</cp:revision>
  <dcterms:created xsi:type="dcterms:W3CDTF">2016-10-04T15:53:00Z</dcterms:created>
  <dcterms:modified xsi:type="dcterms:W3CDTF">2016-10-04T19:06:00Z</dcterms:modified>
</cp:coreProperties>
</file>