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E96F1" w14:textId="2388CDD8" w:rsidR="00A243BF" w:rsidRPr="005738A5" w:rsidRDefault="00F95901" w:rsidP="00620AD8">
      <w:pPr>
        <w:spacing w:after="120"/>
        <w:rPr>
          <w:b/>
        </w:rPr>
      </w:pPr>
      <w:bookmarkStart w:id="0" w:name="_GoBack"/>
      <w:bookmarkEnd w:id="0"/>
      <w:r>
        <w:rPr>
          <w:b/>
        </w:rPr>
        <w:t>PURPOSE</w:t>
      </w:r>
    </w:p>
    <w:p w14:paraId="3A4CED72" w14:textId="55C80997" w:rsidR="00620AD8" w:rsidRPr="005738A5" w:rsidRDefault="00620AD8" w:rsidP="00620AD8">
      <w:pPr>
        <w:spacing w:after="120"/>
        <w:ind w:left="144"/>
      </w:pPr>
      <w:r w:rsidRPr="005738A5">
        <w:t>This document describes safe handling practices for patient samples suspected of contain</w:t>
      </w:r>
      <w:r w:rsidR="00C977BF">
        <w:t>ing highly infectious pathogens, including COVID-19, MERS coronavirus and SARS coronavirus.</w:t>
      </w:r>
    </w:p>
    <w:p w14:paraId="74128D8F" w14:textId="60CE205B" w:rsidR="00B57847" w:rsidRPr="005738A5" w:rsidRDefault="00F95901" w:rsidP="00620AD8">
      <w:pPr>
        <w:spacing w:after="120"/>
        <w:rPr>
          <w:b/>
        </w:rPr>
      </w:pPr>
      <w:r>
        <w:rPr>
          <w:b/>
        </w:rPr>
        <w:t>SCOPE</w:t>
      </w:r>
    </w:p>
    <w:p w14:paraId="58260246" w14:textId="5B6702FE" w:rsidR="00B24AAE" w:rsidRPr="005738A5" w:rsidRDefault="00620AD8" w:rsidP="00620AD8">
      <w:pPr>
        <w:spacing w:after="120"/>
        <w:ind w:left="144"/>
      </w:pPr>
      <w:r w:rsidRPr="005738A5">
        <w:t>This document applies to UPMC Hanover Hospital laboratory.</w:t>
      </w:r>
    </w:p>
    <w:p w14:paraId="6332EA5C" w14:textId="5E3B470E" w:rsidR="00D14301" w:rsidRPr="005738A5" w:rsidRDefault="00B57847" w:rsidP="00620AD8">
      <w:pPr>
        <w:spacing w:after="120"/>
        <w:rPr>
          <w:b/>
        </w:rPr>
      </w:pPr>
      <w:r w:rsidRPr="005738A5">
        <w:rPr>
          <w:b/>
        </w:rPr>
        <w:t>P</w:t>
      </w:r>
      <w:r w:rsidR="00D14301" w:rsidRPr="005738A5">
        <w:rPr>
          <w:b/>
        </w:rPr>
        <w:t>OLICY</w:t>
      </w:r>
    </w:p>
    <w:p w14:paraId="4FDFD671" w14:textId="346841B9" w:rsidR="00F62087" w:rsidRDefault="00620AD8" w:rsidP="00F62087">
      <w:pPr>
        <w:spacing w:after="120"/>
        <w:ind w:left="144"/>
      </w:pPr>
      <w:r w:rsidRPr="005738A5">
        <w:t>UPMC Hanover follows Standard pre</w:t>
      </w:r>
      <w:r w:rsidR="00713355" w:rsidRPr="005738A5">
        <w:t xml:space="preserve">cautions as well as guidelines from </w:t>
      </w:r>
      <w:proofErr w:type="gramStart"/>
      <w:r w:rsidR="00713355" w:rsidRPr="005738A5">
        <w:t>UPMC and CDC when</w:t>
      </w:r>
      <w:r w:rsidRPr="005738A5">
        <w:t xml:space="preserve"> handling</w:t>
      </w:r>
      <w:proofErr w:type="gramEnd"/>
      <w:r w:rsidRPr="005738A5">
        <w:t xml:space="preserve"> and processing samples from patients with possible or confirmed infection wit</w:t>
      </w:r>
      <w:r w:rsidR="005738A5">
        <w:t>h highly infectious pathogens.</w:t>
      </w:r>
      <w:r w:rsidR="00C8555A">
        <w:t xml:space="preserve">  A risk assessment </w:t>
      </w:r>
      <w:proofErr w:type="gramStart"/>
      <w:r w:rsidR="00C8555A">
        <w:t>will be performed</w:t>
      </w:r>
      <w:proofErr w:type="gramEnd"/>
      <w:r w:rsidR="00C8555A">
        <w:t xml:space="preserve"> as required for changes in guidance from CDC and UPMC.</w:t>
      </w:r>
    </w:p>
    <w:p w14:paraId="6058F50F" w14:textId="56AA365D" w:rsidR="00F95901" w:rsidRPr="00F95901" w:rsidRDefault="007F6C86" w:rsidP="00F95901">
      <w:pPr>
        <w:spacing w:after="120"/>
        <w:rPr>
          <w:b/>
        </w:rPr>
      </w:pPr>
      <w:r>
        <w:rPr>
          <w:b/>
        </w:rPr>
        <w:t>GENERAL GUIDANCE</w:t>
      </w:r>
    </w:p>
    <w:p w14:paraId="054D7CB9" w14:textId="77BC700E" w:rsidR="00DA4828" w:rsidRPr="00DA4828" w:rsidRDefault="00DA4828" w:rsidP="00F95901">
      <w:pPr>
        <w:spacing w:after="120"/>
        <w:ind w:left="864" w:hanging="576"/>
      </w:pPr>
      <w:r w:rsidRPr="00DA4828">
        <w:t>PPE</w:t>
      </w:r>
    </w:p>
    <w:p w14:paraId="07F63216" w14:textId="4E16337B" w:rsidR="00F62087" w:rsidRDefault="00DA4828" w:rsidP="00F95901">
      <w:pPr>
        <w:spacing w:after="120"/>
        <w:ind w:left="864" w:hanging="576"/>
      </w:pPr>
      <w:r>
        <w:t>1</w:t>
      </w:r>
      <w:r w:rsidR="00F95901">
        <w:t>.</w:t>
      </w:r>
      <w:r w:rsidR="00F62087">
        <w:tab/>
        <w:t>By combining already existing required PPE with the use of a biological safety cabinet (BSC 2), the laboratory can safely handle samples from a</w:t>
      </w:r>
      <w:r w:rsidR="00F95901">
        <w:t xml:space="preserve"> patient with suspected highly infectious pathogens such as COVID-19, avian influenza, MERS coronavirus and SARS coronavirus.</w:t>
      </w:r>
    </w:p>
    <w:p w14:paraId="7F3B8BA5" w14:textId="25CBDC70" w:rsidR="005738A5" w:rsidRDefault="00DA4828" w:rsidP="00DA4828">
      <w:pPr>
        <w:spacing w:after="120"/>
        <w:ind w:left="864" w:hanging="576"/>
        <w:rPr>
          <w:b/>
        </w:rPr>
      </w:pPr>
      <w:r>
        <w:t>2</w:t>
      </w:r>
      <w:r w:rsidR="00F95901">
        <w:t>.</w:t>
      </w:r>
      <w:r w:rsidR="00F95901">
        <w:tab/>
        <w:t xml:space="preserve">The attached Lab Risk Assessment outlines common activities and a determination of </w:t>
      </w:r>
      <w:r>
        <w:t>risk.</w:t>
      </w:r>
    </w:p>
    <w:p w14:paraId="57639266" w14:textId="7C013037" w:rsidR="00DA4828" w:rsidRDefault="00DA4828" w:rsidP="00DA4828">
      <w:pPr>
        <w:tabs>
          <w:tab w:val="left" w:pos="432"/>
        </w:tabs>
        <w:spacing w:after="120"/>
        <w:ind w:left="864" w:hanging="576"/>
      </w:pPr>
      <w:r>
        <w:t>Routine Lab Specimen Collection</w:t>
      </w:r>
    </w:p>
    <w:p w14:paraId="54A3B899" w14:textId="14DE8EB4" w:rsidR="00DA4828" w:rsidRDefault="00DA4828" w:rsidP="00DA4828">
      <w:pPr>
        <w:tabs>
          <w:tab w:val="left" w:pos="432"/>
        </w:tabs>
        <w:spacing w:after="120"/>
        <w:ind w:left="864" w:hanging="576"/>
      </w:pPr>
      <w:r>
        <w:t>1.</w:t>
      </w:r>
      <w:r>
        <w:tab/>
        <w:t xml:space="preserve">Standard precautions including routine PPE are to </w:t>
      </w:r>
      <w:proofErr w:type="gramStart"/>
      <w:r>
        <w:t>be used</w:t>
      </w:r>
      <w:proofErr w:type="gramEnd"/>
      <w:r>
        <w:t xml:space="preserve"> when collecting specimens.</w:t>
      </w:r>
    </w:p>
    <w:p w14:paraId="391552E7" w14:textId="2FAB8F00" w:rsidR="00DA4828" w:rsidRDefault="00C977BF" w:rsidP="00DA4828">
      <w:pPr>
        <w:tabs>
          <w:tab w:val="left" w:pos="432"/>
        </w:tabs>
        <w:spacing w:after="120"/>
        <w:ind w:left="864" w:hanging="576"/>
      </w:pPr>
      <w:r>
        <w:t>2.</w:t>
      </w:r>
      <w:r>
        <w:tab/>
        <w:t>Requirements:</w:t>
      </w:r>
    </w:p>
    <w:p w14:paraId="11D4F4D0" w14:textId="1A357A25" w:rsidR="00DA4828" w:rsidRDefault="00C977BF" w:rsidP="00DA4828">
      <w:pPr>
        <w:tabs>
          <w:tab w:val="left" w:pos="432"/>
        </w:tabs>
        <w:spacing w:after="120"/>
        <w:ind w:left="1440" w:hanging="576"/>
      </w:pPr>
      <w:r>
        <w:t>a.</w:t>
      </w:r>
      <w:r>
        <w:tab/>
        <w:t>Label the specimen</w:t>
      </w:r>
      <w:r w:rsidR="00DA4828">
        <w:t xml:space="preserve"> with required patient identification.</w:t>
      </w:r>
    </w:p>
    <w:p w14:paraId="5B1B01A6" w14:textId="7F3CC97F" w:rsidR="00DA4828" w:rsidRDefault="00C977BF" w:rsidP="00DA4828">
      <w:pPr>
        <w:tabs>
          <w:tab w:val="left" w:pos="432"/>
        </w:tabs>
        <w:spacing w:after="120"/>
        <w:ind w:left="1440" w:hanging="576"/>
      </w:pPr>
      <w:r>
        <w:t>b.</w:t>
      </w:r>
      <w:r>
        <w:tab/>
        <w:t>Place the specimen</w:t>
      </w:r>
      <w:r w:rsidR="00DA4828">
        <w:t xml:space="preserve"> in a biohazard bag for transport.</w:t>
      </w:r>
    </w:p>
    <w:p w14:paraId="331EAF20" w14:textId="70AF70A9" w:rsidR="00DA4828" w:rsidRDefault="00B91812" w:rsidP="00DA4828">
      <w:pPr>
        <w:tabs>
          <w:tab w:val="left" w:pos="432"/>
        </w:tabs>
        <w:spacing w:after="120"/>
        <w:ind w:left="1440" w:hanging="576"/>
      </w:pPr>
      <w:r>
        <w:t>c.</w:t>
      </w:r>
      <w:r>
        <w:tab/>
        <w:t xml:space="preserve">The external surface of the bag should be wiped with available cleaning wipes (bleach or hydrogen peroxide are acceptable). </w:t>
      </w:r>
    </w:p>
    <w:p w14:paraId="481FFDD7" w14:textId="5D55C124" w:rsidR="00B91812" w:rsidRDefault="00B91812" w:rsidP="00DA4828">
      <w:pPr>
        <w:tabs>
          <w:tab w:val="left" w:pos="432"/>
        </w:tabs>
        <w:spacing w:after="120"/>
        <w:ind w:left="1440" w:hanging="576"/>
      </w:pPr>
      <w:r>
        <w:t>d.</w:t>
      </w:r>
      <w:r>
        <w:tab/>
        <w:t>Place</w:t>
      </w:r>
      <w:r w:rsidR="00C977BF">
        <w:t xml:space="preserve"> the specimen i</w:t>
      </w:r>
      <w:r>
        <w:t xml:space="preserve">n a second </w:t>
      </w:r>
      <w:r w:rsidR="00C977BF">
        <w:t xml:space="preserve">biohazard </w:t>
      </w:r>
      <w:r>
        <w:t>bag.</w:t>
      </w:r>
    </w:p>
    <w:p w14:paraId="271E2AB5" w14:textId="218FA1DB" w:rsidR="00C977BF" w:rsidRDefault="00C977BF" w:rsidP="00DA4828">
      <w:pPr>
        <w:tabs>
          <w:tab w:val="left" w:pos="432"/>
        </w:tabs>
        <w:spacing w:after="120"/>
        <w:ind w:left="1440" w:hanging="576"/>
      </w:pPr>
      <w:r>
        <w:t>e.</w:t>
      </w:r>
      <w:r>
        <w:tab/>
        <w:t xml:space="preserve">Complete paperwork outside the specimen collection area, and place in the external pocket of the second </w:t>
      </w:r>
      <w:proofErr w:type="gramStart"/>
      <w:r>
        <w:t>biohazard specimen transport bag</w:t>
      </w:r>
      <w:proofErr w:type="gramEnd"/>
    </w:p>
    <w:p w14:paraId="1581F4EA" w14:textId="13838CB1" w:rsidR="00B91812" w:rsidRDefault="00C977BF" w:rsidP="00DA4828">
      <w:pPr>
        <w:tabs>
          <w:tab w:val="left" w:pos="432"/>
        </w:tabs>
        <w:spacing w:after="120"/>
        <w:ind w:left="1440" w:hanging="576"/>
      </w:pPr>
      <w:r>
        <w:t>f.</w:t>
      </w:r>
      <w:r>
        <w:tab/>
        <w:t>Transport to the t</w:t>
      </w:r>
      <w:r w:rsidR="00B91812">
        <w:t>esting location in person (</w:t>
      </w:r>
      <w:r w:rsidR="00B91812">
        <w:rPr>
          <w:b/>
        </w:rPr>
        <w:t>use of pneumatic tube is prohibited).</w:t>
      </w:r>
    </w:p>
    <w:p w14:paraId="0100F154" w14:textId="77777777" w:rsidR="00C977BF" w:rsidRDefault="00C977BF">
      <w:r>
        <w:br w:type="page"/>
      </w:r>
    </w:p>
    <w:p w14:paraId="41664475" w14:textId="5C88A3CE" w:rsidR="00B91812" w:rsidRDefault="00747079" w:rsidP="00B91812">
      <w:pPr>
        <w:tabs>
          <w:tab w:val="left" w:pos="432"/>
        </w:tabs>
        <w:spacing w:after="120"/>
        <w:ind w:left="1008" w:hanging="576"/>
      </w:pPr>
      <w:r>
        <w:lastRenderedPageBreak/>
        <w:t>Routine Sample</w:t>
      </w:r>
      <w:r w:rsidR="00B91812">
        <w:t xml:space="preserve"> Handling and Testing</w:t>
      </w:r>
    </w:p>
    <w:p w14:paraId="3D2D332E" w14:textId="47E12961" w:rsidR="00747079" w:rsidRDefault="00C977BF" w:rsidP="00747079">
      <w:pPr>
        <w:tabs>
          <w:tab w:val="left" w:pos="432"/>
        </w:tabs>
        <w:spacing w:after="120"/>
        <w:ind w:left="864"/>
      </w:pPr>
      <w:r>
        <w:t>Handle s</w:t>
      </w:r>
      <w:r w:rsidR="00747079">
        <w:t>pecimens for routine diagnostic t</w:t>
      </w:r>
      <w:r>
        <w:t>esting procedures</w:t>
      </w:r>
      <w:r w:rsidR="00747079">
        <w:t xml:space="preserve"> in a biol</w:t>
      </w:r>
      <w:r>
        <w:t>ogical safety cabinet (BSC-2).</w:t>
      </w:r>
    </w:p>
    <w:p w14:paraId="0CD9F43F" w14:textId="6DED9166" w:rsidR="00B91812" w:rsidRDefault="00B91812" w:rsidP="00B91812">
      <w:pPr>
        <w:tabs>
          <w:tab w:val="left" w:pos="432"/>
        </w:tabs>
        <w:spacing w:after="120"/>
        <w:ind w:left="1440" w:hanging="576"/>
      </w:pPr>
      <w:r>
        <w:t>a.</w:t>
      </w:r>
      <w:r>
        <w:tab/>
        <w:t>The</w:t>
      </w:r>
      <w:r w:rsidR="00747079">
        <w:t xml:space="preserve"> lab will</w:t>
      </w:r>
      <w:r>
        <w:t xml:space="preserve"> limit any procedures/processes that can potentially aerosolize a sample.</w:t>
      </w:r>
    </w:p>
    <w:p w14:paraId="0F2E706E" w14:textId="45A6C519" w:rsidR="00B91812" w:rsidRDefault="00B91812" w:rsidP="00B91812">
      <w:pPr>
        <w:tabs>
          <w:tab w:val="left" w:pos="432"/>
        </w:tabs>
        <w:spacing w:after="120"/>
        <w:ind w:left="1440" w:hanging="576"/>
      </w:pPr>
      <w:r>
        <w:t>b.</w:t>
      </w:r>
      <w:r>
        <w:tab/>
        <w:t xml:space="preserve">A biological safety cabinet </w:t>
      </w:r>
      <w:r w:rsidR="007F6C86">
        <w:t xml:space="preserve">(BSC) </w:t>
      </w:r>
      <w:proofErr w:type="gramStart"/>
      <w:r>
        <w:t>will be used</w:t>
      </w:r>
      <w:proofErr w:type="gramEnd"/>
      <w:r>
        <w:t xml:space="preserve"> to contain any possible aerosolized sample during specimen manipulation.</w:t>
      </w:r>
    </w:p>
    <w:p w14:paraId="7A88B4BB" w14:textId="2197FC8C" w:rsidR="00B91812" w:rsidRDefault="007F6C86" w:rsidP="00B91812">
      <w:pPr>
        <w:tabs>
          <w:tab w:val="left" w:pos="432"/>
        </w:tabs>
        <w:spacing w:after="120"/>
        <w:ind w:left="1440" w:hanging="576"/>
      </w:pPr>
      <w:r>
        <w:t>c.</w:t>
      </w:r>
      <w:r>
        <w:tab/>
      </w:r>
      <w:proofErr w:type="spellStart"/>
      <w:r>
        <w:t>Aliquoting</w:t>
      </w:r>
      <w:proofErr w:type="spellEnd"/>
      <w:r>
        <w:t xml:space="preserve"> </w:t>
      </w:r>
      <w:proofErr w:type="gramStart"/>
      <w:r>
        <w:t>should be performed</w:t>
      </w:r>
      <w:proofErr w:type="gramEnd"/>
      <w:r>
        <w:t xml:space="preserve"> in the BSC.</w:t>
      </w:r>
    </w:p>
    <w:p w14:paraId="40B96523" w14:textId="14743029" w:rsidR="007F6C86" w:rsidRPr="00B91812" w:rsidRDefault="007F6C86" w:rsidP="00B91812">
      <w:pPr>
        <w:tabs>
          <w:tab w:val="left" w:pos="432"/>
        </w:tabs>
        <w:spacing w:after="120"/>
        <w:ind w:left="1440" w:hanging="576"/>
      </w:pPr>
      <w:r>
        <w:t>d.</w:t>
      </w:r>
      <w:r>
        <w:tab/>
        <w:t>If an instrument requires an uncapped tube, uncap using a barrier.</w:t>
      </w:r>
    </w:p>
    <w:p w14:paraId="5E108741" w14:textId="306391E5" w:rsidR="00DA4828" w:rsidRDefault="007F6C86" w:rsidP="007F6C86">
      <w:pPr>
        <w:tabs>
          <w:tab w:val="left" w:pos="432"/>
        </w:tabs>
        <w:spacing w:after="120"/>
        <w:ind w:left="1296" w:hanging="864"/>
      </w:pPr>
      <w:r>
        <w:rPr>
          <w:b/>
        </w:rPr>
        <w:t>NOTE:</w:t>
      </w:r>
      <w:r>
        <w:rPr>
          <w:b/>
        </w:rPr>
        <w:tab/>
      </w:r>
      <w:r w:rsidR="00DA4828">
        <w:t xml:space="preserve">Specimens for culture that may contain known or suspected Category </w:t>
      </w:r>
      <w:proofErr w:type="gramStart"/>
      <w:r w:rsidR="00DA4828">
        <w:t>A</w:t>
      </w:r>
      <w:proofErr w:type="gramEnd"/>
      <w:r w:rsidR="00DA4828">
        <w:t xml:space="preserve"> pathogens must be referred to the Pennsylvania Department of Health for testing.</w:t>
      </w:r>
    </w:p>
    <w:p w14:paraId="08BA5C29" w14:textId="6CC224C6" w:rsidR="005738A5" w:rsidRDefault="007F6C86" w:rsidP="007F6C86">
      <w:pPr>
        <w:spacing w:after="120"/>
        <w:ind w:left="432"/>
      </w:pPr>
      <w:r>
        <w:t>Waste Disposal and Decontamination</w:t>
      </w:r>
    </w:p>
    <w:p w14:paraId="6F09B903" w14:textId="18FC6656" w:rsidR="007F6C86" w:rsidRDefault="00C977BF" w:rsidP="007F6C86">
      <w:pPr>
        <w:spacing w:after="120"/>
        <w:ind w:left="864"/>
      </w:pPr>
      <w:r>
        <w:t>a.</w:t>
      </w:r>
      <w:r>
        <w:tab/>
        <w:t xml:space="preserve">Waste is to </w:t>
      </w:r>
      <w:proofErr w:type="gramStart"/>
      <w:r>
        <w:t>be handl</w:t>
      </w:r>
      <w:r w:rsidR="007F6C86">
        <w:t>ed</w:t>
      </w:r>
      <w:proofErr w:type="gramEnd"/>
      <w:r w:rsidR="007F6C86">
        <w:t xml:space="preserve"> as biohazardous waste.</w:t>
      </w:r>
    </w:p>
    <w:p w14:paraId="7A322339" w14:textId="13DE2FBB" w:rsidR="007F6C86" w:rsidRDefault="007F6C86" w:rsidP="007F6C86">
      <w:pPr>
        <w:spacing w:after="120"/>
        <w:ind w:left="1296" w:hanging="432"/>
      </w:pPr>
      <w:r>
        <w:t>b.</w:t>
      </w:r>
      <w:r>
        <w:tab/>
        <w:t>Follow manufacturer's instructions for cleaning and decontamination of equipment.</w:t>
      </w:r>
    </w:p>
    <w:p w14:paraId="4DD9DB3F" w14:textId="2094200B" w:rsidR="007F6C86" w:rsidRDefault="007F6C86" w:rsidP="007F6C86">
      <w:pPr>
        <w:spacing w:after="120"/>
        <w:ind w:left="1296" w:hanging="432"/>
      </w:pPr>
      <w:r>
        <w:t>c.</w:t>
      </w:r>
      <w:r>
        <w:tab/>
        <w:t>Decontaminate work surfaces using an EPA and UPMC approved disinfectant.</w:t>
      </w:r>
    </w:p>
    <w:p w14:paraId="19319C8C" w14:textId="77777777" w:rsidR="00C8555A" w:rsidRDefault="00C8555A">
      <w:pPr>
        <w:rPr>
          <w:b/>
        </w:rPr>
      </w:pPr>
      <w:r>
        <w:rPr>
          <w:b/>
        </w:rPr>
        <w:br w:type="page"/>
      </w:r>
    </w:p>
    <w:p w14:paraId="0C350B6C" w14:textId="403DC3B5" w:rsidR="00C8555A" w:rsidRDefault="00C8555A" w:rsidP="00713355">
      <w:pPr>
        <w:spacing w:after="120"/>
        <w:rPr>
          <w:b/>
        </w:rPr>
      </w:pPr>
      <w:r>
        <w:object w:dxaOrig="9360" w:dyaOrig="9033" w14:anchorId="3479D0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451.5pt" o:ole="">
            <v:imagedata r:id="rId8" o:title=""/>
          </v:shape>
          <o:OLEObject Type="Embed" ProgID="Word.Document.12" ShapeID="_x0000_i1025" DrawAspect="Content" ObjectID="_1689152658" r:id="rId9">
            <o:FieldCodes>\s</o:FieldCodes>
          </o:OLEObject>
        </w:object>
      </w:r>
    </w:p>
    <w:p w14:paraId="630EDC8B" w14:textId="77777777" w:rsidR="008E4116" w:rsidRDefault="008E4116">
      <w:pPr>
        <w:rPr>
          <w:b/>
        </w:rPr>
      </w:pPr>
      <w:r>
        <w:rPr>
          <w:b/>
        </w:rPr>
        <w:br w:type="page"/>
      </w:r>
    </w:p>
    <w:p w14:paraId="3600A78B" w14:textId="7489BC6F" w:rsidR="00D14301" w:rsidRPr="005738A5" w:rsidRDefault="00A243BF" w:rsidP="00713355">
      <w:pPr>
        <w:spacing w:after="120"/>
        <w:rPr>
          <w:b/>
        </w:rPr>
      </w:pPr>
      <w:r w:rsidRPr="005738A5">
        <w:rPr>
          <w:b/>
        </w:rPr>
        <w:t>REFERENCES:</w:t>
      </w:r>
    </w:p>
    <w:p w14:paraId="2E025769" w14:textId="2B195CEB" w:rsidR="00713355" w:rsidRPr="005738A5" w:rsidRDefault="00713355" w:rsidP="007F6C86">
      <w:pPr>
        <w:spacing w:after="120"/>
        <w:ind w:left="288" w:hanging="144"/>
      </w:pPr>
      <w:r w:rsidRPr="005738A5">
        <w:t>UPMC Laboratory Service Center.  LSC Lab Testing Safety Guidelines: Handling of PUI/Positive Patient COVID-19 Samples.  4/2/2020.</w:t>
      </w:r>
    </w:p>
    <w:p w14:paraId="301191DC" w14:textId="3E90074F" w:rsidR="00713355" w:rsidRDefault="005738A5" w:rsidP="00F95901">
      <w:pPr>
        <w:spacing w:after="120"/>
        <w:ind w:left="288" w:hanging="144"/>
      </w:pPr>
      <w:r w:rsidRPr="005738A5">
        <w:t>CDC</w:t>
      </w:r>
      <w:proofErr w:type="gramStart"/>
      <w:r w:rsidRPr="005738A5">
        <w:t>.</w:t>
      </w:r>
      <w:r>
        <w:t xml:space="preserve">  Interim</w:t>
      </w:r>
      <w:proofErr w:type="gramEnd"/>
      <w:r>
        <w:t xml:space="preserve"> Laboratory Biosafety Guidelines for Handling and Processing Specimens Associated with </w:t>
      </w:r>
      <w:proofErr w:type="spellStart"/>
      <w:r>
        <w:t>Coronoavirus</w:t>
      </w:r>
      <w:proofErr w:type="spellEnd"/>
      <w:r>
        <w:t xml:space="preserve"> Disease 2019 (COVID-2019).  6/11/2021.</w:t>
      </w:r>
    </w:p>
    <w:p w14:paraId="36753F23" w14:textId="47E3F9B2" w:rsidR="00C8555A" w:rsidRDefault="00C8555A" w:rsidP="00F95901">
      <w:pPr>
        <w:spacing w:after="120"/>
        <w:ind w:left="288" w:hanging="144"/>
      </w:pPr>
      <w:r>
        <w:t>UPMC Hanover.  Packing and Shipping UN2814 Infectious Substances Infecting Humans: Category A Pathogens.  8/2019.</w:t>
      </w:r>
    </w:p>
    <w:p w14:paraId="6FE4EC93" w14:textId="05C68293" w:rsidR="00F95901" w:rsidRDefault="00B332C1" w:rsidP="00F95901">
      <w:pPr>
        <w:spacing w:after="120"/>
        <w:ind w:left="288" w:hanging="144"/>
      </w:pPr>
      <w:r>
        <w:t xml:space="preserve">College of American Pathologists.  GEN.74 050.  Specimen </w:t>
      </w:r>
      <w:proofErr w:type="spellStart"/>
      <w:r>
        <w:t>Handlng</w:t>
      </w:r>
      <w:proofErr w:type="spellEnd"/>
      <w:r>
        <w:t xml:space="preserve"> and Processing.   6/4/2020.</w:t>
      </w:r>
    </w:p>
    <w:sectPr w:rsidR="00F95901" w:rsidSect="005B1667">
      <w:headerReference w:type="even" r:id="rId10"/>
      <w:headerReference w:type="default" r:id="rId11"/>
      <w:headerReference w:type="first" r:id="rId12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B3F54" w14:textId="77777777" w:rsidR="00F12940" w:rsidRDefault="00F12940">
      <w:r>
        <w:separator/>
      </w:r>
    </w:p>
  </w:endnote>
  <w:endnote w:type="continuationSeparator" w:id="0">
    <w:p w14:paraId="66BA83E0" w14:textId="77777777" w:rsidR="00F12940" w:rsidRDefault="00F1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7CA2A" w14:textId="77777777" w:rsidR="00F12940" w:rsidRDefault="00F12940">
      <w:r>
        <w:separator/>
      </w:r>
    </w:p>
  </w:footnote>
  <w:footnote w:type="continuationSeparator" w:id="0">
    <w:p w14:paraId="0C0C1F52" w14:textId="77777777" w:rsidR="00F12940" w:rsidRDefault="00F12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B658A" w14:textId="77777777" w:rsidR="00E27290" w:rsidRDefault="003D542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2729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733467" w14:textId="77777777" w:rsidR="00E27290" w:rsidRDefault="00E2729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EAF79" w14:textId="6D0A2642" w:rsidR="0015799B" w:rsidRPr="00FB3743" w:rsidRDefault="00362C24" w:rsidP="0015799B">
    <w:pPr>
      <w:rPr>
        <w:b/>
        <w:noProof/>
        <w:sz w:val="36"/>
        <w:szCs w:val="36"/>
      </w:rPr>
    </w:pPr>
    <w:r w:rsidRPr="00FB3743">
      <w:rPr>
        <w:b/>
        <w:noProof/>
        <w:sz w:val="40"/>
        <w:szCs w:val="40"/>
      </w:rPr>
      <w:t xml:space="preserve">UPMC </w:t>
    </w:r>
    <w:r w:rsidR="00C42126" w:rsidRPr="00FB3743">
      <w:rPr>
        <w:b/>
        <w:noProof/>
        <w:sz w:val="40"/>
        <w:szCs w:val="40"/>
      </w:rPr>
      <w:t>|</w:t>
    </w:r>
    <w:r w:rsidR="00C42126" w:rsidRPr="00FB3743">
      <w:rPr>
        <w:b/>
        <w:noProof/>
        <w:sz w:val="36"/>
        <w:szCs w:val="36"/>
      </w:rPr>
      <w:t xml:space="preserve"> </w:t>
    </w:r>
    <w:r w:rsidR="00C42126" w:rsidRPr="00FB3743">
      <w:rPr>
        <w:rFonts w:ascii="Arial Black" w:hAnsi="Arial Black"/>
        <w:noProof/>
        <w:sz w:val="28"/>
        <w:szCs w:val="28"/>
      </w:rPr>
      <w:t>H</w:t>
    </w:r>
    <w:r w:rsidR="00C42126" w:rsidRPr="00FB3743">
      <w:rPr>
        <w:rFonts w:ascii="Arial Black" w:hAnsi="Arial Black"/>
        <w:noProof/>
        <w:sz w:val="28"/>
        <w:szCs w:val="28"/>
      </w:rPr>
      <w:tab/>
      <w:t>ANOVER</w:t>
    </w:r>
  </w:p>
  <w:p w14:paraId="1A4FA331" w14:textId="50D93C1E" w:rsidR="00362C24" w:rsidRDefault="00DE5AA6" w:rsidP="0015799B">
    <w:pPr>
      <w:rPr>
        <w:b/>
        <w:sz w:val="22"/>
        <w:szCs w:val="22"/>
      </w:rPr>
    </w:pPr>
    <w:r>
      <w:rPr>
        <w:b/>
        <w:sz w:val="22"/>
        <w:szCs w:val="22"/>
      </w:rPr>
      <w:t>Laboratory</w:t>
    </w:r>
  </w:p>
  <w:p w14:paraId="64D11564" w14:textId="4A15B295" w:rsidR="00DE5AA6" w:rsidRPr="00DE5AA6" w:rsidRDefault="00DE5AA6" w:rsidP="0015799B">
    <w:pPr>
      <w:rPr>
        <w:b/>
        <w:sz w:val="22"/>
        <w:szCs w:val="22"/>
      </w:rPr>
    </w:pPr>
    <w:r>
      <w:rPr>
        <w:b/>
        <w:sz w:val="22"/>
        <w:szCs w:val="22"/>
      </w:rPr>
      <w:t>Cindy L Sturtz, MD, Medical Director</w:t>
    </w:r>
  </w:p>
  <w:p w14:paraId="6FBE9E3B" w14:textId="7C2F4930" w:rsidR="0015799B" w:rsidRPr="00DE5AA6" w:rsidRDefault="0015799B" w:rsidP="00DE5AA6">
    <w:pPr>
      <w:spacing w:before="120" w:after="120"/>
      <w:rPr>
        <w:b/>
        <w:iCs/>
        <w:sz w:val="20"/>
        <w:szCs w:val="20"/>
      </w:rPr>
    </w:pPr>
  </w:p>
  <w:tbl>
    <w:tblPr>
      <w:tblW w:w="95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655"/>
      <w:gridCol w:w="2933"/>
    </w:tblGrid>
    <w:tr w:rsidR="00FB3743" w:rsidRPr="00FB3743" w14:paraId="0676C478" w14:textId="77777777" w:rsidTr="00DE5AA6">
      <w:tc>
        <w:tcPr>
          <w:tcW w:w="6655" w:type="dxa"/>
          <w:vAlign w:val="center"/>
        </w:tcPr>
        <w:p w14:paraId="3C4B3931" w14:textId="0BF4A5D4" w:rsidR="00472D01" w:rsidRPr="0025760D" w:rsidRDefault="00620AD8" w:rsidP="004D2341">
          <w:pPr>
            <w:spacing w:before="120" w:after="120"/>
            <w:rPr>
              <w:b/>
            </w:rPr>
          </w:pPr>
          <w:r>
            <w:rPr>
              <w:b/>
            </w:rPr>
            <w:t>Safe Handling of Suspected Highly Infectious Pathogens</w:t>
          </w:r>
        </w:p>
      </w:tc>
      <w:tc>
        <w:tcPr>
          <w:tcW w:w="2933" w:type="dxa"/>
          <w:vAlign w:val="center"/>
        </w:tcPr>
        <w:p w14:paraId="56C9600D" w14:textId="08179202" w:rsidR="0015799B" w:rsidRPr="00FB3743" w:rsidRDefault="0015799B" w:rsidP="004D2341">
          <w:pPr>
            <w:spacing w:before="120" w:after="120"/>
            <w:jc w:val="center"/>
            <w:rPr>
              <w:sz w:val="22"/>
              <w:szCs w:val="22"/>
            </w:rPr>
          </w:pPr>
          <w:r w:rsidRPr="00FB3743">
            <w:rPr>
              <w:sz w:val="22"/>
              <w:szCs w:val="22"/>
            </w:rPr>
            <w:t xml:space="preserve">Page </w:t>
          </w:r>
          <w:r w:rsidRPr="00FB3743">
            <w:rPr>
              <w:b/>
              <w:sz w:val="22"/>
              <w:szCs w:val="22"/>
            </w:rPr>
            <w:fldChar w:fldCharType="begin"/>
          </w:r>
          <w:r w:rsidRPr="00FB3743">
            <w:rPr>
              <w:b/>
              <w:sz w:val="22"/>
              <w:szCs w:val="22"/>
            </w:rPr>
            <w:instrText xml:space="preserve"> PAGE  \* Arabic  \* MERGEFORMAT </w:instrText>
          </w:r>
          <w:r w:rsidRPr="00FB3743">
            <w:rPr>
              <w:b/>
              <w:sz w:val="22"/>
              <w:szCs w:val="22"/>
            </w:rPr>
            <w:fldChar w:fldCharType="separate"/>
          </w:r>
          <w:r w:rsidR="00696E67">
            <w:rPr>
              <w:b/>
              <w:noProof/>
              <w:sz w:val="22"/>
              <w:szCs w:val="22"/>
            </w:rPr>
            <w:t>4</w:t>
          </w:r>
          <w:r w:rsidRPr="00FB3743">
            <w:rPr>
              <w:b/>
              <w:sz w:val="22"/>
              <w:szCs w:val="22"/>
            </w:rPr>
            <w:fldChar w:fldCharType="end"/>
          </w:r>
          <w:r w:rsidRPr="00FB3743">
            <w:rPr>
              <w:sz w:val="22"/>
              <w:szCs w:val="22"/>
            </w:rPr>
            <w:t xml:space="preserve"> of </w:t>
          </w:r>
          <w:r w:rsidRPr="00FB3743">
            <w:rPr>
              <w:b/>
              <w:sz w:val="22"/>
              <w:szCs w:val="22"/>
            </w:rPr>
            <w:fldChar w:fldCharType="begin"/>
          </w:r>
          <w:r w:rsidRPr="00FB3743">
            <w:rPr>
              <w:b/>
              <w:sz w:val="22"/>
              <w:szCs w:val="22"/>
            </w:rPr>
            <w:instrText xml:space="preserve"> NUMPAGES  \* Arabic  \* MERGEFORMAT </w:instrText>
          </w:r>
          <w:r w:rsidRPr="00FB3743">
            <w:rPr>
              <w:b/>
              <w:sz w:val="22"/>
              <w:szCs w:val="22"/>
            </w:rPr>
            <w:fldChar w:fldCharType="separate"/>
          </w:r>
          <w:r w:rsidR="00696E67">
            <w:rPr>
              <w:b/>
              <w:noProof/>
              <w:sz w:val="22"/>
              <w:szCs w:val="22"/>
            </w:rPr>
            <w:t>4</w:t>
          </w:r>
          <w:r w:rsidRPr="00FB3743">
            <w:rPr>
              <w:b/>
              <w:sz w:val="22"/>
              <w:szCs w:val="22"/>
            </w:rPr>
            <w:fldChar w:fldCharType="end"/>
          </w:r>
        </w:p>
      </w:tc>
    </w:tr>
    <w:tr w:rsidR="00DE5AA6" w:rsidRPr="00FB3743" w14:paraId="43117F0C" w14:textId="77777777" w:rsidTr="00DE5AA6">
      <w:tc>
        <w:tcPr>
          <w:tcW w:w="6655" w:type="dxa"/>
          <w:vAlign w:val="bottom"/>
        </w:tcPr>
        <w:p w14:paraId="1654C987" w14:textId="77777777" w:rsidR="00DE5AA6" w:rsidRDefault="00DE5AA6" w:rsidP="00DE5AA6">
          <w:pPr>
            <w:rPr>
              <w:sz w:val="22"/>
              <w:szCs w:val="22"/>
            </w:rPr>
          </w:pPr>
        </w:p>
        <w:p w14:paraId="7F964D0E" w14:textId="239C4737" w:rsidR="00DE5AA6" w:rsidRPr="00FB3743" w:rsidRDefault="00DE5AA6" w:rsidP="00DE5AA6">
          <w:pPr>
            <w:spacing w:before="120" w:after="120"/>
            <w:rPr>
              <w:sz w:val="22"/>
              <w:szCs w:val="22"/>
            </w:rPr>
          </w:pPr>
          <w:r>
            <w:rPr>
              <w:sz w:val="22"/>
              <w:szCs w:val="22"/>
            </w:rPr>
            <w:t>Cindy L Sturtz, MD</w:t>
          </w:r>
        </w:p>
      </w:tc>
      <w:tc>
        <w:tcPr>
          <w:tcW w:w="2933" w:type="dxa"/>
          <w:vAlign w:val="bottom"/>
        </w:tcPr>
        <w:p w14:paraId="44170B18" w14:textId="215862C6" w:rsidR="00DE5AA6" w:rsidRPr="00FB3743" w:rsidRDefault="00DE5AA6" w:rsidP="004D2341">
          <w:pPr>
            <w:spacing w:before="120" w:after="120"/>
            <w:rPr>
              <w:b/>
              <w:sz w:val="22"/>
              <w:szCs w:val="22"/>
            </w:rPr>
          </w:pPr>
          <w:r w:rsidRPr="00FB3743">
            <w:rPr>
              <w:b/>
              <w:sz w:val="22"/>
              <w:szCs w:val="22"/>
            </w:rPr>
            <w:t>Date:</w:t>
          </w:r>
          <w:r w:rsidR="00B332C1">
            <w:rPr>
              <w:b/>
              <w:sz w:val="22"/>
              <w:szCs w:val="22"/>
            </w:rPr>
            <w:tab/>
            <w:t>7/30/2021</w:t>
          </w:r>
        </w:p>
      </w:tc>
    </w:tr>
  </w:tbl>
  <w:p w14:paraId="1143B558" w14:textId="77777777" w:rsidR="00E27290" w:rsidRPr="0015799B" w:rsidRDefault="00E27290" w:rsidP="008E41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F50A" w14:textId="77777777" w:rsidR="00E0145B" w:rsidRDefault="008A0744" w:rsidP="004172C4">
    <w:r>
      <w:ptab w:relativeTo="margin" w:alignment="left" w:leader="none"/>
    </w:r>
    <w:r w:rsidRPr="008A0744">
      <w:rPr>
        <w:noProof/>
      </w:rPr>
      <w:drawing>
        <wp:inline distT="0" distB="0" distL="0" distR="0" wp14:anchorId="0E83AB9E" wp14:editId="6C5B88F0">
          <wp:extent cx="2421890" cy="692150"/>
          <wp:effectExtent l="0" t="0" r="0" b="0"/>
          <wp:docPr id="7" name="Picture 7" descr="C:\Users\solanicks\Desktop\UPM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lanicks\Desktop\UPM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189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693EC0" w14:textId="77777777" w:rsidR="004172C4" w:rsidRPr="004172C4" w:rsidRDefault="004172C4" w:rsidP="00122BC6">
    <w:pPr>
      <w:jc w:val="center"/>
      <w:rPr>
        <w:b/>
        <w:i/>
      </w:rPr>
    </w:pPr>
    <w:bookmarkStart w:id="1" w:name="_Hlk1645001"/>
    <w:r>
      <w:rPr>
        <w:b/>
        <w:i/>
      </w:rPr>
      <w:t>Department of Pathology/Laboratory</w:t>
    </w:r>
    <w:r>
      <w:rPr>
        <w:b/>
        <w:i/>
      </w:rPr>
      <w:tab/>
    </w:r>
    <w:bookmarkEnd w:id="1"/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  <w:t>Policy/Procedure</w:t>
    </w:r>
  </w:p>
  <w:p w14:paraId="6999157A" w14:textId="77777777" w:rsidR="00E0145B" w:rsidRPr="00EF2B74" w:rsidRDefault="00E0145B" w:rsidP="00E0145B"/>
  <w:tbl>
    <w:tblPr>
      <w:tblW w:w="95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024"/>
      <w:gridCol w:w="3024"/>
      <w:gridCol w:w="1314"/>
      <w:gridCol w:w="2226"/>
    </w:tblGrid>
    <w:tr w:rsidR="00E0145B" w:rsidRPr="0096555E" w14:paraId="55E693F4" w14:textId="77777777" w:rsidTr="0015799B">
      <w:tc>
        <w:tcPr>
          <w:tcW w:w="7362" w:type="dxa"/>
          <w:gridSpan w:val="3"/>
        </w:tcPr>
        <w:p w14:paraId="30D9DF55" w14:textId="0AFBE9D3" w:rsidR="00E0145B" w:rsidRPr="0076218A" w:rsidRDefault="00C064E8" w:rsidP="009E7641">
          <w:pPr>
            <w:spacing w:before="120" w:after="120"/>
            <w:rPr>
              <w:b/>
            </w:rPr>
          </w:pPr>
          <w:proofErr w:type="spellStart"/>
          <w:r>
            <w:rPr>
              <w:b/>
            </w:rPr>
            <w:t>Alere</w:t>
          </w:r>
          <w:proofErr w:type="spellEnd"/>
          <w:r>
            <w:rPr>
              <w:b/>
            </w:rPr>
            <w:t xml:space="preserve"> Determine HIV-1/2 Ag/Ab Combo</w:t>
          </w:r>
        </w:p>
      </w:tc>
      <w:tc>
        <w:tcPr>
          <w:tcW w:w="2226" w:type="dxa"/>
        </w:tcPr>
        <w:p w14:paraId="31599CF1" w14:textId="77777777" w:rsidR="00E0145B" w:rsidRPr="0076218A" w:rsidRDefault="00510021" w:rsidP="009E7641">
          <w:pPr>
            <w:spacing w:before="120"/>
            <w:jc w:val="center"/>
            <w:rPr>
              <w:b/>
              <w:color w:val="A6A6A6" w:themeColor="background1" w:themeShade="A6"/>
              <w:sz w:val="22"/>
              <w:szCs w:val="22"/>
            </w:rPr>
          </w:pPr>
          <w:r w:rsidRPr="0076218A">
            <w:rPr>
              <w:b/>
              <w:sz w:val="22"/>
              <w:szCs w:val="22"/>
            </w:rPr>
            <w:t xml:space="preserve">Page </w:t>
          </w:r>
          <w:r w:rsidRPr="0076218A">
            <w:rPr>
              <w:b/>
              <w:sz w:val="22"/>
              <w:szCs w:val="22"/>
            </w:rPr>
            <w:fldChar w:fldCharType="begin"/>
          </w:r>
          <w:r w:rsidRPr="0076218A">
            <w:rPr>
              <w:b/>
              <w:sz w:val="22"/>
              <w:szCs w:val="22"/>
            </w:rPr>
            <w:instrText xml:space="preserve"> PAGE  \* Arabic  \* MERGEFORMAT </w:instrText>
          </w:r>
          <w:r w:rsidRPr="0076218A">
            <w:rPr>
              <w:b/>
              <w:sz w:val="22"/>
              <w:szCs w:val="22"/>
            </w:rPr>
            <w:fldChar w:fldCharType="separate"/>
          </w:r>
          <w:r w:rsidR="00AD03FD">
            <w:rPr>
              <w:b/>
              <w:noProof/>
              <w:sz w:val="22"/>
              <w:szCs w:val="22"/>
            </w:rPr>
            <w:t>1</w:t>
          </w:r>
          <w:r w:rsidRPr="0076218A">
            <w:rPr>
              <w:b/>
              <w:sz w:val="22"/>
              <w:szCs w:val="22"/>
            </w:rPr>
            <w:fldChar w:fldCharType="end"/>
          </w:r>
          <w:r w:rsidRPr="0076218A">
            <w:rPr>
              <w:b/>
              <w:sz w:val="22"/>
              <w:szCs w:val="22"/>
            </w:rPr>
            <w:t xml:space="preserve"> of </w:t>
          </w:r>
          <w:r w:rsidRPr="0076218A">
            <w:rPr>
              <w:b/>
              <w:sz w:val="22"/>
              <w:szCs w:val="22"/>
            </w:rPr>
            <w:fldChar w:fldCharType="begin"/>
          </w:r>
          <w:r w:rsidRPr="0076218A">
            <w:rPr>
              <w:b/>
              <w:sz w:val="22"/>
              <w:szCs w:val="22"/>
            </w:rPr>
            <w:instrText xml:space="preserve"> NUMPAGES  \* Arabic  \* MERGEFORMAT </w:instrText>
          </w:r>
          <w:r w:rsidRPr="0076218A">
            <w:rPr>
              <w:b/>
              <w:sz w:val="22"/>
              <w:szCs w:val="22"/>
            </w:rPr>
            <w:fldChar w:fldCharType="separate"/>
          </w:r>
          <w:r w:rsidR="00AD03FD">
            <w:rPr>
              <w:b/>
              <w:noProof/>
              <w:sz w:val="22"/>
              <w:szCs w:val="22"/>
            </w:rPr>
            <w:t>2</w:t>
          </w:r>
          <w:r w:rsidRPr="0076218A">
            <w:rPr>
              <w:b/>
              <w:sz w:val="22"/>
              <w:szCs w:val="22"/>
            </w:rPr>
            <w:fldChar w:fldCharType="end"/>
          </w:r>
        </w:p>
      </w:tc>
    </w:tr>
    <w:tr w:rsidR="001C2CE2" w:rsidRPr="0096555E" w14:paraId="366FA154" w14:textId="77777777" w:rsidTr="00CD407C">
      <w:tc>
        <w:tcPr>
          <w:tcW w:w="3024" w:type="dxa"/>
        </w:tcPr>
        <w:p w14:paraId="09C6DFA5" w14:textId="77777777" w:rsidR="001C2CE2" w:rsidRPr="001C2CE2" w:rsidRDefault="0076218A" w:rsidP="00472D01">
          <w:pPr>
            <w:rPr>
              <w:sz w:val="22"/>
              <w:szCs w:val="22"/>
            </w:rPr>
          </w:pPr>
          <w:r>
            <w:rPr>
              <w:b/>
              <w:sz w:val="22"/>
              <w:szCs w:val="22"/>
            </w:rPr>
            <w:t>Doc#:</w:t>
          </w:r>
          <w:r>
            <w:rPr>
              <w:b/>
              <w:sz w:val="22"/>
              <w:szCs w:val="22"/>
            </w:rPr>
            <w:tab/>
          </w:r>
          <w:r>
            <w:rPr>
              <w:b/>
              <w:sz w:val="22"/>
              <w:szCs w:val="22"/>
            </w:rPr>
            <w:tab/>
            <w:t>SAF 3004.1</w:t>
          </w:r>
        </w:p>
      </w:tc>
      <w:tc>
        <w:tcPr>
          <w:tcW w:w="3024" w:type="dxa"/>
        </w:tcPr>
        <w:p w14:paraId="2D7E74EA" w14:textId="7E29B9DE" w:rsidR="001C2CE2" w:rsidRPr="0015799B" w:rsidRDefault="0074761E" w:rsidP="0076218A">
          <w:pPr>
            <w:tabs>
              <w:tab w:val="left" w:pos="144"/>
              <w:tab w:val="left" w:pos="360"/>
            </w:tabs>
            <w:rPr>
              <w:color w:val="BFBFBF" w:themeColor="background1" w:themeShade="BF"/>
              <w:sz w:val="22"/>
              <w:szCs w:val="22"/>
            </w:rPr>
          </w:pPr>
          <w:r>
            <w:rPr>
              <w:b/>
              <w:sz w:val="22"/>
              <w:szCs w:val="22"/>
            </w:rPr>
            <w:t>Section:</w:t>
          </w:r>
          <w:r>
            <w:rPr>
              <w:b/>
              <w:sz w:val="22"/>
              <w:szCs w:val="22"/>
            </w:rPr>
            <w:tab/>
            <w:t>Chemistry</w:t>
          </w:r>
        </w:p>
      </w:tc>
      <w:tc>
        <w:tcPr>
          <w:tcW w:w="3540" w:type="dxa"/>
          <w:gridSpan w:val="2"/>
        </w:tcPr>
        <w:p w14:paraId="675802C8" w14:textId="0163227D" w:rsidR="001C2CE2" w:rsidRPr="008004F7" w:rsidRDefault="001C2CE2" w:rsidP="00472D01">
          <w:pPr>
            <w:rPr>
              <w:b/>
              <w:color w:val="BFBFBF" w:themeColor="background1" w:themeShade="BF"/>
              <w:sz w:val="22"/>
              <w:szCs w:val="22"/>
            </w:rPr>
          </w:pPr>
          <w:r>
            <w:rPr>
              <w:b/>
              <w:sz w:val="22"/>
              <w:szCs w:val="22"/>
            </w:rPr>
            <w:t>E</w:t>
          </w:r>
          <w:r w:rsidRPr="005B6700">
            <w:rPr>
              <w:b/>
              <w:sz w:val="22"/>
              <w:szCs w:val="22"/>
            </w:rPr>
            <w:t>ffective Date:</w:t>
          </w:r>
          <w:r w:rsidR="0076218A">
            <w:rPr>
              <w:sz w:val="22"/>
              <w:szCs w:val="22"/>
            </w:rPr>
            <w:tab/>
          </w:r>
          <w:r w:rsidR="0076218A">
            <w:rPr>
              <w:sz w:val="22"/>
              <w:szCs w:val="22"/>
            </w:rPr>
            <w:tab/>
          </w:r>
          <w:r w:rsidR="0074761E">
            <w:rPr>
              <w:b/>
              <w:sz w:val="22"/>
              <w:szCs w:val="22"/>
            </w:rPr>
            <w:t>January 7, 2019</w:t>
          </w:r>
        </w:p>
      </w:tc>
    </w:tr>
  </w:tbl>
  <w:p w14:paraId="738CD1DA" w14:textId="77777777" w:rsidR="00E27290" w:rsidRDefault="00E272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42AB"/>
    <w:multiLevelType w:val="hybridMultilevel"/>
    <w:tmpl w:val="DAB28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906A3"/>
    <w:multiLevelType w:val="hybridMultilevel"/>
    <w:tmpl w:val="A6C20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12357"/>
    <w:multiLevelType w:val="hybridMultilevel"/>
    <w:tmpl w:val="F5C29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A3941"/>
    <w:multiLevelType w:val="hybridMultilevel"/>
    <w:tmpl w:val="A0323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B73CD"/>
    <w:multiLevelType w:val="hybridMultilevel"/>
    <w:tmpl w:val="8CCC0FC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22C458B"/>
    <w:multiLevelType w:val="hybridMultilevel"/>
    <w:tmpl w:val="48EE4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B5AA8"/>
    <w:multiLevelType w:val="hybridMultilevel"/>
    <w:tmpl w:val="B6DE0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248F2"/>
    <w:multiLevelType w:val="hybridMultilevel"/>
    <w:tmpl w:val="43405748"/>
    <w:lvl w:ilvl="0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8" w15:restartNumberingAfterBreak="0">
    <w:nsid w:val="17430C02"/>
    <w:multiLevelType w:val="singleLevel"/>
    <w:tmpl w:val="511649EC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2"/>
      </w:rPr>
    </w:lvl>
  </w:abstractNum>
  <w:abstractNum w:abstractNumId="9" w15:restartNumberingAfterBreak="0">
    <w:nsid w:val="195917C3"/>
    <w:multiLevelType w:val="hybridMultilevel"/>
    <w:tmpl w:val="549AF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9C2770"/>
    <w:multiLevelType w:val="hybridMultilevel"/>
    <w:tmpl w:val="392CD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A50AD6"/>
    <w:multiLevelType w:val="hybridMultilevel"/>
    <w:tmpl w:val="CD8AE2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4B4DE8"/>
    <w:multiLevelType w:val="hybridMultilevel"/>
    <w:tmpl w:val="EEB8BA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1E1BB0"/>
    <w:multiLevelType w:val="hybridMultilevel"/>
    <w:tmpl w:val="B6126104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1FCE4C96"/>
    <w:multiLevelType w:val="hybridMultilevel"/>
    <w:tmpl w:val="D8CA7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98720C"/>
    <w:multiLevelType w:val="hybridMultilevel"/>
    <w:tmpl w:val="F2762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F76B1D"/>
    <w:multiLevelType w:val="hybridMultilevel"/>
    <w:tmpl w:val="A118904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69E3804"/>
    <w:multiLevelType w:val="hybridMultilevel"/>
    <w:tmpl w:val="72B645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0E78E5"/>
    <w:multiLevelType w:val="hybridMultilevel"/>
    <w:tmpl w:val="8C9CE046"/>
    <w:lvl w:ilvl="0" w:tplc="04090003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9" w15:restartNumberingAfterBreak="0">
    <w:nsid w:val="284172DE"/>
    <w:multiLevelType w:val="hybridMultilevel"/>
    <w:tmpl w:val="FDB83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286B8C"/>
    <w:multiLevelType w:val="hybridMultilevel"/>
    <w:tmpl w:val="7682CD1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2AFE0B5F"/>
    <w:multiLevelType w:val="hybridMultilevel"/>
    <w:tmpl w:val="FEACB94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 w15:restartNumberingAfterBreak="0">
    <w:nsid w:val="2B505D88"/>
    <w:multiLevelType w:val="hybridMultilevel"/>
    <w:tmpl w:val="57967FEA"/>
    <w:lvl w:ilvl="0" w:tplc="04090019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3" w15:restartNumberingAfterBreak="0">
    <w:nsid w:val="2C6F5F6C"/>
    <w:multiLevelType w:val="hybridMultilevel"/>
    <w:tmpl w:val="01EE8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4220A9"/>
    <w:multiLevelType w:val="hybridMultilevel"/>
    <w:tmpl w:val="37A052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4B3780A"/>
    <w:multiLevelType w:val="hybridMultilevel"/>
    <w:tmpl w:val="08EA464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6FA5A19"/>
    <w:multiLevelType w:val="hybridMultilevel"/>
    <w:tmpl w:val="5216767E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7" w15:restartNumberingAfterBreak="0">
    <w:nsid w:val="38E855C8"/>
    <w:multiLevelType w:val="hybridMultilevel"/>
    <w:tmpl w:val="29CA8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6D0D67"/>
    <w:multiLevelType w:val="hybridMultilevel"/>
    <w:tmpl w:val="92F8B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9A13A0"/>
    <w:multiLevelType w:val="hybridMultilevel"/>
    <w:tmpl w:val="35E4CF3C"/>
    <w:lvl w:ilvl="0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0" w15:restartNumberingAfterBreak="0">
    <w:nsid w:val="4BC86E0F"/>
    <w:multiLevelType w:val="singleLevel"/>
    <w:tmpl w:val="BA0E36E0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2"/>
      </w:rPr>
    </w:lvl>
  </w:abstractNum>
  <w:abstractNum w:abstractNumId="31" w15:restartNumberingAfterBreak="0">
    <w:nsid w:val="4C632B46"/>
    <w:multiLevelType w:val="hybridMultilevel"/>
    <w:tmpl w:val="C9FA1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3313CF"/>
    <w:multiLevelType w:val="hybridMultilevel"/>
    <w:tmpl w:val="3DD6C702"/>
    <w:lvl w:ilvl="0" w:tplc="9998060A">
      <w:start w:val="1"/>
      <w:numFmt w:val="bullet"/>
      <w:lvlText w:val=""/>
      <w:lvlJc w:val="left"/>
      <w:pPr>
        <w:tabs>
          <w:tab w:val="num" w:pos="504"/>
        </w:tabs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9D7CE1"/>
    <w:multiLevelType w:val="hybridMultilevel"/>
    <w:tmpl w:val="4C92C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3D2D60"/>
    <w:multiLevelType w:val="hybridMultilevel"/>
    <w:tmpl w:val="EEB2C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213C1B"/>
    <w:multiLevelType w:val="hybridMultilevel"/>
    <w:tmpl w:val="DAAA5FF2"/>
    <w:lvl w:ilvl="0" w:tplc="51B618BE">
      <w:start w:val="2"/>
      <w:numFmt w:val="decimal"/>
      <w:lvlText w:val="%1. "/>
      <w:lvlJc w:val="left"/>
      <w:pPr>
        <w:ind w:left="720" w:hanging="360"/>
      </w:pPr>
      <w:rPr>
        <w:b/>
        <w:i w:val="0"/>
        <w:sz w:val="22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CF42CB"/>
    <w:multiLevelType w:val="hybridMultilevel"/>
    <w:tmpl w:val="56C08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FD1D2D"/>
    <w:multiLevelType w:val="hybridMultilevel"/>
    <w:tmpl w:val="EDE89F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764823"/>
    <w:multiLevelType w:val="hybridMultilevel"/>
    <w:tmpl w:val="DCBE20B0"/>
    <w:lvl w:ilvl="0" w:tplc="AE00D2C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AD1765"/>
    <w:multiLevelType w:val="hybridMultilevel"/>
    <w:tmpl w:val="58A62A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E03A45"/>
    <w:multiLevelType w:val="hybridMultilevel"/>
    <w:tmpl w:val="92BE227C"/>
    <w:lvl w:ilvl="0" w:tplc="930CAE4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BB7567"/>
    <w:multiLevelType w:val="hybridMultilevel"/>
    <w:tmpl w:val="EE5CD21C"/>
    <w:lvl w:ilvl="0" w:tplc="040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42" w15:restartNumberingAfterBreak="0">
    <w:nsid w:val="716E6621"/>
    <w:multiLevelType w:val="singleLevel"/>
    <w:tmpl w:val="BDB69790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43" w15:restartNumberingAfterBreak="0">
    <w:nsid w:val="73D33382"/>
    <w:multiLevelType w:val="hybridMultilevel"/>
    <w:tmpl w:val="62F6E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EC306E"/>
    <w:multiLevelType w:val="multilevel"/>
    <w:tmpl w:val="DCBE20B0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D3488B"/>
    <w:multiLevelType w:val="multilevel"/>
    <w:tmpl w:val="4ED843AC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46" w15:restartNumberingAfterBreak="0">
    <w:nsid w:val="7FFB1358"/>
    <w:multiLevelType w:val="singleLevel"/>
    <w:tmpl w:val="7ADA9554"/>
    <w:lvl w:ilvl="0">
      <w:start w:val="1"/>
      <w:numFmt w:val="lowerLetter"/>
      <w:lvlText w:val="%1. "/>
      <w:legacy w:legacy="1" w:legacySpace="0" w:legacyIndent="360"/>
      <w:lvlJc w:val="left"/>
      <w:pPr>
        <w:ind w:left="1080" w:hanging="360"/>
      </w:pPr>
      <w:rPr>
        <w:b w:val="0"/>
        <w:i w:val="0"/>
        <w:sz w:val="22"/>
      </w:rPr>
    </w:lvl>
  </w:abstractNum>
  <w:num w:numId="1">
    <w:abstractNumId w:val="17"/>
  </w:num>
  <w:num w:numId="2">
    <w:abstractNumId w:val="40"/>
  </w:num>
  <w:num w:numId="3">
    <w:abstractNumId w:val="38"/>
  </w:num>
  <w:num w:numId="4">
    <w:abstractNumId w:val="42"/>
  </w:num>
  <w:num w:numId="5">
    <w:abstractNumId w:val="44"/>
  </w:num>
  <w:num w:numId="6">
    <w:abstractNumId w:val="25"/>
  </w:num>
  <w:num w:numId="7">
    <w:abstractNumId w:val="22"/>
  </w:num>
  <w:num w:numId="8">
    <w:abstractNumId w:val="11"/>
  </w:num>
  <w:num w:numId="9">
    <w:abstractNumId w:val="46"/>
  </w:num>
  <w:num w:numId="10">
    <w:abstractNumId w:val="4"/>
  </w:num>
  <w:num w:numId="11">
    <w:abstractNumId w:val="37"/>
  </w:num>
  <w:num w:numId="12">
    <w:abstractNumId w:val="24"/>
  </w:num>
  <w:num w:numId="13">
    <w:abstractNumId w:val="8"/>
  </w:num>
  <w:num w:numId="14">
    <w:abstractNumId w:val="30"/>
  </w:num>
  <w:num w:numId="15">
    <w:abstractNumId w:val="34"/>
  </w:num>
  <w:num w:numId="16">
    <w:abstractNumId w:val="39"/>
  </w:num>
  <w:num w:numId="17">
    <w:abstractNumId w:val="12"/>
  </w:num>
  <w:num w:numId="18">
    <w:abstractNumId w:val="13"/>
  </w:num>
  <w:num w:numId="19">
    <w:abstractNumId w:val="28"/>
  </w:num>
  <w:num w:numId="20">
    <w:abstractNumId w:val="1"/>
  </w:num>
  <w:num w:numId="21">
    <w:abstractNumId w:val="45"/>
  </w:num>
  <w:num w:numId="22">
    <w:abstractNumId w:val="35"/>
  </w:num>
  <w:num w:numId="23">
    <w:abstractNumId w:val="16"/>
  </w:num>
  <w:num w:numId="24">
    <w:abstractNumId w:val="15"/>
  </w:num>
  <w:num w:numId="25">
    <w:abstractNumId w:val="36"/>
  </w:num>
  <w:num w:numId="26">
    <w:abstractNumId w:val="14"/>
  </w:num>
  <w:num w:numId="27">
    <w:abstractNumId w:val="3"/>
  </w:num>
  <w:num w:numId="28">
    <w:abstractNumId w:val="20"/>
  </w:num>
  <w:num w:numId="29">
    <w:abstractNumId w:val="10"/>
  </w:num>
  <w:num w:numId="30">
    <w:abstractNumId w:val="6"/>
  </w:num>
  <w:num w:numId="31">
    <w:abstractNumId w:val="32"/>
  </w:num>
  <w:num w:numId="32">
    <w:abstractNumId w:val="0"/>
  </w:num>
  <w:num w:numId="33">
    <w:abstractNumId w:val="33"/>
  </w:num>
  <w:num w:numId="34">
    <w:abstractNumId w:val="21"/>
  </w:num>
  <w:num w:numId="35">
    <w:abstractNumId w:val="19"/>
  </w:num>
  <w:num w:numId="36">
    <w:abstractNumId w:val="31"/>
  </w:num>
  <w:num w:numId="37">
    <w:abstractNumId w:val="43"/>
  </w:num>
  <w:num w:numId="38">
    <w:abstractNumId w:val="26"/>
  </w:num>
  <w:num w:numId="39">
    <w:abstractNumId w:val="9"/>
  </w:num>
  <w:num w:numId="40">
    <w:abstractNumId w:val="29"/>
  </w:num>
  <w:num w:numId="41">
    <w:abstractNumId w:val="18"/>
  </w:num>
  <w:num w:numId="42">
    <w:abstractNumId w:val="7"/>
  </w:num>
  <w:num w:numId="43">
    <w:abstractNumId w:val="41"/>
  </w:num>
  <w:num w:numId="44">
    <w:abstractNumId w:val="2"/>
  </w:num>
  <w:num w:numId="45">
    <w:abstractNumId w:val="27"/>
  </w:num>
  <w:num w:numId="46">
    <w:abstractNumId w:val="23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5E"/>
    <w:rsid w:val="0000675F"/>
    <w:rsid w:val="00021410"/>
    <w:rsid w:val="00065052"/>
    <w:rsid w:val="00070153"/>
    <w:rsid w:val="000723A2"/>
    <w:rsid w:val="000B282A"/>
    <w:rsid w:val="000C1A49"/>
    <w:rsid w:val="000C6EFA"/>
    <w:rsid w:val="00106D26"/>
    <w:rsid w:val="00122BC6"/>
    <w:rsid w:val="00123D63"/>
    <w:rsid w:val="0013513A"/>
    <w:rsid w:val="00155C1C"/>
    <w:rsid w:val="0015799B"/>
    <w:rsid w:val="00157DA0"/>
    <w:rsid w:val="001A3023"/>
    <w:rsid w:val="001B64DE"/>
    <w:rsid w:val="001B733E"/>
    <w:rsid w:val="001C2CE2"/>
    <w:rsid w:val="001D0016"/>
    <w:rsid w:val="001D2D22"/>
    <w:rsid w:val="001E7D09"/>
    <w:rsid w:val="00217063"/>
    <w:rsid w:val="002333AB"/>
    <w:rsid w:val="00241C28"/>
    <w:rsid w:val="00241ED5"/>
    <w:rsid w:val="00252F6C"/>
    <w:rsid w:val="0025760D"/>
    <w:rsid w:val="00265617"/>
    <w:rsid w:val="00282361"/>
    <w:rsid w:val="00292369"/>
    <w:rsid w:val="002B6A48"/>
    <w:rsid w:val="002C2B04"/>
    <w:rsid w:val="002C78F5"/>
    <w:rsid w:val="002D129D"/>
    <w:rsid w:val="002E344A"/>
    <w:rsid w:val="00313957"/>
    <w:rsid w:val="00330E7C"/>
    <w:rsid w:val="00333B36"/>
    <w:rsid w:val="00335146"/>
    <w:rsid w:val="003469F3"/>
    <w:rsid w:val="00362C24"/>
    <w:rsid w:val="003A6C43"/>
    <w:rsid w:val="003B1288"/>
    <w:rsid w:val="003B46EF"/>
    <w:rsid w:val="003C2C59"/>
    <w:rsid w:val="003C370F"/>
    <w:rsid w:val="003D01FE"/>
    <w:rsid w:val="003D5426"/>
    <w:rsid w:val="003D554C"/>
    <w:rsid w:val="003E12B1"/>
    <w:rsid w:val="003F3F74"/>
    <w:rsid w:val="003F50C8"/>
    <w:rsid w:val="004027F2"/>
    <w:rsid w:val="00402A44"/>
    <w:rsid w:val="004110F1"/>
    <w:rsid w:val="004172C4"/>
    <w:rsid w:val="00417DF4"/>
    <w:rsid w:val="00452BA5"/>
    <w:rsid w:val="00472D01"/>
    <w:rsid w:val="00480177"/>
    <w:rsid w:val="00487D2E"/>
    <w:rsid w:val="00493D21"/>
    <w:rsid w:val="00497EA5"/>
    <w:rsid w:val="004A07B3"/>
    <w:rsid w:val="004A0D79"/>
    <w:rsid w:val="004A457F"/>
    <w:rsid w:val="004C7DDB"/>
    <w:rsid w:val="004D2341"/>
    <w:rsid w:val="004D2731"/>
    <w:rsid w:val="004D5A8A"/>
    <w:rsid w:val="004D6019"/>
    <w:rsid w:val="004E6238"/>
    <w:rsid w:val="00502FAA"/>
    <w:rsid w:val="00510021"/>
    <w:rsid w:val="005354B9"/>
    <w:rsid w:val="005605C8"/>
    <w:rsid w:val="00563CAA"/>
    <w:rsid w:val="0056714F"/>
    <w:rsid w:val="005738A5"/>
    <w:rsid w:val="00577D3C"/>
    <w:rsid w:val="00584DC3"/>
    <w:rsid w:val="005A3C86"/>
    <w:rsid w:val="005B1667"/>
    <w:rsid w:val="005B1703"/>
    <w:rsid w:val="005B6700"/>
    <w:rsid w:val="005D5E72"/>
    <w:rsid w:val="005E3A5A"/>
    <w:rsid w:val="005F06FA"/>
    <w:rsid w:val="0060199D"/>
    <w:rsid w:val="00620AD8"/>
    <w:rsid w:val="00621097"/>
    <w:rsid w:val="00653E51"/>
    <w:rsid w:val="006563C1"/>
    <w:rsid w:val="0066134F"/>
    <w:rsid w:val="00667780"/>
    <w:rsid w:val="006707DA"/>
    <w:rsid w:val="00676A81"/>
    <w:rsid w:val="00696E67"/>
    <w:rsid w:val="006A6631"/>
    <w:rsid w:val="006E407F"/>
    <w:rsid w:val="006F3F1C"/>
    <w:rsid w:val="007055F3"/>
    <w:rsid w:val="00713355"/>
    <w:rsid w:val="00714521"/>
    <w:rsid w:val="007353B7"/>
    <w:rsid w:val="007409A3"/>
    <w:rsid w:val="00747079"/>
    <w:rsid w:val="0074761E"/>
    <w:rsid w:val="00750FD2"/>
    <w:rsid w:val="0076218A"/>
    <w:rsid w:val="0077730B"/>
    <w:rsid w:val="007A1E8A"/>
    <w:rsid w:val="007A3A7B"/>
    <w:rsid w:val="007B21EA"/>
    <w:rsid w:val="007D715C"/>
    <w:rsid w:val="007E3634"/>
    <w:rsid w:val="007F6C86"/>
    <w:rsid w:val="008004F7"/>
    <w:rsid w:val="00806724"/>
    <w:rsid w:val="00806C25"/>
    <w:rsid w:val="00824D79"/>
    <w:rsid w:val="008355F8"/>
    <w:rsid w:val="0083571B"/>
    <w:rsid w:val="00840D5D"/>
    <w:rsid w:val="0085691A"/>
    <w:rsid w:val="008917A3"/>
    <w:rsid w:val="008A0744"/>
    <w:rsid w:val="008A74CC"/>
    <w:rsid w:val="008C1499"/>
    <w:rsid w:val="008D52B6"/>
    <w:rsid w:val="008E1865"/>
    <w:rsid w:val="008E4116"/>
    <w:rsid w:val="008E5B49"/>
    <w:rsid w:val="008F60AD"/>
    <w:rsid w:val="00905FE3"/>
    <w:rsid w:val="00946039"/>
    <w:rsid w:val="009A11C6"/>
    <w:rsid w:val="009E7641"/>
    <w:rsid w:val="00A026B5"/>
    <w:rsid w:val="00A243BF"/>
    <w:rsid w:val="00A24792"/>
    <w:rsid w:val="00A2592A"/>
    <w:rsid w:val="00A3255E"/>
    <w:rsid w:val="00A41BBF"/>
    <w:rsid w:val="00A629A1"/>
    <w:rsid w:val="00A81CDF"/>
    <w:rsid w:val="00A93032"/>
    <w:rsid w:val="00A94B4C"/>
    <w:rsid w:val="00AA019A"/>
    <w:rsid w:val="00AA1637"/>
    <w:rsid w:val="00AA44E7"/>
    <w:rsid w:val="00AA4DFA"/>
    <w:rsid w:val="00AD03FD"/>
    <w:rsid w:val="00AF10BA"/>
    <w:rsid w:val="00AF69F3"/>
    <w:rsid w:val="00B1111B"/>
    <w:rsid w:val="00B24AAE"/>
    <w:rsid w:val="00B332C1"/>
    <w:rsid w:val="00B46A70"/>
    <w:rsid w:val="00B518C7"/>
    <w:rsid w:val="00B57847"/>
    <w:rsid w:val="00B6356A"/>
    <w:rsid w:val="00B65938"/>
    <w:rsid w:val="00B730D5"/>
    <w:rsid w:val="00B73E4E"/>
    <w:rsid w:val="00B85EEB"/>
    <w:rsid w:val="00B91812"/>
    <w:rsid w:val="00BA158A"/>
    <w:rsid w:val="00BA7408"/>
    <w:rsid w:val="00BB48D6"/>
    <w:rsid w:val="00BF6DC1"/>
    <w:rsid w:val="00C064E8"/>
    <w:rsid w:val="00C25EC7"/>
    <w:rsid w:val="00C41CAD"/>
    <w:rsid w:val="00C42126"/>
    <w:rsid w:val="00C64241"/>
    <w:rsid w:val="00C65FDF"/>
    <w:rsid w:val="00C77856"/>
    <w:rsid w:val="00C8555A"/>
    <w:rsid w:val="00C977BF"/>
    <w:rsid w:val="00C97916"/>
    <w:rsid w:val="00CA2215"/>
    <w:rsid w:val="00CE11B4"/>
    <w:rsid w:val="00CE204F"/>
    <w:rsid w:val="00CE354C"/>
    <w:rsid w:val="00CF373D"/>
    <w:rsid w:val="00D115DB"/>
    <w:rsid w:val="00D14301"/>
    <w:rsid w:val="00D15ABC"/>
    <w:rsid w:val="00D325BD"/>
    <w:rsid w:val="00D35B08"/>
    <w:rsid w:val="00D37324"/>
    <w:rsid w:val="00D45476"/>
    <w:rsid w:val="00D64AF7"/>
    <w:rsid w:val="00D70780"/>
    <w:rsid w:val="00D70A5D"/>
    <w:rsid w:val="00D84D0F"/>
    <w:rsid w:val="00D965A4"/>
    <w:rsid w:val="00DA2089"/>
    <w:rsid w:val="00DA27FC"/>
    <w:rsid w:val="00DA4828"/>
    <w:rsid w:val="00DB50AB"/>
    <w:rsid w:val="00DB6669"/>
    <w:rsid w:val="00DC004C"/>
    <w:rsid w:val="00DC2CD6"/>
    <w:rsid w:val="00DE0A23"/>
    <w:rsid w:val="00DE5AA6"/>
    <w:rsid w:val="00E0145B"/>
    <w:rsid w:val="00E127AB"/>
    <w:rsid w:val="00E12944"/>
    <w:rsid w:val="00E17F3D"/>
    <w:rsid w:val="00E27290"/>
    <w:rsid w:val="00E53F90"/>
    <w:rsid w:val="00E555C2"/>
    <w:rsid w:val="00E55FB4"/>
    <w:rsid w:val="00E62767"/>
    <w:rsid w:val="00E7742C"/>
    <w:rsid w:val="00E77803"/>
    <w:rsid w:val="00E85E67"/>
    <w:rsid w:val="00EA764A"/>
    <w:rsid w:val="00EB27F4"/>
    <w:rsid w:val="00EB4C53"/>
    <w:rsid w:val="00EC2D32"/>
    <w:rsid w:val="00ED3A60"/>
    <w:rsid w:val="00EE71F5"/>
    <w:rsid w:val="00EF2E3B"/>
    <w:rsid w:val="00F12940"/>
    <w:rsid w:val="00F12BFC"/>
    <w:rsid w:val="00F25EFF"/>
    <w:rsid w:val="00F4056F"/>
    <w:rsid w:val="00F47F2A"/>
    <w:rsid w:val="00F55F6E"/>
    <w:rsid w:val="00F61274"/>
    <w:rsid w:val="00F62087"/>
    <w:rsid w:val="00F63215"/>
    <w:rsid w:val="00F71C38"/>
    <w:rsid w:val="00F76485"/>
    <w:rsid w:val="00F95901"/>
    <w:rsid w:val="00FB3743"/>
    <w:rsid w:val="00FC02F2"/>
    <w:rsid w:val="00FF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D327ACA"/>
  <w15:docId w15:val="{93C40468-FBDE-4B42-8E5B-022A170ED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71B"/>
    <w:rPr>
      <w:sz w:val="24"/>
      <w:szCs w:val="24"/>
    </w:rPr>
  </w:style>
  <w:style w:type="paragraph" w:styleId="Heading1">
    <w:name w:val="heading 1"/>
    <w:basedOn w:val="Normal"/>
    <w:next w:val="Normal"/>
    <w:qFormat/>
    <w:rsid w:val="002C78F5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C78F5"/>
    <w:rPr>
      <w:sz w:val="22"/>
      <w:szCs w:val="22"/>
    </w:rPr>
  </w:style>
  <w:style w:type="paragraph" w:styleId="Header">
    <w:name w:val="header"/>
    <w:basedOn w:val="Normal"/>
    <w:rsid w:val="002C78F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C78F5"/>
  </w:style>
  <w:style w:type="paragraph" w:styleId="Footer">
    <w:name w:val="footer"/>
    <w:basedOn w:val="Normal"/>
    <w:rsid w:val="002C78F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C78F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rsid w:val="002C78F5"/>
    <w:rPr>
      <w:b/>
      <w:bCs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946039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D965A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965A4"/>
    <w:rPr>
      <w:sz w:val="24"/>
      <w:szCs w:val="24"/>
    </w:rPr>
  </w:style>
  <w:style w:type="character" w:styleId="Hyperlink">
    <w:name w:val="Hyperlink"/>
    <w:basedOn w:val="DefaultParagraphFont"/>
    <w:rsid w:val="00D965A4"/>
    <w:rPr>
      <w:color w:val="0000FF"/>
      <w:u w:val="single"/>
    </w:rPr>
  </w:style>
  <w:style w:type="character" w:styleId="FollowedHyperlink">
    <w:name w:val="FollowedHyperlink"/>
    <w:basedOn w:val="DefaultParagraphFont"/>
    <w:rsid w:val="00C7785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AA163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AA44E7"/>
  </w:style>
  <w:style w:type="character" w:styleId="CommentReference">
    <w:name w:val="annotation reference"/>
    <w:basedOn w:val="DefaultParagraphFont"/>
    <w:semiHidden/>
    <w:unhideWhenUsed/>
    <w:rsid w:val="00B46A7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46A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46A7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46A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46A70"/>
    <w:rPr>
      <w:b/>
      <w:bCs/>
    </w:rPr>
  </w:style>
  <w:style w:type="paragraph" w:styleId="Revision">
    <w:name w:val="Revision"/>
    <w:hidden/>
    <w:uiPriority w:val="99"/>
    <w:semiHidden/>
    <w:rsid w:val="00A629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3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28CC2-DC43-41F6-B82C-657005E4B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423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Hanover Hospital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fearsond</dc:creator>
  <cp:lastModifiedBy>Sherilyn K. Solanick</cp:lastModifiedBy>
  <cp:revision>9</cp:revision>
  <cp:lastPrinted>2019-02-27T18:38:00Z</cp:lastPrinted>
  <dcterms:created xsi:type="dcterms:W3CDTF">2021-07-26T16:04:00Z</dcterms:created>
  <dcterms:modified xsi:type="dcterms:W3CDTF">2021-07-30T16:18:00Z</dcterms:modified>
</cp:coreProperties>
</file>