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27" w:rsidRPr="00D41C27" w:rsidRDefault="00B16CBA">
      <w:pPr>
        <w:rPr>
          <w:b/>
          <w:sz w:val="24"/>
        </w:rPr>
      </w:pPr>
      <w:r>
        <w:rPr>
          <w:b/>
          <w:sz w:val="24"/>
        </w:rPr>
        <w:t>Bacteri</w:t>
      </w:r>
      <w:bookmarkStart w:id="0" w:name="_GoBack"/>
      <w:bookmarkEnd w:id="0"/>
    </w:p>
    <w:p w:rsidR="00CE39AC" w:rsidRDefault="00CE39AC" w:rsidP="003041AE">
      <w:pPr>
        <w:spacing w:after="60"/>
        <w:rPr>
          <w:b/>
        </w:rPr>
      </w:pPr>
      <w:r w:rsidRPr="00CE39AC">
        <w:rPr>
          <w:b/>
        </w:rPr>
        <w:t>PURPOSE:</w:t>
      </w:r>
    </w:p>
    <w:p w:rsidR="003041AE" w:rsidRDefault="003041AE" w:rsidP="003041AE">
      <w:pPr>
        <w:spacing w:after="60"/>
      </w:pPr>
      <w:r>
        <w:t>This do</w:t>
      </w:r>
      <w:r w:rsidR="008355FB">
        <w:t xml:space="preserve">cument provides instructions </w:t>
      </w:r>
      <w:r w:rsidR="00025FD1">
        <w:t>for determining the</w:t>
      </w:r>
      <w:r w:rsidR="008156C7">
        <w:t xml:space="preserve"> motility of bacteria.</w:t>
      </w:r>
    </w:p>
    <w:p w:rsidR="00CE39AC" w:rsidRPr="00CE39AC" w:rsidRDefault="00CE39AC" w:rsidP="003041AE">
      <w:pPr>
        <w:spacing w:after="60"/>
        <w:rPr>
          <w:b/>
        </w:rPr>
      </w:pPr>
      <w:r w:rsidRPr="00CE39AC">
        <w:rPr>
          <w:b/>
        </w:rPr>
        <w:t>SCOPE:</w:t>
      </w:r>
    </w:p>
    <w:p w:rsidR="008156C7" w:rsidRDefault="003041AE" w:rsidP="008355FB">
      <w:pPr>
        <w:spacing w:after="60" w:line="240" w:lineRule="auto"/>
      </w:pPr>
      <w:r>
        <w:t>This procedure applies to UPMC Hanover laboratory</w:t>
      </w:r>
    </w:p>
    <w:p w:rsidR="008156C7" w:rsidRDefault="008156C7" w:rsidP="008355FB">
      <w:pPr>
        <w:spacing w:after="60" w:line="240" w:lineRule="auto"/>
        <w:rPr>
          <w:b/>
        </w:rPr>
      </w:pPr>
      <w:r>
        <w:rPr>
          <w:b/>
        </w:rPr>
        <w:t>PRINCIPLE:</w:t>
      </w:r>
    </w:p>
    <w:p w:rsidR="00537BF8" w:rsidRPr="00537BF8" w:rsidRDefault="00537BF8" w:rsidP="008355FB">
      <w:pPr>
        <w:spacing w:after="60" w:line="240" w:lineRule="auto"/>
      </w:pPr>
      <w:r>
        <w:t xml:space="preserve">The motility </w:t>
      </w:r>
      <w:r w:rsidR="00025FD1">
        <w:t xml:space="preserve">test </w:t>
      </w:r>
      <w:proofErr w:type="gramStart"/>
      <w:r w:rsidR="00025FD1">
        <w:t xml:space="preserve">is </w:t>
      </w:r>
      <w:r>
        <w:t>used</w:t>
      </w:r>
      <w:proofErr w:type="gramEnd"/>
      <w:r>
        <w:t xml:space="preserve"> to detect the presence of flagella of bacteria, allowing them to travel in and out of the microscopic field or beyond their initial inoculation in agar.</w:t>
      </w:r>
    </w:p>
    <w:p w:rsidR="00CE39AC" w:rsidRDefault="003041AE" w:rsidP="008355FB">
      <w:pPr>
        <w:spacing w:after="60" w:line="240" w:lineRule="auto"/>
      </w:pPr>
      <w:r>
        <w:t>.</w:t>
      </w:r>
    </w:p>
    <w:p w:rsidR="006B08CF" w:rsidRDefault="006B08CF" w:rsidP="00EE177D">
      <w:pPr>
        <w:spacing w:after="60" w:line="240" w:lineRule="auto"/>
        <w:rPr>
          <w:b/>
        </w:rPr>
      </w:pPr>
      <w:r>
        <w:rPr>
          <w:b/>
        </w:rPr>
        <w:t>MATERIALS AND REAGENTS:</w:t>
      </w:r>
    </w:p>
    <w:p w:rsidR="00EE177D" w:rsidRDefault="00EE177D" w:rsidP="00EE177D">
      <w:pPr>
        <w:spacing w:after="60" w:line="240" w:lineRule="auto"/>
        <w:ind w:left="432"/>
      </w:pPr>
      <w:r>
        <w:t>TSB broth</w:t>
      </w:r>
    </w:p>
    <w:p w:rsidR="007B5C11" w:rsidRDefault="007B5C11" w:rsidP="00EE177D">
      <w:pPr>
        <w:spacing w:after="60" w:line="240" w:lineRule="auto"/>
        <w:ind w:left="432"/>
      </w:pPr>
      <w:r>
        <w:t>Coverslips</w:t>
      </w:r>
    </w:p>
    <w:p w:rsidR="007B5C11" w:rsidRDefault="007B5C11" w:rsidP="00EE177D">
      <w:pPr>
        <w:spacing w:after="60" w:line="240" w:lineRule="auto"/>
        <w:ind w:left="432"/>
      </w:pPr>
      <w:r>
        <w:t>Microscope slides</w:t>
      </w:r>
    </w:p>
    <w:p w:rsidR="007B5C11" w:rsidRDefault="007B5C11" w:rsidP="007B5C11">
      <w:pPr>
        <w:spacing w:after="60" w:line="240" w:lineRule="auto"/>
        <w:ind w:left="432"/>
      </w:pPr>
      <w:r>
        <w:t>Sterile inoculating loop</w:t>
      </w:r>
    </w:p>
    <w:p w:rsidR="007B5C11" w:rsidRDefault="007B5C11" w:rsidP="007B5C11">
      <w:pPr>
        <w:spacing w:after="60" w:line="240" w:lineRule="auto"/>
        <w:ind w:left="432"/>
      </w:pPr>
      <w:r>
        <w:t>Tube media (semisolid) such as CTA agar</w:t>
      </w:r>
    </w:p>
    <w:p w:rsidR="007B5C11" w:rsidRDefault="007B5C11" w:rsidP="007B5C11">
      <w:pPr>
        <w:spacing w:after="60" w:line="240" w:lineRule="auto"/>
        <w:ind w:left="432"/>
      </w:pPr>
    </w:p>
    <w:p w:rsidR="007B5C11" w:rsidRDefault="007B5C11" w:rsidP="007B5C11">
      <w:pPr>
        <w:spacing w:after="60" w:line="240" w:lineRule="auto"/>
        <w:rPr>
          <w:b/>
        </w:rPr>
      </w:pPr>
      <w:r>
        <w:rPr>
          <w:b/>
        </w:rPr>
        <w:t>Wet Mount Preparation:</w:t>
      </w:r>
    </w:p>
    <w:p w:rsidR="007B5C11" w:rsidRDefault="007B5C11" w:rsidP="007B5C11">
      <w:pPr>
        <w:spacing w:after="60" w:line="240" w:lineRule="auto"/>
        <w:ind w:left="864" w:hanging="432"/>
      </w:pPr>
      <w:r>
        <w:t>1.</w:t>
      </w:r>
      <w:r>
        <w:tab/>
        <w:t>Inoculate fresh growth from an agar plate to approximately 0.5 ml TSB.  The inoculum should not be visibly turbid.</w:t>
      </w:r>
    </w:p>
    <w:p w:rsidR="007B5C11" w:rsidRDefault="007B5C11" w:rsidP="007B5C11">
      <w:pPr>
        <w:spacing w:after="60" w:line="240" w:lineRule="auto"/>
        <w:ind w:left="864" w:hanging="432"/>
      </w:pPr>
      <w:r>
        <w:t>2.</w:t>
      </w:r>
      <w:r>
        <w:tab/>
      </w:r>
      <w:r w:rsidR="00741D05">
        <w:t>Place a drop of broth on the center of a microscope slide and coverslip.  Allow organisms to settle for 1 minute.</w:t>
      </w:r>
    </w:p>
    <w:p w:rsidR="00741D05" w:rsidRDefault="00741D05" w:rsidP="007B5C11">
      <w:pPr>
        <w:spacing w:after="60" w:line="240" w:lineRule="auto"/>
        <w:ind w:left="864" w:hanging="432"/>
      </w:pPr>
      <w:r>
        <w:t>3.</w:t>
      </w:r>
      <w:r>
        <w:tab/>
        <w:t>Observe under the 40X objective.</w:t>
      </w:r>
    </w:p>
    <w:p w:rsidR="00741D05" w:rsidRDefault="00741D05" w:rsidP="007B5C11">
      <w:pPr>
        <w:spacing w:after="60" w:line="240" w:lineRule="auto"/>
        <w:ind w:left="864" w:hanging="432"/>
      </w:pPr>
    </w:p>
    <w:p w:rsidR="00741D05" w:rsidRDefault="00741D05" w:rsidP="00741D05">
      <w:pPr>
        <w:rPr>
          <w:b/>
        </w:rPr>
      </w:pPr>
      <w:r>
        <w:rPr>
          <w:b/>
        </w:rPr>
        <w:t>Tube Media:</w:t>
      </w:r>
    </w:p>
    <w:p w:rsidR="00741D05" w:rsidRDefault="00741D05" w:rsidP="00741D05">
      <w:pPr>
        <w:ind w:left="864" w:hanging="432"/>
      </w:pPr>
      <w:r w:rsidRPr="00741D05">
        <w:t>1.</w:t>
      </w:r>
      <w:r>
        <w:rPr>
          <w:b/>
        </w:rPr>
        <w:tab/>
      </w:r>
      <w:r>
        <w:t>With a sterile inoculating wire, pick an isolated colony and stab the media straight down through the center of the agar to a depth of about 1/2 inch for small tubes and 1 " for large tubes.</w:t>
      </w:r>
    </w:p>
    <w:p w:rsidR="00741D05" w:rsidRDefault="00741D05" w:rsidP="00741D05">
      <w:pPr>
        <w:ind w:left="864" w:hanging="432"/>
      </w:pPr>
      <w:r>
        <w:t>2.</w:t>
      </w:r>
      <w:r>
        <w:tab/>
        <w:t>Incubate as follows:</w:t>
      </w:r>
    </w:p>
    <w:p w:rsidR="00FE2444" w:rsidRDefault="00741D05" w:rsidP="00FE2444">
      <w:pPr>
        <w:tabs>
          <w:tab w:val="left" w:pos="432"/>
        </w:tabs>
        <w:spacing w:after="60" w:line="240" w:lineRule="auto"/>
        <w:ind w:left="1728" w:hanging="864"/>
      </w:pPr>
      <w:proofErr w:type="gramStart"/>
      <w:r>
        <w:t>a.</w:t>
      </w:r>
      <w:r w:rsidR="00FE2444">
        <w:t xml:space="preserve">  At</w:t>
      </w:r>
      <w:proofErr w:type="gramEnd"/>
      <w:r w:rsidR="00FE2444">
        <w:t xml:space="preserve"> 35ºC. </w:t>
      </w:r>
      <w:proofErr w:type="gramStart"/>
      <w:r w:rsidR="00FE2444">
        <w:t>for</w:t>
      </w:r>
      <w:proofErr w:type="gramEnd"/>
      <w:r w:rsidR="00FE2444">
        <w:t xml:space="preserve"> </w:t>
      </w:r>
      <w:proofErr w:type="spellStart"/>
      <w:r w:rsidR="00FE2444">
        <w:rPr>
          <w:i/>
        </w:rPr>
        <w:t>Enterobacteriaceae</w:t>
      </w:r>
      <w:proofErr w:type="spellEnd"/>
      <w:r w:rsidR="00FE2444">
        <w:rPr>
          <w:i/>
        </w:rPr>
        <w:t xml:space="preserve"> </w:t>
      </w:r>
      <w:r w:rsidR="00FE2444">
        <w:t xml:space="preserve"> for 24 hours.</w:t>
      </w:r>
    </w:p>
    <w:p w:rsidR="00FE2444" w:rsidRDefault="00FE2444" w:rsidP="00FE2444">
      <w:pPr>
        <w:tabs>
          <w:tab w:val="left" w:pos="432"/>
        </w:tabs>
        <w:spacing w:after="60" w:line="240" w:lineRule="auto"/>
        <w:ind w:left="1728" w:hanging="864"/>
      </w:pPr>
      <w:proofErr w:type="gramStart"/>
      <w:r>
        <w:t>b.  At</w:t>
      </w:r>
      <w:proofErr w:type="gramEnd"/>
      <w:r>
        <w:t xml:space="preserve"> 30ºC. </w:t>
      </w:r>
      <w:proofErr w:type="gramStart"/>
      <w:r>
        <w:t>for</w:t>
      </w:r>
      <w:proofErr w:type="gramEnd"/>
      <w:r>
        <w:t xml:space="preserve"> </w:t>
      </w:r>
      <w:proofErr w:type="spellStart"/>
      <w:r>
        <w:t>non fermenting</w:t>
      </w:r>
      <w:proofErr w:type="spellEnd"/>
      <w:r>
        <w:t>, Gram negative rods and enterococci for 24 hours.</w:t>
      </w:r>
    </w:p>
    <w:p w:rsidR="00FE2444" w:rsidRDefault="00537BF8" w:rsidP="00FE2444">
      <w:pPr>
        <w:tabs>
          <w:tab w:val="left" w:pos="432"/>
        </w:tabs>
        <w:spacing w:after="60" w:line="240" w:lineRule="auto"/>
        <w:ind w:left="1728" w:hanging="864"/>
      </w:pPr>
      <w:proofErr w:type="gramStart"/>
      <w:r>
        <w:t>c.  If</w:t>
      </w:r>
      <w:proofErr w:type="gramEnd"/>
      <w:r>
        <w:t xml:space="preserve"> there is a question regarding a negative result</w:t>
      </w:r>
      <w:r w:rsidR="00FE2444">
        <w:t>, incubate at 25º C.</w:t>
      </w:r>
    </w:p>
    <w:p w:rsidR="00FE2444" w:rsidRDefault="00FE2444" w:rsidP="00FE2444">
      <w:pPr>
        <w:tabs>
          <w:tab w:val="left" w:pos="432"/>
        </w:tabs>
        <w:spacing w:after="60" w:line="240" w:lineRule="auto"/>
        <w:ind w:left="1728" w:hanging="864"/>
      </w:pPr>
      <w:proofErr w:type="gramStart"/>
      <w:r>
        <w:t>d.  For</w:t>
      </w:r>
      <w:proofErr w:type="gramEnd"/>
      <w:r>
        <w:t xml:space="preserve"> Listeria and Yersinia, incubate 2 tubes, one at 35ºC and one at 25ºC.</w:t>
      </w:r>
    </w:p>
    <w:p w:rsidR="00FE2444" w:rsidRDefault="00FE2444" w:rsidP="00FE2444">
      <w:pPr>
        <w:tabs>
          <w:tab w:val="left" w:pos="432"/>
        </w:tabs>
        <w:spacing w:after="60" w:line="240" w:lineRule="auto"/>
        <w:ind w:left="1728" w:hanging="864"/>
      </w:pPr>
    </w:p>
    <w:p w:rsidR="008156C7" w:rsidRDefault="008156C7">
      <w:pPr>
        <w:rPr>
          <w:b/>
        </w:rPr>
      </w:pPr>
      <w:r>
        <w:rPr>
          <w:b/>
        </w:rPr>
        <w:br w:type="page"/>
      </w:r>
    </w:p>
    <w:p w:rsidR="00FE2444" w:rsidRDefault="00FE2444" w:rsidP="00537BF8">
      <w:pPr>
        <w:spacing w:after="60"/>
        <w:rPr>
          <w:b/>
        </w:rPr>
      </w:pPr>
      <w:r>
        <w:rPr>
          <w:b/>
        </w:rPr>
        <w:lastRenderedPageBreak/>
        <w:t>Interpretation:</w:t>
      </w:r>
    </w:p>
    <w:p w:rsidR="00FE2444" w:rsidRDefault="00FE2444" w:rsidP="00537BF8">
      <w:pPr>
        <w:spacing w:after="60"/>
        <w:ind w:left="432"/>
        <w:rPr>
          <w:b/>
        </w:rPr>
      </w:pPr>
      <w:r>
        <w:rPr>
          <w:b/>
        </w:rPr>
        <w:t>Wet Mount:</w:t>
      </w:r>
    </w:p>
    <w:p w:rsidR="00FE2444" w:rsidRPr="00FE2444" w:rsidRDefault="00FE2444" w:rsidP="00FE2444">
      <w:pPr>
        <w:spacing w:after="60"/>
        <w:ind w:left="1296" w:hanging="864"/>
        <w:rPr>
          <w:u w:val="single"/>
        </w:rPr>
      </w:pPr>
      <w:r w:rsidRPr="00FE2444">
        <w:rPr>
          <w:u w:val="single"/>
        </w:rPr>
        <w:t>Positive</w:t>
      </w:r>
    </w:p>
    <w:p w:rsidR="00FE2444" w:rsidRDefault="00FE2444" w:rsidP="00537BF8">
      <w:pPr>
        <w:spacing w:after="60"/>
        <w:ind w:left="432"/>
      </w:pPr>
      <w:r>
        <w:t>Directional purposeful motility.  Motile organisms change position with respect to one another.</w:t>
      </w:r>
    </w:p>
    <w:p w:rsidR="00FE2444" w:rsidRDefault="00FE2444" w:rsidP="002538D8">
      <w:pPr>
        <w:spacing w:after="60"/>
        <w:ind w:left="432"/>
        <w:rPr>
          <w:u w:val="single"/>
        </w:rPr>
      </w:pPr>
      <w:r w:rsidRPr="00FE2444">
        <w:rPr>
          <w:u w:val="single"/>
        </w:rPr>
        <w:t>Negative</w:t>
      </w:r>
    </w:p>
    <w:p w:rsidR="002538D8" w:rsidRDefault="00FE2444" w:rsidP="002538D8">
      <w:pPr>
        <w:spacing w:after="60"/>
      </w:pPr>
      <w:r>
        <w:tab/>
        <w:t>Random jiggling or shaking (Brownian movement)</w:t>
      </w:r>
      <w:r>
        <w:tab/>
      </w:r>
    </w:p>
    <w:p w:rsidR="002538D8" w:rsidRDefault="002538D8" w:rsidP="002538D8">
      <w:pPr>
        <w:spacing w:after="60"/>
      </w:pPr>
      <w:r>
        <w:rPr>
          <w:b/>
        </w:rPr>
        <w:t>Tube Media:</w:t>
      </w:r>
    </w:p>
    <w:p w:rsidR="002538D8" w:rsidRDefault="002538D8" w:rsidP="002538D8">
      <w:pPr>
        <w:spacing w:after="60"/>
        <w:rPr>
          <w:u w:val="single"/>
        </w:rPr>
      </w:pPr>
      <w:r>
        <w:rPr>
          <w:u w:val="single"/>
        </w:rPr>
        <w:t>Positive</w:t>
      </w:r>
    </w:p>
    <w:p w:rsidR="002538D8" w:rsidRDefault="002538D8" w:rsidP="002538D8">
      <w:pPr>
        <w:spacing w:after="60"/>
      </w:pPr>
      <w:r>
        <w:t>Diffuse out</w:t>
      </w:r>
      <w:r w:rsidR="00025FD1">
        <w:t xml:space="preserve">ward growth away from the stab </w:t>
      </w:r>
      <w:r>
        <w:t>line.</w:t>
      </w:r>
    </w:p>
    <w:p w:rsidR="002538D8" w:rsidRDefault="002538D8" w:rsidP="002538D8">
      <w:pPr>
        <w:spacing w:after="60"/>
      </w:pPr>
      <w:r>
        <w:rPr>
          <w:u w:val="single"/>
        </w:rPr>
        <w:t>Negative</w:t>
      </w:r>
    </w:p>
    <w:p w:rsidR="002538D8" w:rsidRDefault="002538D8" w:rsidP="002538D8">
      <w:pPr>
        <w:spacing w:after="60"/>
      </w:pPr>
      <w:r>
        <w:t xml:space="preserve">A clear tube (the same as </w:t>
      </w:r>
      <w:proofErr w:type="spellStart"/>
      <w:r>
        <w:t>uninoculated</w:t>
      </w:r>
      <w:proofErr w:type="spellEnd"/>
      <w:r>
        <w:t xml:space="preserve"> media)</w:t>
      </w:r>
      <w:r w:rsidR="00537BF8">
        <w:t xml:space="preserve"> with growth o</w:t>
      </w:r>
      <w:r>
        <w:t>nly along the line of inoculation</w:t>
      </w:r>
      <w:r w:rsidR="00537BF8">
        <w:t>.</w:t>
      </w:r>
    </w:p>
    <w:p w:rsidR="00741D05" w:rsidRDefault="002538D8" w:rsidP="002538D8">
      <w:pPr>
        <w:spacing w:after="60"/>
      </w:pPr>
      <w:r>
        <w:rPr>
          <w:b/>
        </w:rPr>
        <w:t>Limitations:</w:t>
      </w:r>
      <w:r w:rsidR="00741D05">
        <w:tab/>
      </w:r>
    </w:p>
    <w:p w:rsidR="002538D8" w:rsidRDefault="002538D8" w:rsidP="002538D8">
      <w:pPr>
        <w:spacing w:after="60"/>
      </w:pPr>
      <w:proofErr w:type="gramStart"/>
      <w:r>
        <w:t>Non motile</w:t>
      </w:r>
      <w:proofErr w:type="gramEnd"/>
      <w:r>
        <w:t xml:space="preserve"> </w:t>
      </w:r>
      <w:proofErr w:type="spellStart"/>
      <w:r>
        <w:t>Klebsiella</w:t>
      </w:r>
      <w:proofErr w:type="spellEnd"/>
      <w:r>
        <w:t xml:space="preserve"> strains may give a fal</w:t>
      </w:r>
      <w:r w:rsidR="00537BF8">
        <w:t>se positive motile reaction</w:t>
      </w:r>
      <w:r>
        <w:t xml:space="preserve"> in tube media.  This is due to mucoid strains spilling between the media and the tube giving a cloudy appearance and may be confused with motility. </w:t>
      </w:r>
    </w:p>
    <w:p w:rsidR="002538D8" w:rsidRDefault="002538D8" w:rsidP="00025FD1">
      <w:pPr>
        <w:spacing w:after="60"/>
      </w:pPr>
      <w:r>
        <w:t>Excessive heat on a microscope slide can affect the results. False negative reactions may occur to bacteria flagella damage.</w:t>
      </w:r>
    </w:p>
    <w:p w:rsidR="00537BF8" w:rsidRDefault="00537BF8" w:rsidP="002538D8">
      <w:pPr>
        <w:spacing w:after="60"/>
      </w:pPr>
      <w:r>
        <w:rPr>
          <w:b/>
        </w:rPr>
        <w:t>REFERENCE:</w:t>
      </w:r>
    </w:p>
    <w:p w:rsidR="00537BF8" w:rsidRPr="00537BF8" w:rsidRDefault="00025FD1" w:rsidP="00025FD1">
      <w:pPr>
        <w:spacing w:after="60"/>
        <w:ind w:left="432" w:hanging="432"/>
      </w:pPr>
      <w:r>
        <w:t xml:space="preserve">Clinical Microbiology Procedures Handbook, 4th edition.  </w:t>
      </w:r>
      <w:proofErr w:type="spellStart"/>
      <w:r>
        <w:t>Leber</w:t>
      </w:r>
      <w:proofErr w:type="spellEnd"/>
      <w:r>
        <w:t>, Amy L. Editor in chief.  Section 3.17.31 Motility Tests.  2016.</w:t>
      </w:r>
    </w:p>
    <w:p w:rsidR="00537BF8" w:rsidRPr="002538D8" w:rsidRDefault="00537BF8" w:rsidP="002538D8">
      <w:pPr>
        <w:spacing w:after="60"/>
      </w:pPr>
    </w:p>
    <w:p w:rsidR="007B5C11" w:rsidRDefault="007B5C11" w:rsidP="007B5C11">
      <w:pPr>
        <w:spacing w:after="60" w:line="240" w:lineRule="auto"/>
        <w:ind w:left="432"/>
      </w:pPr>
    </w:p>
    <w:p w:rsidR="007B5C11" w:rsidRDefault="007B5C11" w:rsidP="00EE177D">
      <w:pPr>
        <w:spacing w:after="60" w:line="240" w:lineRule="auto"/>
        <w:ind w:left="432"/>
      </w:pPr>
    </w:p>
    <w:p w:rsidR="007B5C11" w:rsidRDefault="007B5C11" w:rsidP="00EE177D">
      <w:pPr>
        <w:spacing w:after="60" w:line="240" w:lineRule="auto"/>
        <w:ind w:left="432"/>
      </w:pPr>
    </w:p>
    <w:p w:rsidR="00EE177D" w:rsidRPr="00EE177D" w:rsidRDefault="00EE177D" w:rsidP="00EE177D">
      <w:pPr>
        <w:spacing w:after="60" w:line="240" w:lineRule="auto"/>
        <w:ind w:left="432"/>
      </w:pPr>
    </w:p>
    <w:p w:rsidR="00EE177D" w:rsidRPr="00EE177D" w:rsidRDefault="00EE177D" w:rsidP="008355FB">
      <w:pPr>
        <w:spacing w:after="60" w:line="240" w:lineRule="auto"/>
      </w:pPr>
    </w:p>
    <w:p w:rsidR="006B08CF" w:rsidRDefault="006B08CF" w:rsidP="008355FB">
      <w:pPr>
        <w:spacing w:after="60" w:line="240" w:lineRule="auto"/>
        <w:rPr>
          <w:b/>
        </w:rPr>
      </w:pPr>
    </w:p>
    <w:p w:rsidR="006B08CF" w:rsidRPr="006B08CF" w:rsidRDefault="006B08CF" w:rsidP="008355FB">
      <w:pPr>
        <w:spacing w:after="60" w:line="240" w:lineRule="auto"/>
      </w:pPr>
    </w:p>
    <w:p w:rsidR="008355FB" w:rsidRDefault="008355FB" w:rsidP="008355FB">
      <w:pPr>
        <w:spacing w:after="60" w:line="240" w:lineRule="auto"/>
      </w:pPr>
    </w:p>
    <w:p w:rsidR="008355FB" w:rsidRDefault="008355FB" w:rsidP="008355FB">
      <w:pPr>
        <w:spacing w:after="60" w:line="240" w:lineRule="auto"/>
      </w:pPr>
    </w:p>
    <w:p w:rsidR="003D38D9" w:rsidRDefault="003D38D9" w:rsidP="003D38D9">
      <w:pPr>
        <w:spacing w:after="0" w:line="240" w:lineRule="auto"/>
      </w:pPr>
    </w:p>
    <w:p w:rsidR="003D38D9" w:rsidRDefault="003D38D9" w:rsidP="004B69ED">
      <w:pPr>
        <w:rPr>
          <w:b/>
        </w:rPr>
      </w:pPr>
    </w:p>
    <w:p w:rsidR="003D38D9" w:rsidRDefault="003D38D9" w:rsidP="004B69ED">
      <w:pPr>
        <w:rPr>
          <w:b/>
        </w:rPr>
      </w:pPr>
    </w:p>
    <w:p w:rsidR="00D41C27" w:rsidRDefault="00D41C27" w:rsidP="004B69ED"/>
    <w:p w:rsidR="00CE39AC" w:rsidRDefault="00CE39AC" w:rsidP="004B69ED">
      <w:pPr>
        <w:rPr>
          <w:b/>
        </w:rPr>
      </w:pPr>
      <w:r w:rsidRPr="00CE39AC">
        <w:rPr>
          <w:b/>
        </w:rPr>
        <w:t>REFERENCES:</w:t>
      </w:r>
    </w:p>
    <w:p w:rsidR="002F1AA0" w:rsidRPr="002F1AA0" w:rsidRDefault="002F1AA0" w:rsidP="002F1AA0">
      <w:pPr>
        <w:spacing w:after="0" w:line="240" w:lineRule="auto"/>
        <w:rPr>
          <w:rFonts w:eastAsia="Times New Roman"/>
        </w:rPr>
      </w:pPr>
      <w:r w:rsidRPr="002F1AA0">
        <w:rPr>
          <w:rFonts w:eastAsia="Times New Roman"/>
        </w:rPr>
        <w:lastRenderedPageBreak/>
        <w:t xml:space="preserve">Site documents or publications, which </w:t>
      </w:r>
      <w:proofErr w:type="gramStart"/>
      <w:r w:rsidRPr="002F1AA0">
        <w:rPr>
          <w:rFonts w:eastAsia="Times New Roman"/>
        </w:rPr>
        <w:t>are not maintained</w:t>
      </w:r>
      <w:proofErr w:type="gramEnd"/>
      <w:r w:rsidRPr="002F1AA0">
        <w:rPr>
          <w:rFonts w:eastAsia="Times New Roman"/>
        </w:rPr>
        <w:t xml:space="preserve"> with the SOP.   If the document is in response to a regulatory/accreditation requirement, the agency reference, standard, and/or number </w:t>
      </w:r>
      <w:proofErr w:type="gramStart"/>
      <w:r w:rsidRPr="002F1AA0">
        <w:rPr>
          <w:rFonts w:eastAsia="Times New Roman"/>
        </w:rPr>
        <w:t>should be sited</w:t>
      </w:r>
      <w:proofErr w:type="gramEnd"/>
      <w:r w:rsidRPr="002F1AA0">
        <w:rPr>
          <w:rFonts w:eastAsia="Times New Roman"/>
        </w:rPr>
        <w:t>.</w:t>
      </w:r>
    </w:p>
    <w:p w:rsidR="004525F3" w:rsidRDefault="004525F3" w:rsidP="004B69ED">
      <w:pPr>
        <w:rPr>
          <w:b/>
        </w:rPr>
      </w:pPr>
    </w:p>
    <w:p w:rsidR="004525F3" w:rsidRDefault="004525F3" w:rsidP="004B69ED">
      <w:pPr>
        <w:rPr>
          <w:b/>
        </w:rPr>
      </w:pPr>
    </w:p>
    <w:p w:rsidR="004525F3" w:rsidRDefault="004525F3" w:rsidP="004B69ED">
      <w:pPr>
        <w:rPr>
          <w:b/>
        </w:rPr>
      </w:pPr>
    </w:p>
    <w:p w:rsidR="009B03DE" w:rsidRDefault="009B03DE" w:rsidP="004B69ED">
      <w:pPr>
        <w:rPr>
          <w:b/>
        </w:rPr>
      </w:pPr>
    </w:p>
    <w:p w:rsidR="009B03DE" w:rsidRDefault="009B03DE" w:rsidP="004B69ED">
      <w:pPr>
        <w:rPr>
          <w:b/>
        </w:rPr>
      </w:pPr>
    </w:p>
    <w:p w:rsidR="009B03DE" w:rsidRDefault="009B03DE" w:rsidP="004B69ED">
      <w:pPr>
        <w:rPr>
          <w:b/>
        </w:rPr>
      </w:pPr>
    </w:p>
    <w:p w:rsidR="009B03DE" w:rsidRDefault="009B03DE" w:rsidP="004B69ED">
      <w:pPr>
        <w:rPr>
          <w:b/>
        </w:rPr>
      </w:pPr>
    </w:p>
    <w:p w:rsidR="009B03DE" w:rsidRDefault="009B03DE" w:rsidP="004B69ED">
      <w:pPr>
        <w:rPr>
          <w:b/>
        </w:rPr>
      </w:pPr>
    </w:p>
    <w:p w:rsidR="009B03DE" w:rsidRDefault="009B03DE" w:rsidP="004B69ED">
      <w:pPr>
        <w:rPr>
          <w:b/>
        </w:rPr>
      </w:pPr>
    </w:p>
    <w:p w:rsidR="009B03DE" w:rsidRDefault="009B03DE" w:rsidP="004B69ED">
      <w:pPr>
        <w:rPr>
          <w:b/>
        </w:rPr>
      </w:pPr>
    </w:p>
    <w:p w:rsidR="004525F3" w:rsidRDefault="004525F3" w:rsidP="004B69ED">
      <w:pPr>
        <w:rPr>
          <w:b/>
        </w:rPr>
      </w:pPr>
    </w:p>
    <w:p w:rsidR="004525F3" w:rsidRDefault="004525F3" w:rsidP="004B69ED">
      <w:pPr>
        <w:rPr>
          <w:b/>
        </w:rPr>
      </w:pPr>
    </w:p>
    <w:p w:rsidR="004525F3" w:rsidRPr="00CE39AC" w:rsidRDefault="004525F3" w:rsidP="004B69ED">
      <w:pPr>
        <w:rPr>
          <w:b/>
        </w:rPr>
      </w:pPr>
    </w:p>
    <w:sectPr w:rsidR="004525F3" w:rsidRPr="00CE39AC" w:rsidSect="008156C7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34" w:rsidRDefault="00970234" w:rsidP="004B69ED">
      <w:pPr>
        <w:spacing w:after="0" w:line="240" w:lineRule="auto"/>
      </w:pPr>
      <w:r>
        <w:separator/>
      </w:r>
    </w:p>
  </w:endnote>
  <w:endnote w:type="continuationSeparator" w:id="0">
    <w:p w:rsidR="00970234" w:rsidRDefault="00970234" w:rsidP="004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60909522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B69ED" w:rsidRPr="00CE39AC" w:rsidRDefault="004B69ED" w:rsidP="00CE39AC">
            <w:pPr>
              <w:pStyle w:val="Footer"/>
              <w:jc w:val="right"/>
              <w:rPr>
                <w:i/>
              </w:rPr>
            </w:pPr>
            <w:r w:rsidRPr="00CE39AC">
              <w:rPr>
                <w:i/>
              </w:rPr>
              <w:t xml:space="preserve">Page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PAGE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B16CBA">
              <w:rPr>
                <w:bCs/>
                <w:i/>
                <w:noProof/>
              </w:rPr>
              <w:t>3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  <w:r w:rsidRPr="00CE39AC">
              <w:rPr>
                <w:i/>
              </w:rPr>
              <w:t xml:space="preserve"> of </w:t>
            </w:r>
            <w:r w:rsidRPr="00CE39AC">
              <w:rPr>
                <w:bCs/>
                <w:i/>
                <w:sz w:val="24"/>
                <w:szCs w:val="24"/>
              </w:rPr>
              <w:fldChar w:fldCharType="begin"/>
            </w:r>
            <w:r w:rsidRPr="00CE39AC">
              <w:rPr>
                <w:bCs/>
                <w:i/>
              </w:rPr>
              <w:instrText xml:space="preserve"> NUMPAGES  </w:instrText>
            </w:r>
            <w:r w:rsidRPr="00CE39AC">
              <w:rPr>
                <w:bCs/>
                <w:i/>
                <w:sz w:val="24"/>
                <w:szCs w:val="24"/>
              </w:rPr>
              <w:fldChar w:fldCharType="separate"/>
            </w:r>
            <w:r w:rsidR="00B16CBA">
              <w:rPr>
                <w:bCs/>
                <w:i/>
                <w:noProof/>
              </w:rPr>
              <w:t>3</w:t>
            </w:r>
            <w:r w:rsidRPr="00CE39AC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4B69ED" w:rsidRDefault="004B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34" w:rsidRDefault="00970234" w:rsidP="004B69ED">
      <w:pPr>
        <w:spacing w:after="0" w:line="240" w:lineRule="auto"/>
      </w:pPr>
      <w:r>
        <w:separator/>
      </w:r>
    </w:p>
  </w:footnote>
  <w:footnote w:type="continuationSeparator" w:id="0">
    <w:p w:rsidR="00970234" w:rsidRDefault="00970234" w:rsidP="004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ED" w:rsidRDefault="008156C7">
    <w:pPr>
      <w:pStyle w:val="Header"/>
      <w:rPr>
        <w:b/>
      </w:rPr>
    </w:pPr>
    <w:r>
      <w:rPr>
        <w:b/>
      </w:rPr>
      <w:t>UPMC HANOVER</w:t>
    </w:r>
  </w:p>
  <w:p w:rsidR="004525F3" w:rsidRPr="00CE39AC" w:rsidRDefault="004525F3">
    <w:pPr>
      <w:pStyle w:val="Header"/>
      <w:rPr>
        <w:b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520"/>
    </w:tblGrid>
    <w:tr w:rsidR="004525F3" w:rsidTr="0082430A">
      <w:trPr>
        <w:trHeight w:val="288"/>
      </w:trPr>
      <w:tc>
        <w:tcPr>
          <w:tcW w:w="6655" w:type="dxa"/>
        </w:tcPr>
        <w:p w:rsidR="004525F3" w:rsidRPr="008156C7" w:rsidRDefault="004525F3" w:rsidP="004525F3">
          <w:pPr>
            <w:rPr>
              <w:b/>
              <w:sz w:val="24"/>
            </w:rPr>
          </w:pPr>
          <w:r>
            <w:rPr>
              <w:sz w:val="24"/>
            </w:rPr>
            <w:t>Subject:</w:t>
          </w:r>
          <w:r w:rsidR="008156C7">
            <w:rPr>
              <w:sz w:val="24"/>
            </w:rPr>
            <w:tab/>
          </w:r>
          <w:r w:rsidR="008156C7">
            <w:rPr>
              <w:b/>
              <w:sz w:val="24"/>
            </w:rPr>
            <w:t>Detection of Bacterial Motility</w:t>
          </w:r>
        </w:p>
      </w:tc>
      <w:tc>
        <w:tcPr>
          <w:tcW w:w="2520" w:type="dxa"/>
        </w:tcPr>
        <w:p w:rsidR="004525F3" w:rsidRPr="009E67C3" w:rsidRDefault="004525F3" w:rsidP="004525F3">
          <w:pPr>
            <w:rPr>
              <w:b/>
              <w:sz w:val="24"/>
            </w:rPr>
          </w:pPr>
        </w:p>
      </w:tc>
    </w:tr>
  </w:tbl>
  <w:p w:rsidR="004B69ED" w:rsidRDefault="004B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3D308206ECA14827B735AE6656EE285B"/>
      </w:placeholder>
      <w:temporary/>
      <w:showingPlcHdr/>
      <w15:appearance w15:val="hidden"/>
    </w:sdtPr>
    <w:sdtEndPr/>
    <w:sdtContent>
      <w:p w:rsidR="008156C7" w:rsidRDefault="008156C7">
        <w:pPr>
          <w:pStyle w:val="Header"/>
        </w:pPr>
        <w:r>
          <w:t>[Type here]</w:t>
        </w:r>
      </w:p>
    </w:sdtContent>
  </w:sdt>
  <w:p w:rsidR="008156C7" w:rsidRDefault="00815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3B"/>
    <w:multiLevelType w:val="singleLevel"/>
    <w:tmpl w:val="9FE224A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E7A18C2"/>
    <w:multiLevelType w:val="singleLevel"/>
    <w:tmpl w:val="1168103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A"/>
    <w:rsid w:val="00025FD1"/>
    <w:rsid w:val="00051BEF"/>
    <w:rsid w:val="00241C3F"/>
    <w:rsid w:val="002538D8"/>
    <w:rsid w:val="002F1AA0"/>
    <w:rsid w:val="003041AE"/>
    <w:rsid w:val="00311B12"/>
    <w:rsid w:val="00382889"/>
    <w:rsid w:val="003D38D9"/>
    <w:rsid w:val="004525F3"/>
    <w:rsid w:val="004B69ED"/>
    <w:rsid w:val="00537BF8"/>
    <w:rsid w:val="005D170E"/>
    <w:rsid w:val="006B08CF"/>
    <w:rsid w:val="00741D05"/>
    <w:rsid w:val="007B5C11"/>
    <w:rsid w:val="008156C7"/>
    <w:rsid w:val="00817B19"/>
    <w:rsid w:val="008355FB"/>
    <w:rsid w:val="00850C30"/>
    <w:rsid w:val="00970234"/>
    <w:rsid w:val="009B03DE"/>
    <w:rsid w:val="009E67C3"/>
    <w:rsid w:val="00A53633"/>
    <w:rsid w:val="00A61209"/>
    <w:rsid w:val="00B06D5A"/>
    <w:rsid w:val="00B16CBA"/>
    <w:rsid w:val="00C4658E"/>
    <w:rsid w:val="00C55BC7"/>
    <w:rsid w:val="00CE39AC"/>
    <w:rsid w:val="00D41C27"/>
    <w:rsid w:val="00D76A7D"/>
    <w:rsid w:val="00DE0640"/>
    <w:rsid w:val="00DE10A9"/>
    <w:rsid w:val="00EC67E3"/>
    <w:rsid w:val="00EE177D"/>
    <w:rsid w:val="00F67E3E"/>
    <w:rsid w:val="00FE1776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6FA29"/>
  <w15:chartTrackingRefBased/>
  <w15:docId w15:val="{257F06DD-4573-4D3A-8854-874789E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ED"/>
  </w:style>
  <w:style w:type="paragraph" w:styleId="Footer">
    <w:name w:val="footer"/>
    <w:basedOn w:val="Normal"/>
    <w:link w:val="FooterChar"/>
    <w:uiPriority w:val="99"/>
    <w:unhideWhenUsed/>
    <w:rsid w:val="004B6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ED"/>
  </w:style>
  <w:style w:type="table" w:styleId="TableGrid">
    <w:name w:val="Table Grid"/>
    <w:basedOn w:val="TableNormal"/>
    <w:uiPriority w:val="39"/>
    <w:rsid w:val="004B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308206ECA14827B735AE6656EE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649A-06E6-4CB6-9862-154BAF7CB6C0}"/>
      </w:docPartPr>
      <w:docPartBody>
        <w:p w:rsidR="00A13FF8" w:rsidRDefault="00AA7809" w:rsidP="00AA7809">
          <w:pPr>
            <w:pStyle w:val="3D308206ECA14827B735AE6656EE285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09"/>
    <w:rsid w:val="00687A02"/>
    <w:rsid w:val="00A13FF8"/>
    <w:rsid w:val="00AA7809"/>
    <w:rsid w:val="00D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B33A7F484E4DD4A520E4B2836C15CB">
    <w:name w:val="35B33A7F484E4DD4A520E4B2836C15CB"/>
    <w:rsid w:val="00AA7809"/>
  </w:style>
  <w:style w:type="paragraph" w:customStyle="1" w:styleId="8816B1C49EA048329150F2F78E36F3B3">
    <w:name w:val="8816B1C49EA048329150F2F78E36F3B3"/>
    <w:rsid w:val="00AA7809"/>
  </w:style>
  <w:style w:type="paragraph" w:customStyle="1" w:styleId="AD21B0E455F04961908D532B42CDD3AA">
    <w:name w:val="AD21B0E455F04961908D532B42CDD3AA"/>
    <w:rsid w:val="00AA7809"/>
  </w:style>
  <w:style w:type="paragraph" w:customStyle="1" w:styleId="FFCDCB82B3614542BE5B620D74AD550B">
    <w:name w:val="FFCDCB82B3614542BE5B620D74AD550B"/>
    <w:rsid w:val="00AA7809"/>
  </w:style>
  <w:style w:type="paragraph" w:customStyle="1" w:styleId="3D308206ECA14827B735AE6656EE285B">
    <w:name w:val="3D308206ECA14827B735AE6656EE285B"/>
    <w:rsid w:val="00AA7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C758-28D9-477A-ABBD-356E5ECF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L. Varner</dc:creator>
  <cp:keywords/>
  <dc:description/>
  <cp:lastModifiedBy>Solanick, Sherilyn</cp:lastModifiedBy>
  <cp:revision>4</cp:revision>
  <cp:lastPrinted>2022-11-16T15:27:00Z</cp:lastPrinted>
  <dcterms:created xsi:type="dcterms:W3CDTF">2023-12-06T20:42:00Z</dcterms:created>
  <dcterms:modified xsi:type="dcterms:W3CDTF">2023-12-06T20:54:00Z</dcterms:modified>
</cp:coreProperties>
</file>