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AD1A1" w14:textId="309FE9E8" w:rsidR="004E0315" w:rsidRDefault="004E0315" w:rsidP="004E0315">
      <w:pPr>
        <w:spacing w:after="60"/>
        <w:rPr>
          <w:b/>
        </w:rPr>
      </w:pPr>
      <w:r w:rsidRPr="00CE39AC">
        <w:rPr>
          <w:b/>
        </w:rPr>
        <w:t>PURPOSE:</w:t>
      </w:r>
    </w:p>
    <w:p w14:paraId="64C482BB" w14:textId="7655AE4C" w:rsidR="00320A34" w:rsidRPr="00103DAC" w:rsidRDefault="00320A34" w:rsidP="00320A34">
      <w:pPr>
        <w:spacing w:after="60"/>
        <w:rPr>
          <w:bCs/>
        </w:rPr>
      </w:pPr>
      <w:r>
        <w:rPr>
          <w:bCs/>
        </w:rPr>
        <w:t>This document describes the processing and interpretation of urine cultures.</w:t>
      </w:r>
    </w:p>
    <w:p w14:paraId="7E0EC358" w14:textId="4204D460" w:rsidR="004E0315" w:rsidRDefault="004E0315" w:rsidP="004E0315">
      <w:pPr>
        <w:spacing w:after="60"/>
        <w:rPr>
          <w:b/>
        </w:rPr>
      </w:pPr>
      <w:r>
        <w:rPr>
          <w:b/>
        </w:rPr>
        <w:t>SCOPE:</w:t>
      </w:r>
    </w:p>
    <w:p w14:paraId="53D01BA9" w14:textId="77777777" w:rsidR="00320A34" w:rsidRDefault="00320A34" w:rsidP="00320A34">
      <w:pPr>
        <w:spacing w:after="60"/>
        <w:rPr>
          <w:bCs/>
        </w:rPr>
      </w:pPr>
      <w:r>
        <w:rPr>
          <w:bCs/>
        </w:rPr>
        <w:t>This policy applies to UPMC Hanover Hospital laboratory.</w:t>
      </w:r>
    </w:p>
    <w:p w14:paraId="224C17CE" w14:textId="532593E4" w:rsidR="003D38D9" w:rsidRDefault="004E0315" w:rsidP="004E0315">
      <w:pPr>
        <w:spacing w:after="60" w:line="240" w:lineRule="auto"/>
        <w:rPr>
          <w:b/>
          <w:bCs/>
        </w:rPr>
      </w:pPr>
      <w:r>
        <w:rPr>
          <w:b/>
          <w:bCs/>
        </w:rPr>
        <w:t>SPECIMEN:</w:t>
      </w:r>
    </w:p>
    <w:p w14:paraId="4B54AB26" w14:textId="3BE5783B" w:rsidR="00995BCB" w:rsidRDefault="00995BCB" w:rsidP="00995BCB">
      <w:pPr>
        <w:spacing w:after="60" w:line="240" w:lineRule="auto"/>
        <w:ind w:left="360"/>
        <w:rPr>
          <w:b/>
          <w:bCs/>
        </w:rPr>
      </w:pPr>
      <w:r>
        <w:rPr>
          <w:b/>
          <w:bCs/>
        </w:rPr>
        <w:t>Bladder Urine</w:t>
      </w:r>
      <w:r w:rsidR="005C3CD4">
        <w:rPr>
          <w:b/>
          <w:bCs/>
        </w:rPr>
        <w:t xml:space="preserve"> (</w:t>
      </w:r>
      <w:proofErr w:type="spellStart"/>
      <w:r w:rsidR="005C3CD4">
        <w:rPr>
          <w:b/>
          <w:bCs/>
        </w:rPr>
        <w:t>noninasive</w:t>
      </w:r>
      <w:proofErr w:type="spellEnd"/>
      <w:r w:rsidR="005C3CD4">
        <w:rPr>
          <w:b/>
          <w:bCs/>
        </w:rPr>
        <w:t>)</w:t>
      </w:r>
      <w:r>
        <w:rPr>
          <w:b/>
          <w:bCs/>
        </w:rPr>
        <w:t>:</w:t>
      </w:r>
    </w:p>
    <w:p w14:paraId="55095F95" w14:textId="3D83E847" w:rsidR="00995BCB" w:rsidRPr="00995BCB" w:rsidRDefault="00995BCB" w:rsidP="00995BCB">
      <w:pPr>
        <w:pStyle w:val="ListParagraph"/>
        <w:numPr>
          <w:ilvl w:val="0"/>
          <w:numId w:val="21"/>
        </w:numPr>
        <w:spacing w:after="60" w:line="240" w:lineRule="auto"/>
        <w:rPr>
          <w:b/>
          <w:bCs/>
        </w:rPr>
      </w:pPr>
      <w:r>
        <w:t>Clean catch, midstream</w:t>
      </w:r>
    </w:p>
    <w:p w14:paraId="0C9F0B09" w14:textId="16B01CB6" w:rsidR="00995BCB" w:rsidRPr="00995BCB" w:rsidRDefault="00995BCB" w:rsidP="00995BCB">
      <w:pPr>
        <w:pStyle w:val="ListParagraph"/>
        <w:numPr>
          <w:ilvl w:val="0"/>
          <w:numId w:val="21"/>
        </w:numPr>
        <w:spacing w:after="60" w:line="240" w:lineRule="auto"/>
        <w:rPr>
          <w:b/>
          <w:bCs/>
        </w:rPr>
      </w:pPr>
      <w:r>
        <w:t>Catheterized</w:t>
      </w:r>
    </w:p>
    <w:p w14:paraId="1E419289" w14:textId="2E32BB8F" w:rsidR="00995BCB" w:rsidRPr="00995BCB" w:rsidRDefault="00995BCB" w:rsidP="00995BCB">
      <w:pPr>
        <w:pStyle w:val="ListParagraph"/>
        <w:numPr>
          <w:ilvl w:val="0"/>
          <w:numId w:val="21"/>
        </w:numPr>
        <w:spacing w:after="60" w:line="240" w:lineRule="auto"/>
        <w:rPr>
          <w:b/>
          <w:bCs/>
        </w:rPr>
      </w:pPr>
      <w:r>
        <w:t>Suprapubic aspirate</w:t>
      </w:r>
    </w:p>
    <w:p w14:paraId="6B52367C" w14:textId="120CA08E" w:rsidR="00995BCB" w:rsidRPr="00995BCB" w:rsidRDefault="00995BCB" w:rsidP="00995BCB">
      <w:pPr>
        <w:pStyle w:val="ListParagraph"/>
        <w:numPr>
          <w:ilvl w:val="0"/>
          <w:numId w:val="21"/>
        </w:numPr>
        <w:spacing w:after="60" w:line="240" w:lineRule="auto"/>
        <w:rPr>
          <w:b/>
          <w:bCs/>
        </w:rPr>
      </w:pPr>
      <w:r>
        <w:t>Cystostomy</w:t>
      </w:r>
    </w:p>
    <w:p w14:paraId="09782C26" w14:textId="7CD135EC" w:rsidR="00995BCB" w:rsidRDefault="00995BCB" w:rsidP="00995BCB">
      <w:pPr>
        <w:spacing w:after="60" w:line="240" w:lineRule="auto"/>
        <w:ind w:left="360"/>
        <w:rPr>
          <w:b/>
          <w:bCs/>
        </w:rPr>
      </w:pPr>
      <w:r>
        <w:rPr>
          <w:b/>
          <w:bCs/>
        </w:rPr>
        <w:t>Kidney Urine (invasively obtained):</w:t>
      </w:r>
    </w:p>
    <w:p w14:paraId="653F2C7D" w14:textId="04B86ACD" w:rsidR="00995BCB" w:rsidRPr="00995BCB" w:rsidRDefault="00995BCB" w:rsidP="00995BCB">
      <w:pPr>
        <w:pStyle w:val="ListParagraph"/>
        <w:numPr>
          <w:ilvl w:val="0"/>
          <w:numId w:val="22"/>
        </w:numPr>
        <w:spacing w:after="60" w:line="240" w:lineRule="auto"/>
        <w:rPr>
          <w:b/>
          <w:bCs/>
        </w:rPr>
      </w:pPr>
      <w:r>
        <w:t>Urostomy</w:t>
      </w:r>
    </w:p>
    <w:p w14:paraId="31E5E628" w14:textId="0A58E92D" w:rsidR="00995BCB" w:rsidRPr="00995BCB" w:rsidRDefault="00995BCB" w:rsidP="00995BCB">
      <w:pPr>
        <w:pStyle w:val="ListParagraph"/>
        <w:numPr>
          <w:ilvl w:val="0"/>
          <w:numId w:val="22"/>
        </w:numPr>
        <w:spacing w:after="60" w:line="240" w:lineRule="auto"/>
        <w:rPr>
          <w:b/>
          <w:bCs/>
        </w:rPr>
      </w:pPr>
      <w:r>
        <w:t>Nephrostomy</w:t>
      </w:r>
    </w:p>
    <w:p w14:paraId="0FF61B9F" w14:textId="01930945" w:rsidR="00995BCB" w:rsidRPr="00995BCB" w:rsidRDefault="00995BCB" w:rsidP="00995BCB">
      <w:pPr>
        <w:pStyle w:val="ListParagraph"/>
        <w:numPr>
          <w:ilvl w:val="0"/>
          <w:numId w:val="22"/>
        </w:numPr>
        <w:spacing w:after="60" w:line="240" w:lineRule="auto"/>
        <w:rPr>
          <w:b/>
          <w:bCs/>
        </w:rPr>
      </w:pPr>
      <w:r>
        <w:t>Renal pelvis</w:t>
      </w:r>
    </w:p>
    <w:p w14:paraId="00D74355" w14:textId="1469C1E3" w:rsidR="00995BCB" w:rsidRPr="00995BCB" w:rsidRDefault="00995BCB" w:rsidP="00995BCB">
      <w:pPr>
        <w:pStyle w:val="ListParagraph"/>
        <w:numPr>
          <w:ilvl w:val="0"/>
          <w:numId w:val="22"/>
        </w:numPr>
        <w:spacing w:after="60" w:line="240" w:lineRule="auto"/>
        <w:rPr>
          <w:b/>
          <w:bCs/>
        </w:rPr>
      </w:pPr>
      <w:r>
        <w:t>Ureter</w:t>
      </w:r>
    </w:p>
    <w:p w14:paraId="383FDEAF" w14:textId="5B7563BE" w:rsidR="00995BCB" w:rsidRPr="00995BCB" w:rsidRDefault="00995BCB" w:rsidP="00995BCB">
      <w:pPr>
        <w:pStyle w:val="ListParagraph"/>
        <w:numPr>
          <w:ilvl w:val="0"/>
          <w:numId w:val="22"/>
        </w:numPr>
        <w:spacing w:after="60" w:line="240" w:lineRule="auto"/>
        <w:rPr>
          <w:b/>
          <w:bCs/>
        </w:rPr>
      </w:pPr>
      <w:r>
        <w:t>Ileal loop</w:t>
      </w:r>
    </w:p>
    <w:p w14:paraId="4180569A" w14:textId="40213D07" w:rsidR="00995BCB" w:rsidRPr="00995BCB" w:rsidRDefault="00995BCB" w:rsidP="00995BCB">
      <w:pPr>
        <w:pStyle w:val="ListParagraph"/>
        <w:numPr>
          <w:ilvl w:val="0"/>
          <w:numId w:val="22"/>
        </w:numPr>
        <w:spacing w:after="60" w:line="240" w:lineRule="auto"/>
        <w:rPr>
          <w:b/>
          <w:bCs/>
        </w:rPr>
      </w:pPr>
      <w:r>
        <w:t>Cystoscopy</w:t>
      </w:r>
    </w:p>
    <w:p w14:paraId="1F7E6350" w14:textId="77777777" w:rsidR="00995BCB" w:rsidRDefault="00995BCB" w:rsidP="00995BCB">
      <w:pPr>
        <w:spacing w:after="60" w:line="240" w:lineRule="auto"/>
      </w:pPr>
      <w:r>
        <w:t>All specimens for urine culture must be submitted in sterile containers or grey top urine tubes.</w:t>
      </w:r>
    </w:p>
    <w:p w14:paraId="4EB4AA03" w14:textId="77777777" w:rsidR="00995BCB" w:rsidRDefault="00995BCB" w:rsidP="00995BCB">
      <w:pPr>
        <w:spacing w:after="60" w:line="240" w:lineRule="auto"/>
      </w:pPr>
      <w:r>
        <w:t xml:space="preserve">If specimens submitted in sterile containers with no preservative cannot be transported to the laboratory within 2 hours of collection, refrigerate the specimen no longer than 24 hours.  </w:t>
      </w:r>
      <w:r>
        <w:rPr>
          <w:i/>
          <w:iCs/>
        </w:rPr>
        <w:t>Do not freeze.</w:t>
      </w:r>
    </w:p>
    <w:p w14:paraId="03EB142E" w14:textId="77777777" w:rsidR="00995BCB" w:rsidRDefault="00995BCB" w:rsidP="00995BCB">
      <w:pPr>
        <w:spacing w:after="60" w:line="240" w:lineRule="auto"/>
      </w:pPr>
      <w:r>
        <w:t>Specimens submitted in grey tops are acceptable up to 48 hours.</w:t>
      </w:r>
    </w:p>
    <w:p w14:paraId="46504105" w14:textId="00154715" w:rsidR="004E0315" w:rsidRDefault="004E0315" w:rsidP="004E0315">
      <w:pPr>
        <w:spacing w:after="60" w:line="240" w:lineRule="auto"/>
        <w:rPr>
          <w:b/>
          <w:bCs/>
        </w:rPr>
      </w:pPr>
      <w:r>
        <w:rPr>
          <w:b/>
          <w:bCs/>
        </w:rPr>
        <w:t>MATERIALS:</w:t>
      </w:r>
    </w:p>
    <w:p w14:paraId="54EF5934" w14:textId="6B3F9521" w:rsidR="007A49C7" w:rsidRDefault="007A49C7" w:rsidP="007A49C7">
      <w:pPr>
        <w:pStyle w:val="ListParagraph"/>
        <w:numPr>
          <w:ilvl w:val="0"/>
          <w:numId w:val="5"/>
        </w:numPr>
        <w:spacing w:after="60" w:line="240" w:lineRule="auto"/>
      </w:pPr>
      <w:r>
        <w:t>5% Sheep blood agar (BAP)</w:t>
      </w:r>
    </w:p>
    <w:p w14:paraId="014903FC" w14:textId="4AD9ABDE" w:rsidR="007A49C7" w:rsidRDefault="007A49C7" w:rsidP="007A49C7">
      <w:pPr>
        <w:pStyle w:val="ListParagraph"/>
        <w:numPr>
          <w:ilvl w:val="0"/>
          <w:numId w:val="5"/>
        </w:numPr>
        <w:spacing w:after="60" w:line="240" w:lineRule="auto"/>
      </w:pPr>
      <w:r>
        <w:t>MacConke</w:t>
      </w:r>
      <w:r w:rsidR="00DD351B">
        <w:t>y</w:t>
      </w:r>
      <w:r>
        <w:t xml:space="preserve"> agar (MAC)</w:t>
      </w:r>
    </w:p>
    <w:p w14:paraId="73EB2B45" w14:textId="4FDB889F" w:rsidR="007A49C7" w:rsidRDefault="007A49C7" w:rsidP="007A49C7">
      <w:pPr>
        <w:pStyle w:val="ListParagraph"/>
        <w:numPr>
          <w:ilvl w:val="0"/>
          <w:numId w:val="5"/>
        </w:numPr>
        <w:spacing w:after="60" w:line="240" w:lineRule="auto"/>
      </w:pPr>
      <w:r>
        <w:t>.001 ul</w:t>
      </w:r>
      <w:r w:rsidR="00DD351B">
        <w:t xml:space="preserve"> </w:t>
      </w:r>
      <w:proofErr w:type="spellStart"/>
      <w:r w:rsidR="00DD351B">
        <w:t>calilbrated</w:t>
      </w:r>
      <w:proofErr w:type="spellEnd"/>
      <w:r w:rsidR="00DD351B">
        <w:t xml:space="preserve"> </w:t>
      </w:r>
      <w:r>
        <w:t>disposable plastic loop</w:t>
      </w:r>
    </w:p>
    <w:p w14:paraId="73E50798" w14:textId="26140528" w:rsidR="00E93ED3" w:rsidRDefault="00E93ED3" w:rsidP="007A49C7">
      <w:pPr>
        <w:pStyle w:val="ListParagraph"/>
        <w:numPr>
          <w:ilvl w:val="0"/>
          <w:numId w:val="5"/>
        </w:numPr>
        <w:spacing w:after="60" w:line="240" w:lineRule="auto"/>
      </w:pPr>
      <w:r>
        <w:t xml:space="preserve">.01 </w:t>
      </w:r>
      <w:r w:rsidR="007A1C7A">
        <w:t xml:space="preserve">ul </w:t>
      </w:r>
      <w:r>
        <w:t>calibrated plastic loop</w:t>
      </w:r>
    </w:p>
    <w:p w14:paraId="4C7863FA" w14:textId="4F39A906" w:rsidR="004E0315" w:rsidRDefault="004E0315" w:rsidP="004E0315">
      <w:pPr>
        <w:spacing w:after="60" w:line="240" w:lineRule="auto"/>
        <w:rPr>
          <w:b/>
          <w:bCs/>
        </w:rPr>
      </w:pPr>
      <w:r>
        <w:rPr>
          <w:b/>
          <w:bCs/>
        </w:rPr>
        <w:t>PROCEDURE:</w:t>
      </w:r>
    </w:p>
    <w:p w14:paraId="467348AF" w14:textId="3BCB828F" w:rsidR="004A4135" w:rsidRDefault="004A4135" w:rsidP="004A4135">
      <w:pPr>
        <w:spacing w:after="60"/>
        <w:ind w:left="720" w:hanging="720"/>
        <w:rPr>
          <w:b/>
        </w:rPr>
      </w:pPr>
      <w:r>
        <w:rPr>
          <w:b/>
        </w:rPr>
        <w:t>NOTE:  All manipulations of culture specimens must be performed in the BSC (biosafety cabinet).</w:t>
      </w:r>
    </w:p>
    <w:p w14:paraId="095C81A4" w14:textId="05264F6A" w:rsidR="00642C25" w:rsidRPr="00642C25" w:rsidRDefault="00642C25" w:rsidP="00642C25">
      <w:pPr>
        <w:pStyle w:val="ListParagraph"/>
        <w:numPr>
          <w:ilvl w:val="0"/>
          <w:numId w:val="7"/>
        </w:numPr>
        <w:spacing w:after="60"/>
        <w:rPr>
          <w:b/>
        </w:rPr>
      </w:pPr>
      <w:r>
        <w:rPr>
          <w:bCs/>
        </w:rPr>
        <w:t>On receipt of the specimen, select and confirm the specimen to print labels.</w:t>
      </w:r>
    </w:p>
    <w:p w14:paraId="5CC2189D" w14:textId="7A00D4D4" w:rsidR="00642C25" w:rsidRDefault="00642C25" w:rsidP="00642C25">
      <w:pPr>
        <w:pStyle w:val="ListParagraph"/>
        <w:numPr>
          <w:ilvl w:val="0"/>
          <w:numId w:val="7"/>
        </w:numPr>
        <w:spacing w:after="60"/>
        <w:rPr>
          <w:bCs/>
        </w:rPr>
      </w:pPr>
      <w:bookmarkStart w:id="0" w:name="_Hlk166765028"/>
      <w:r>
        <w:rPr>
          <w:bCs/>
        </w:rPr>
        <w:t>Label culture plates</w:t>
      </w:r>
      <w:bookmarkEnd w:id="0"/>
      <w:r>
        <w:rPr>
          <w:bCs/>
        </w:rPr>
        <w:t>.</w:t>
      </w:r>
    </w:p>
    <w:p w14:paraId="29C144DD" w14:textId="40E53CB5" w:rsidR="00642C25" w:rsidRPr="00642C25" w:rsidRDefault="00642C25" w:rsidP="00642C25">
      <w:pPr>
        <w:pStyle w:val="ListParagraph"/>
        <w:numPr>
          <w:ilvl w:val="0"/>
          <w:numId w:val="7"/>
        </w:numPr>
        <w:spacing w:after="60"/>
        <w:rPr>
          <w:b/>
        </w:rPr>
      </w:pPr>
      <w:r>
        <w:rPr>
          <w:bCs/>
        </w:rPr>
        <w:t>Mix specimen well.</w:t>
      </w:r>
    </w:p>
    <w:p w14:paraId="3556C2D2" w14:textId="3F421590" w:rsidR="00642C25" w:rsidRPr="00C14ACC" w:rsidRDefault="00C14ACC" w:rsidP="00642C25">
      <w:pPr>
        <w:pStyle w:val="ListParagraph"/>
        <w:numPr>
          <w:ilvl w:val="0"/>
          <w:numId w:val="7"/>
        </w:numPr>
        <w:spacing w:after="60"/>
        <w:rPr>
          <w:b/>
        </w:rPr>
      </w:pPr>
      <w:r>
        <w:rPr>
          <w:bCs/>
        </w:rPr>
        <w:t>Holding the disposable loop vertically, immerse it just below the surface of the urine specimen.</w:t>
      </w:r>
    </w:p>
    <w:p w14:paraId="65420329" w14:textId="59C5B13B" w:rsidR="00C14ACC" w:rsidRPr="00602F19" w:rsidRDefault="00C14ACC" w:rsidP="00642C25">
      <w:pPr>
        <w:pStyle w:val="ListParagraph"/>
        <w:numPr>
          <w:ilvl w:val="0"/>
          <w:numId w:val="7"/>
        </w:numPr>
        <w:spacing w:after="60"/>
        <w:rPr>
          <w:b/>
        </w:rPr>
      </w:pPr>
      <w:r>
        <w:rPr>
          <w:bCs/>
        </w:rPr>
        <w:t xml:space="preserve">Using the loop, </w:t>
      </w:r>
      <w:r w:rsidR="00602F19">
        <w:rPr>
          <w:bCs/>
        </w:rPr>
        <w:t xml:space="preserve">inoculate the plate by </w:t>
      </w:r>
      <w:r>
        <w:rPr>
          <w:bCs/>
        </w:rPr>
        <w:t>mak</w:t>
      </w:r>
      <w:r w:rsidR="00602F19">
        <w:rPr>
          <w:bCs/>
        </w:rPr>
        <w:t>ing</w:t>
      </w:r>
      <w:r>
        <w:rPr>
          <w:bCs/>
        </w:rPr>
        <w:t xml:space="preserve"> a straight line down the center of the BAP.  Then streak the plate beginning at the top of the plate by making a series of passes at 90º </w:t>
      </w:r>
      <w:r w:rsidR="00602F19">
        <w:rPr>
          <w:bCs/>
        </w:rPr>
        <w:t>through the inoculum.</w:t>
      </w:r>
      <w:r w:rsidR="00992152">
        <w:rPr>
          <w:bCs/>
        </w:rPr>
        <w:t xml:space="preserve">  </w:t>
      </w:r>
      <w:r w:rsidR="00992152">
        <w:rPr>
          <w:b/>
        </w:rPr>
        <w:t xml:space="preserve">NOTE:  </w:t>
      </w:r>
      <w:r w:rsidR="00077124">
        <w:rPr>
          <w:b/>
        </w:rPr>
        <w:t>Specimens obtained by invasive procedures</w:t>
      </w:r>
      <w:r w:rsidR="00992152">
        <w:rPr>
          <w:b/>
        </w:rPr>
        <w:t xml:space="preserve"> listed above should be set up using a .01 ul loop.</w:t>
      </w:r>
    </w:p>
    <w:p w14:paraId="73592474" w14:textId="60A12DFE" w:rsidR="00602F19" w:rsidRPr="00493AE8" w:rsidRDefault="00602F19" w:rsidP="00642C25">
      <w:pPr>
        <w:pStyle w:val="ListParagraph"/>
        <w:numPr>
          <w:ilvl w:val="0"/>
          <w:numId w:val="7"/>
        </w:numPr>
        <w:spacing w:after="60"/>
        <w:rPr>
          <w:b/>
        </w:rPr>
      </w:pPr>
      <w:r>
        <w:rPr>
          <w:bCs/>
        </w:rPr>
        <w:t xml:space="preserve">Repeat step </w:t>
      </w:r>
      <w:r w:rsidR="00493AE8">
        <w:rPr>
          <w:bCs/>
        </w:rPr>
        <w:t xml:space="preserve">4 and </w:t>
      </w:r>
      <w:r>
        <w:rPr>
          <w:bCs/>
        </w:rPr>
        <w:t>5 for the MAC plate.</w:t>
      </w:r>
    </w:p>
    <w:p w14:paraId="226E6150" w14:textId="40795E0C" w:rsidR="00493AE8" w:rsidRPr="00493AE8" w:rsidRDefault="00493AE8" w:rsidP="00493AE8">
      <w:pPr>
        <w:pStyle w:val="ListParagraph"/>
        <w:numPr>
          <w:ilvl w:val="0"/>
          <w:numId w:val="7"/>
        </w:numPr>
        <w:spacing w:after="60"/>
        <w:rPr>
          <w:b/>
        </w:rPr>
      </w:pPr>
      <w:r w:rsidRPr="00493AE8">
        <w:rPr>
          <w:rFonts w:eastAsia="Cambria"/>
        </w:rPr>
        <w:t>Incubate</w:t>
      </w:r>
      <w:r w:rsidRPr="00493AE8">
        <w:rPr>
          <w:rFonts w:eastAsia="Cambria"/>
          <w:spacing w:val="-3"/>
        </w:rPr>
        <w:t xml:space="preserve"> </w:t>
      </w:r>
      <w:r w:rsidRPr="00493AE8">
        <w:rPr>
          <w:rFonts w:eastAsia="Cambria"/>
        </w:rPr>
        <w:t>plates</w:t>
      </w:r>
      <w:r w:rsidRPr="00493AE8">
        <w:rPr>
          <w:rFonts w:eastAsia="Cambria"/>
          <w:spacing w:val="-4"/>
        </w:rPr>
        <w:t xml:space="preserve"> </w:t>
      </w:r>
      <w:r w:rsidRPr="00493AE8">
        <w:rPr>
          <w:rFonts w:eastAsia="Cambria"/>
        </w:rPr>
        <w:t>in</w:t>
      </w:r>
      <w:r w:rsidRPr="00493AE8">
        <w:rPr>
          <w:rFonts w:eastAsia="Cambria"/>
          <w:spacing w:val="-4"/>
        </w:rPr>
        <w:t xml:space="preserve"> </w:t>
      </w:r>
      <w:r w:rsidRPr="00493AE8">
        <w:rPr>
          <w:rFonts w:eastAsia="Cambria"/>
        </w:rPr>
        <w:t>35⁰C</w:t>
      </w:r>
      <w:r w:rsidRPr="00493AE8">
        <w:rPr>
          <w:rFonts w:eastAsia="Cambria"/>
          <w:spacing w:val="-4"/>
        </w:rPr>
        <w:t xml:space="preserve"> </w:t>
      </w:r>
      <w:r w:rsidRPr="00493AE8">
        <w:rPr>
          <w:rFonts w:eastAsia="Cambria"/>
        </w:rPr>
        <w:t>incubator</w:t>
      </w:r>
      <w:r w:rsidRPr="00493AE8">
        <w:rPr>
          <w:rFonts w:eastAsia="Cambria"/>
          <w:spacing w:val="-3"/>
        </w:rPr>
        <w:t xml:space="preserve"> </w:t>
      </w:r>
      <w:r w:rsidRPr="00493AE8">
        <w:rPr>
          <w:rFonts w:eastAsia="Cambria"/>
        </w:rPr>
        <w:t>without</w:t>
      </w:r>
      <w:r w:rsidRPr="00493AE8">
        <w:rPr>
          <w:rFonts w:eastAsia="Cambria"/>
          <w:spacing w:val="-2"/>
        </w:rPr>
        <w:t xml:space="preserve"> </w:t>
      </w:r>
      <w:r w:rsidRPr="00493AE8">
        <w:rPr>
          <w:rFonts w:eastAsia="Cambria"/>
          <w:spacing w:val="-4"/>
        </w:rPr>
        <w:t>CO</w:t>
      </w:r>
      <w:r w:rsidRPr="00493AE8">
        <w:rPr>
          <w:rFonts w:eastAsia="Cambria"/>
          <w:spacing w:val="-4"/>
          <w:vertAlign w:val="subscript"/>
        </w:rPr>
        <w:t>2</w:t>
      </w:r>
      <w:r w:rsidRPr="00493AE8">
        <w:rPr>
          <w:rFonts w:eastAsia="Cambria"/>
          <w:spacing w:val="-4"/>
        </w:rPr>
        <w:t>.</w:t>
      </w:r>
    </w:p>
    <w:p w14:paraId="678EB579" w14:textId="77777777" w:rsidR="00992152" w:rsidRDefault="00992152">
      <w:pPr>
        <w:rPr>
          <w:bCs/>
          <w:highlight w:val="lightGray"/>
        </w:rPr>
      </w:pPr>
      <w:r>
        <w:rPr>
          <w:bCs/>
          <w:highlight w:val="lightGray"/>
        </w:rPr>
        <w:br w:type="page"/>
      </w:r>
    </w:p>
    <w:p w14:paraId="53FC306A" w14:textId="5A043C4C" w:rsidR="004E0315" w:rsidRDefault="004E0315" w:rsidP="004E0315">
      <w:pPr>
        <w:spacing w:after="60" w:line="240" w:lineRule="auto"/>
        <w:rPr>
          <w:b/>
          <w:bCs/>
        </w:rPr>
      </w:pPr>
      <w:r>
        <w:rPr>
          <w:b/>
          <w:bCs/>
        </w:rPr>
        <w:lastRenderedPageBreak/>
        <w:t>CULTURE INTERPRETATION:</w:t>
      </w:r>
    </w:p>
    <w:p w14:paraId="6F8A0F37" w14:textId="1161C76D" w:rsidR="00EC649D" w:rsidRPr="00EC649D" w:rsidRDefault="00EC649D" w:rsidP="00CF567D">
      <w:pPr>
        <w:pStyle w:val="ListParagraph"/>
        <w:numPr>
          <w:ilvl w:val="0"/>
          <w:numId w:val="24"/>
        </w:numPr>
        <w:spacing w:after="60" w:line="240" w:lineRule="auto"/>
      </w:pPr>
      <w:r w:rsidRPr="00CF567D">
        <w:rPr>
          <w:bCs/>
        </w:rPr>
        <w:t>At 18 to 24 hours, examine plates for growth.</w:t>
      </w:r>
    </w:p>
    <w:p w14:paraId="56A5F9ED" w14:textId="506B53E7" w:rsidR="00EC649D" w:rsidRPr="00CF567D" w:rsidRDefault="00EC649D" w:rsidP="00CF567D">
      <w:pPr>
        <w:pStyle w:val="ListParagraph"/>
        <w:numPr>
          <w:ilvl w:val="0"/>
          <w:numId w:val="24"/>
        </w:numPr>
        <w:spacing w:after="60"/>
        <w:rPr>
          <w:bCs/>
        </w:rPr>
      </w:pPr>
      <w:r w:rsidRPr="00CF567D">
        <w:rPr>
          <w:bCs/>
        </w:rPr>
        <w:t xml:space="preserve">If there is no growth, </w:t>
      </w:r>
      <w:proofErr w:type="spellStart"/>
      <w:r w:rsidRPr="00CF567D">
        <w:rPr>
          <w:bCs/>
        </w:rPr>
        <w:t>reincubate</w:t>
      </w:r>
      <w:proofErr w:type="spellEnd"/>
      <w:r w:rsidRPr="00CF567D">
        <w:rPr>
          <w:bCs/>
        </w:rPr>
        <w:t xml:space="preserve"> plates and issue a p</w:t>
      </w:r>
      <w:r w:rsidR="00E231CE" w:rsidRPr="00CF567D">
        <w:rPr>
          <w:bCs/>
        </w:rPr>
        <w:t>reliminary report.</w:t>
      </w:r>
    </w:p>
    <w:p w14:paraId="34064262" w14:textId="6A38FD7A" w:rsidR="00EC649D" w:rsidRPr="00CF567D" w:rsidRDefault="00EC649D" w:rsidP="00CF567D">
      <w:pPr>
        <w:pStyle w:val="ListParagraph"/>
        <w:numPr>
          <w:ilvl w:val="0"/>
          <w:numId w:val="24"/>
        </w:numPr>
        <w:spacing w:after="60"/>
        <w:rPr>
          <w:bCs/>
        </w:rPr>
      </w:pPr>
      <w:r w:rsidRPr="00CF567D">
        <w:rPr>
          <w:bCs/>
        </w:rPr>
        <w:t xml:space="preserve">For positive cultures, determine the colony count of each morphotype in the culture (obtained by multiplying the number of colonies present by 1000 or in the instance of </w:t>
      </w:r>
      <w:r w:rsidR="00117189" w:rsidRPr="00CF567D">
        <w:rPr>
          <w:bCs/>
        </w:rPr>
        <w:t>urines obtained invasively</w:t>
      </w:r>
      <w:r w:rsidRPr="00CF567D">
        <w:rPr>
          <w:bCs/>
        </w:rPr>
        <w:t xml:space="preserve"> by 100). </w:t>
      </w:r>
    </w:p>
    <w:p w14:paraId="7239DE1C" w14:textId="2DB660A5" w:rsidR="009D3D53" w:rsidRPr="00CF567D" w:rsidRDefault="009D3D53" w:rsidP="00CF567D">
      <w:pPr>
        <w:pStyle w:val="ListParagraph"/>
        <w:numPr>
          <w:ilvl w:val="0"/>
          <w:numId w:val="24"/>
        </w:numPr>
        <w:spacing w:after="60"/>
        <w:rPr>
          <w:b/>
          <w:bCs/>
        </w:rPr>
      </w:pPr>
      <w:r w:rsidRPr="00CF567D">
        <w:rPr>
          <w:b/>
          <w:bCs/>
        </w:rPr>
        <w:t>Refer Table 1 to determine the extent of workup</w:t>
      </w:r>
      <w:r w:rsidR="00983B45">
        <w:rPr>
          <w:b/>
          <w:bCs/>
        </w:rPr>
        <w:t>.</w:t>
      </w:r>
    </w:p>
    <w:p w14:paraId="71FEF27C" w14:textId="1FD74931" w:rsidR="00EC649D" w:rsidRDefault="00EC649D" w:rsidP="00CF567D">
      <w:pPr>
        <w:pStyle w:val="ListParagraph"/>
        <w:numPr>
          <w:ilvl w:val="0"/>
          <w:numId w:val="24"/>
        </w:numPr>
        <w:spacing w:after="60" w:line="240" w:lineRule="auto"/>
      </w:pPr>
      <w:r>
        <w:t xml:space="preserve">Do not report normal urogenital </w:t>
      </w:r>
      <w:r w:rsidR="00960BEF">
        <w:t xml:space="preserve">or skin </w:t>
      </w:r>
      <w:r>
        <w:t xml:space="preserve">flora to the genus or species level. </w:t>
      </w:r>
    </w:p>
    <w:p w14:paraId="211F9274" w14:textId="3722FCB3" w:rsidR="009D3D53" w:rsidRPr="009D3D53" w:rsidRDefault="009D3D53" w:rsidP="00CF567D">
      <w:pPr>
        <w:pStyle w:val="ListParagraph"/>
        <w:numPr>
          <w:ilvl w:val="0"/>
          <w:numId w:val="24"/>
        </w:numPr>
        <w:spacing w:after="60" w:line="240" w:lineRule="auto"/>
      </w:pPr>
      <w:r>
        <w:t xml:space="preserve">Minimally ID:  Alpha hemolytic streptococcus, Staphylococcus coagulase negative, lactobacillus, </w:t>
      </w:r>
      <w:proofErr w:type="spellStart"/>
      <w:r w:rsidRPr="00CF567D">
        <w:rPr>
          <w:i/>
          <w:iCs/>
        </w:rPr>
        <w:t>Corynbacterium</w:t>
      </w:r>
      <w:proofErr w:type="spellEnd"/>
      <w:r w:rsidRPr="00CF567D">
        <w:rPr>
          <w:i/>
          <w:iCs/>
        </w:rPr>
        <w:t xml:space="preserve"> </w:t>
      </w:r>
      <w:proofErr w:type="spellStart"/>
      <w:r w:rsidRPr="00CF567D">
        <w:rPr>
          <w:i/>
          <w:iCs/>
        </w:rPr>
        <w:t>spp</w:t>
      </w:r>
      <w:proofErr w:type="spellEnd"/>
      <w:r w:rsidRPr="00CF567D">
        <w:rPr>
          <w:iCs/>
        </w:rPr>
        <w:t>, using colony morphology, Staph latex or Gram stain.</w:t>
      </w:r>
    </w:p>
    <w:p w14:paraId="333FA3E7" w14:textId="7C134E23" w:rsidR="009D3D53" w:rsidRPr="009D3D53" w:rsidRDefault="009D3D53" w:rsidP="00CF567D">
      <w:pPr>
        <w:pStyle w:val="ListParagraph"/>
        <w:numPr>
          <w:ilvl w:val="0"/>
          <w:numId w:val="24"/>
        </w:numPr>
        <w:spacing w:after="60" w:line="240" w:lineRule="auto"/>
      </w:pPr>
      <w:r w:rsidRPr="00CF567D">
        <w:rPr>
          <w:iCs/>
        </w:rPr>
        <w:t>If susceptibilities were performed, examine the purity plate prior to reporting results.  Do not report ID and se</w:t>
      </w:r>
      <w:r w:rsidR="00CF567D" w:rsidRPr="00CF567D">
        <w:rPr>
          <w:iCs/>
        </w:rPr>
        <w:t>n</w:t>
      </w:r>
      <w:r w:rsidRPr="00CF567D">
        <w:rPr>
          <w:iCs/>
        </w:rPr>
        <w:t>sitivit</w:t>
      </w:r>
      <w:r w:rsidR="00CF567D" w:rsidRPr="00CF567D">
        <w:rPr>
          <w:iCs/>
        </w:rPr>
        <w:t>i</w:t>
      </w:r>
      <w:r w:rsidRPr="00CF567D">
        <w:rPr>
          <w:iCs/>
        </w:rPr>
        <w:t>es on any mixed cultures.</w:t>
      </w:r>
    </w:p>
    <w:p w14:paraId="1B61D56C" w14:textId="1FFABF75" w:rsidR="00960BEF" w:rsidRDefault="00960BEF" w:rsidP="00CF567D">
      <w:pPr>
        <w:pStyle w:val="ListParagraph"/>
        <w:numPr>
          <w:ilvl w:val="0"/>
          <w:numId w:val="24"/>
        </w:numPr>
        <w:spacing w:after="60" w:line="240" w:lineRule="auto"/>
      </w:pPr>
      <w:r w:rsidRPr="00CF567D">
        <w:rPr>
          <w:i/>
          <w:iCs/>
        </w:rPr>
        <w:t>St</w:t>
      </w:r>
      <w:r w:rsidR="009D3D53" w:rsidRPr="00CF567D">
        <w:rPr>
          <w:i/>
          <w:iCs/>
        </w:rPr>
        <w:t>re</w:t>
      </w:r>
      <w:r w:rsidRPr="00CF567D">
        <w:rPr>
          <w:i/>
          <w:iCs/>
        </w:rPr>
        <w:t>ptococcus agalactiae</w:t>
      </w:r>
      <w:r>
        <w:t xml:space="preserve"> should be reported from women in childbearing years regardless of the colony count.</w:t>
      </w:r>
    </w:p>
    <w:p w14:paraId="24AE8C4F" w14:textId="57F252DE" w:rsidR="00960BEF" w:rsidRDefault="00960BEF" w:rsidP="00CF567D">
      <w:pPr>
        <w:pStyle w:val="ListParagraph"/>
        <w:numPr>
          <w:ilvl w:val="0"/>
          <w:numId w:val="24"/>
        </w:numPr>
        <w:spacing w:after="60" w:line="240" w:lineRule="auto"/>
      </w:pPr>
      <w:r>
        <w:t>Hold all specimens 36 – 48 hours with the exception of grossly contaminated cultures containing &gt;100,000 CFU/ml each of 3 or more organism</w:t>
      </w:r>
      <w:r w:rsidR="00E231CE">
        <w:t>s</w:t>
      </w:r>
      <w:r>
        <w:t>.</w:t>
      </w:r>
    </w:p>
    <w:p w14:paraId="2993E251" w14:textId="5C39F4A6" w:rsidR="00960BEF" w:rsidRDefault="00754EDC" w:rsidP="00754EDC">
      <w:pPr>
        <w:spacing w:after="60" w:line="240" w:lineRule="auto"/>
        <w:rPr>
          <w:b/>
          <w:bCs/>
          <w:sz w:val="18"/>
          <w:szCs w:val="18"/>
        </w:rPr>
      </w:pPr>
      <w:r>
        <w:rPr>
          <w:b/>
          <w:bCs/>
        </w:rPr>
        <w:t xml:space="preserve">TABLE 1 </w:t>
      </w:r>
      <w:r w:rsidRPr="00754EDC">
        <w:rPr>
          <w:b/>
          <w:bCs/>
          <w:sz w:val="18"/>
          <w:szCs w:val="18"/>
        </w:rPr>
        <w:t>Criteria for</w:t>
      </w:r>
      <w:r w:rsidR="00C91453">
        <w:rPr>
          <w:b/>
          <w:bCs/>
          <w:sz w:val="18"/>
          <w:szCs w:val="18"/>
        </w:rPr>
        <w:t xml:space="preserve"> Reporting and Work up of</w:t>
      </w:r>
      <w:r>
        <w:rPr>
          <w:b/>
          <w:bCs/>
          <w:sz w:val="18"/>
          <w:szCs w:val="18"/>
        </w:rPr>
        <w:t xml:space="preserve"> </w:t>
      </w:r>
      <w:r w:rsidR="00C91453">
        <w:rPr>
          <w:b/>
          <w:bCs/>
          <w:sz w:val="18"/>
          <w:szCs w:val="18"/>
        </w:rPr>
        <w:t xml:space="preserve">Urine </w:t>
      </w:r>
      <w:r w:rsidR="006A6E86">
        <w:rPr>
          <w:b/>
          <w:bCs/>
          <w:sz w:val="18"/>
          <w:szCs w:val="18"/>
        </w:rPr>
        <w:t>Cultures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3740"/>
      </w:tblGrid>
      <w:tr w:rsidR="008603F7" w14:paraId="56C91816" w14:textId="77777777" w:rsidTr="004557A9">
        <w:trPr>
          <w:trHeight w:val="377"/>
        </w:trPr>
        <w:tc>
          <w:tcPr>
            <w:tcW w:w="1870" w:type="dxa"/>
            <w:vAlign w:val="center"/>
          </w:tcPr>
          <w:p w14:paraId="6198C256" w14:textId="130002C4" w:rsidR="008603F7" w:rsidRDefault="008603F7" w:rsidP="00754E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Type of Specimen</w:t>
            </w:r>
          </w:p>
        </w:tc>
        <w:tc>
          <w:tcPr>
            <w:tcW w:w="1870" w:type="dxa"/>
            <w:vAlign w:val="center"/>
          </w:tcPr>
          <w:p w14:paraId="3C643EE0" w14:textId="299D25F8" w:rsidR="008603F7" w:rsidRDefault="008603F7" w:rsidP="00754E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# </w:t>
            </w:r>
            <w:proofErr w:type="gramStart"/>
            <w:r>
              <w:rPr>
                <w:b/>
                <w:sz w:val="18"/>
                <w:szCs w:val="18"/>
              </w:rPr>
              <w:t>of</w:t>
            </w:r>
            <w:proofErr w:type="gramEnd"/>
            <w:r>
              <w:rPr>
                <w:b/>
                <w:sz w:val="18"/>
                <w:szCs w:val="18"/>
              </w:rPr>
              <w:t xml:space="preserve"> Isolates</w:t>
            </w:r>
          </w:p>
        </w:tc>
        <w:tc>
          <w:tcPr>
            <w:tcW w:w="1870" w:type="dxa"/>
            <w:vAlign w:val="center"/>
          </w:tcPr>
          <w:p w14:paraId="6CCCE4D9" w14:textId="43DC0123" w:rsidR="008603F7" w:rsidRDefault="008603F7" w:rsidP="00754E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Colony Count</w:t>
            </w:r>
          </w:p>
        </w:tc>
        <w:tc>
          <w:tcPr>
            <w:tcW w:w="3740" w:type="dxa"/>
            <w:vAlign w:val="center"/>
          </w:tcPr>
          <w:p w14:paraId="087A4C2D" w14:textId="1EC5B12D" w:rsidR="008603F7" w:rsidRDefault="008603F7" w:rsidP="00754E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Extent of Workup</w:t>
            </w:r>
            <w:r w:rsidR="00E95BF7">
              <w:rPr>
                <w:b/>
                <w:sz w:val="18"/>
                <w:szCs w:val="18"/>
              </w:rPr>
              <w:t xml:space="preserve"> and Reporting</w:t>
            </w:r>
          </w:p>
        </w:tc>
      </w:tr>
      <w:tr w:rsidR="008603F7" w14:paraId="4A2A759E" w14:textId="77777777" w:rsidTr="006F66ED">
        <w:trPr>
          <w:trHeight w:val="377"/>
        </w:trPr>
        <w:tc>
          <w:tcPr>
            <w:tcW w:w="1870" w:type="dxa"/>
            <w:vAlign w:val="center"/>
          </w:tcPr>
          <w:p w14:paraId="73E0DDA8" w14:textId="544CEB4A" w:rsidR="008603F7" w:rsidRDefault="008603F7" w:rsidP="00754E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Non invasive</w:t>
            </w:r>
          </w:p>
        </w:tc>
        <w:tc>
          <w:tcPr>
            <w:tcW w:w="1870" w:type="dxa"/>
            <w:vAlign w:val="center"/>
          </w:tcPr>
          <w:p w14:paraId="14A45C89" w14:textId="25EB61A2" w:rsidR="008603F7" w:rsidRPr="008603F7" w:rsidRDefault="008603F7" w:rsidP="00754EDC">
            <w:pPr>
              <w:jc w:val="center"/>
              <w:rPr>
                <w:bCs/>
                <w:sz w:val="18"/>
                <w:szCs w:val="18"/>
              </w:rPr>
            </w:pPr>
            <w:r w:rsidRPr="008603F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870" w:type="dxa"/>
            <w:vAlign w:val="center"/>
          </w:tcPr>
          <w:p w14:paraId="5010863A" w14:textId="77777777" w:rsidR="008603F7" w:rsidRPr="008603F7" w:rsidRDefault="008603F7" w:rsidP="005C3CD4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8603F7">
              <w:rPr>
                <w:rFonts w:ascii="Arial" w:hAnsi="Arial" w:cs="Arial"/>
                <w:spacing w:val="-2"/>
                <w:sz w:val="18"/>
                <w:szCs w:val="18"/>
              </w:rPr>
              <w:t>≥10,000</w:t>
            </w:r>
          </w:p>
          <w:p w14:paraId="007EB9D5" w14:textId="66C23E56" w:rsidR="008603F7" w:rsidRPr="008603F7" w:rsidRDefault="008603F7" w:rsidP="005C3CD4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8603F7">
              <w:rPr>
                <w:rFonts w:ascii="Arial" w:hAnsi="Arial" w:cs="Arial"/>
                <w:sz w:val="18"/>
                <w:szCs w:val="18"/>
              </w:rPr>
              <w:t>CFU/ml</w:t>
            </w:r>
          </w:p>
        </w:tc>
        <w:tc>
          <w:tcPr>
            <w:tcW w:w="3740" w:type="dxa"/>
            <w:vAlign w:val="center"/>
          </w:tcPr>
          <w:p w14:paraId="11F6F53A" w14:textId="60BF1443" w:rsidR="008603F7" w:rsidRPr="008603F7" w:rsidRDefault="008603F7" w:rsidP="00754EDC">
            <w:pPr>
              <w:jc w:val="center"/>
              <w:rPr>
                <w:bCs/>
                <w:sz w:val="18"/>
                <w:szCs w:val="18"/>
              </w:rPr>
            </w:pPr>
            <w:r w:rsidRPr="008603F7">
              <w:rPr>
                <w:sz w:val="18"/>
                <w:szCs w:val="18"/>
              </w:rPr>
              <w:t>If</w:t>
            </w:r>
            <w:r w:rsidRPr="008603F7">
              <w:rPr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8603F7">
              <w:rPr>
                <w:sz w:val="18"/>
                <w:szCs w:val="18"/>
              </w:rPr>
              <w:t>uropathogen</w:t>
            </w:r>
            <w:proofErr w:type="spellEnd"/>
            <w:r w:rsidRPr="008603F7">
              <w:rPr>
                <w:sz w:val="18"/>
                <w:szCs w:val="18"/>
              </w:rPr>
              <w:t>, ID</w:t>
            </w:r>
            <w:r w:rsidRPr="008603F7">
              <w:rPr>
                <w:spacing w:val="-6"/>
                <w:sz w:val="18"/>
                <w:szCs w:val="18"/>
              </w:rPr>
              <w:t xml:space="preserve"> </w:t>
            </w:r>
            <w:r w:rsidRPr="008603F7">
              <w:rPr>
                <w:sz w:val="18"/>
                <w:szCs w:val="18"/>
              </w:rPr>
              <w:t>and</w:t>
            </w:r>
            <w:r w:rsidRPr="008603F7">
              <w:rPr>
                <w:spacing w:val="-6"/>
                <w:sz w:val="18"/>
                <w:szCs w:val="18"/>
              </w:rPr>
              <w:t xml:space="preserve"> </w:t>
            </w:r>
            <w:r w:rsidRPr="008603F7">
              <w:rPr>
                <w:sz w:val="18"/>
                <w:szCs w:val="18"/>
              </w:rPr>
              <w:t>Sens</w:t>
            </w:r>
            <w:r w:rsidRPr="008603F7">
              <w:rPr>
                <w:spacing w:val="-6"/>
                <w:sz w:val="18"/>
                <w:szCs w:val="18"/>
              </w:rPr>
              <w:t xml:space="preserve"> </w:t>
            </w:r>
            <w:r w:rsidRPr="008603F7">
              <w:rPr>
                <w:sz w:val="18"/>
                <w:szCs w:val="18"/>
              </w:rPr>
              <w:t xml:space="preserve">(if </w:t>
            </w:r>
            <w:r w:rsidRPr="008603F7">
              <w:rPr>
                <w:spacing w:val="-2"/>
                <w:sz w:val="18"/>
                <w:szCs w:val="18"/>
              </w:rPr>
              <w:t>appropriate)</w:t>
            </w:r>
          </w:p>
        </w:tc>
      </w:tr>
      <w:tr w:rsidR="008603F7" w14:paraId="69846BC5" w14:textId="77777777" w:rsidTr="006F66ED">
        <w:trPr>
          <w:trHeight w:val="377"/>
        </w:trPr>
        <w:tc>
          <w:tcPr>
            <w:tcW w:w="1870" w:type="dxa"/>
            <w:vAlign w:val="center"/>
          </w:tcPr>
          <w:p w14:paraId="2D68D9E0" w14:textId="4D928C18" w:rsidR="008603F7" w:rsidRDefault="008603F7" w:rsidP="00754E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Non invasive</w:t>
            </w:r>
          </w:p>
        </w:tc>
        <w:tc>
          <w:tcPr>
            <w:tcW w:w="1870" w:type="dxa"/>
            <w:vAlign w:val="center"/>
          </w:tcPr>
          <w:p w14:paraId="2A7B42D7" w14:textId="798DDEA6" w:rsidR="008603F7" w:rsidRPr="008603F7" w:rsidRDefault="008603F7" w:rsidP="00754E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870" w:type="dxa"/>
            <w:vAlign w:val="center"/>
          </w:tcPr>
          <w:p w14:paraId="5AE6AE59" w14:textId="77777777" w:rsidR="008603F7" w:rsidRPr="008603F7" w:rsidRDefault="008603F7" w:rsidP="008603F7">
            <w:pPr>
              <w:pStyle w:val="TableParagraph"/>
              <w:spacing w:before="138"/>
              <w:rPr>
                <w:rFonts w:ascii="Arial" w:hAnsi="Arial" w:cs="Arial"/>
                <w:sz w:val="18"/>
                <w:szCs w:val="18"/>
              </w:rPr>
            </w:pPr>
            <w:r w:rsidRPr="00F606B4">
              <w:rPr>
                <w:spacing w:val="-2"/>
                <w:sz w:val="24"/>
              </w:rPr>
              <w:t>&lt;</w:t>
            </w:r>
            <w:r w:rsidRPr="008603F7">
              <w:rPr>
                <w:rFonts w:ascii="Arial" w:hAnsi="Arial" w:cs="Arial"/>
                <w:spacing w:val="-2"/>
                <w:sz w:val="18"/>
                <w:szCs w:val="18"/>
              </w:rPr>
              <w:t>10,000</w:t>
            </w:r>
          </w:p>
          <w:p w14:paraId="55BFEB20" w14:textId="1D903BB9" w:rsidR="008603F7" w:rsidRPr="008603F7" w:rsidRDefault="008603F7" w:rsidP="008603F7">
            <w:pPr>
              <w:pStyle w:val="TableParagraph"/>
              <w:rPr>
                <w:sz w:val="24"/>
              </w:rPr>
            </w:pPr>
            <w:r w:rsidRPr="008603F7">
              <w:rPr>
                <w:rFonts w:ascii="Arial" w:hAnsi="Arial" w:cs="Arial"/>
                <w:spacing w:val="-2"/>
                <w:sz w:val="18"/>
                <w:szCs w:val="18"/>
              </w:rPr>
              <w:t>CFU/ml</w:t>
            </w:r>
          </w:p>
        </w:tc>
        <w:tc>
          <w:tcPr>
            <w:tcW w:w="3740" w:type="dxa"/>
            <w:vAlign w:val="center"/>
          </w:tcPr>
          <w:p w14:paraId="3EAC0D3B" w14:textId="4E77CA04" w:rsidR="008603F7" w:rsidRPr="008603F7" w:rsidRDefault="008603F7" w:rsidP="00754E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Minimal work up</w:t>
            </w:r>
            <w:r>
              <w:rPr>
                <w:sz w:val="18"/>
                <w:szCs w:val="18"/>
              </w:rPr>
              <w:br/>
              <w:t>Report ID</w:t>
            </w:r>
          </w:p>
        </w:tc>
      </w:tr>
      <w:tr w:rsidR="008603F7" w14:paraId="510C101A" w14:textId="77777777" w:rsidTr="006F66ED">
        <w:trPr>
          <w:trHeight w:val="377"/>
        </w:trPr>
        <w:tc>
          <w:tcPr>
            <w:tcW w:w="1870" w:type="dxa"/>
            <w:vAlign w:val="center"/>
          </w:tcPr>
          <w:p w14:paraId="5BC157EC" w14:textId="356920B3" w:rsidR="008603F7" w:rsidRDefault="008603F7" w:rsidP="00754E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Non invasive</w:t>
            </w:r>
          </w:p>
        </w:tc>
        <w:tc>
          <w:tcPr>
            <w:tcW w:w="1870" w:type="dxa"/>
            <w:vAlign w:val="center"/>
          </w:tcPr>
          <w:p w14:paraId="2356DE44" w14:textId="1D183079" w:rsidR="008603F7" w:rsidRDefault="008603F7" w:rsidP="00754E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870" w:type="dxa"/>
            <w:vAlign w:val="center"/>
          </w:tcPr>
          <w:p w14:paraId="56998EE6" w14:textId="01825459" w:rsidR="008603F7" w:rsidRPr="008603F7" w:rsidRDefault="008603F7" w:rsidP="008603F7">
            <w:pPr>
              <w:pStyle w:val="TableParagraph"/>
              <w:ind w:right="425"/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</w:pPr>
            <w:r w:rsidRPr="008603F7">
              <w:rPr>
                <w:rFonts w:ascii="Arial" w:hAnsi="Arial" w:cs="Arial"/>
                <w:sz w:val="18"/>
                <w:szCs w:val="18"/>
              </w:rPr>
              <w:t>Both</w:t>
            </w:r>
            <w:r w:rsidRPr="008603F7"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r w:rsidRPr="008603F7">
              <w:rPr>
                <w:rFonts w:ascii="Arial" w:hAnsi="Arial" w:cs="Arial"/>
                <w:sz w:val="18"/>
                <w:szCs w:val="18"/>
              </w:rPr>
              <w:t xml:space="preserve">isolates </w:t>
            </w:r>
            <w:r w:rsidRPr="008603F7">
              <w:rPr>
                <w:rFonts w:ascii="Arial" w:hAnsi="Arial" w:cs="Arial"/>
                <w:spacing w:val="-4"/>
                <w:sz w:val="18"/>
                <w:szCs w:val="18"/>
              </w:rPr>
              <w:t>are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603F7">
              <w:rPr>
                <w:rFonts w:ascii="Arial" w:hAnsi="Arial" w:cs="Arial"/>
                <w:spacing w:val="-2"/>
                <w:sz w:val="18"/>
                <w:szCs w:val="18"/>
              </w:rPr>
              <w:t>≥10,000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603F7">
              <w:rPr>
                <w:rFonts w:ascii="Arial" w:hAnsi="Arial" w:cs="Arial"/>
                <w:spacing w:val="-2"/>
                <w:sz w:val="18"/>
                <w:szCs w:val="18"/>
              </w:rPr>
              <w:t>CFU/ml</w:t>
            </w:r>
          </w:p>
        </w:tc>
        <w:tc>
          <w:tcPr>
            <w:tcW w:w="3740" w:type="dxa"/>
            <w:vAlign w:val="center"/>
          </w:tcPr>
          <w:p w14:paraId="2EDADFD4" w14:textId="77777777" w:rsidR="008603F7" w:rsidRDefault="008603F7" w:rsidP="00754EDC">
            <w:pPr>
              <w:jc w:val="center"/>
              <w:rPr>
                <w:spacing w:val="-2"/>
                <w:sz w:val="18"/>
                <w:szCs w:val="18"/>
              </w:rPr>
            </w:pPr>
            <w:r w:rsidRPr="008603F7">
              <w:rPr>
                <w:sz w:val="18"/>
                <w:szCs w:val="18"/>
              </w:rPr>
              <w:t xml:space="preserve">ID and Sens </w:t>
            </w:r>
            <w:r w:rsidRPr="008603F7">
              <w:rPr>
                <w:spacing w:val="-4"/>
                <w:sz w:val="18"/>
                <w:szCs w:val="18"/>
              </w:rPr>
              <w:t xml:space="preserve">for </w:t>
            </w:r>
            <w:proofErr w:type="spellStart"/>
            <w:r w:rsidRPr="008603F7">
              <w:rPr>
                <w:spacing w:val="-2"/>
                <w:sz w:val="18"/>
                <w:szCs w:val="18"/>
              </w:rPr>
              <w:t>uropathogens</w:t>
            </w:r>
            <w:proofErr w:type="spellEnd"/>
            <w:r w:rsidRPr="008603F7">
              <w:rPr>
                <w:spacing w:val="-2"/>
                <w:sz w:val="18"/>
                <w:szCs w:val="18"/>
              </w:rPr>
              <w:t xml:space="preserve">, </w:t>
            </w:r>
            <w:r w:rsidRPr="008603F7">
              <w:rPr>
                <w:sz w:val="18"/>
                <w:szCs w:val="18"/>
              </w:rPr>
              <w:t>minimal</w:t>
            </w:r>
            <w:r w:rsidRPr="008603F7">
              <w:rPr>
                <w:spacing w:val="-15"/>
                <w:sz w:val="18"/>
                <w:szCs w:val="18"/>
              </w:rPr>
              <w:t xml:space="preserve"> </w:t>
            </w:r>
            <w:r w:rsidRPr="008603F7">
              <w:rPr>
                <w:sz w:val="18"/>
                <w:szCs w:val="18"/>
              </w:rPr>
              <w:t>ID</w:t>
            </w:r>
            <w:r w:rsidRPr="008603F7">
              <w:rPr>
                <w:spacing w:val="-15"/>
                <w:sz w:val="18"/>
                <w:szCs w:val="18"/>
              </w:rPr>
              <w:t xml:space="preserve"> </w:t>
            </w:r>
            <w:r w:rsidRPr="008603F7">
              <w:rPr>
                <w:sz w:val="18"/>
                <w:szCs w:val="18"/>
              </w:rPr>
              <w:t xml:space="preserve">for </w:t>
            </w:r>
            <w:r w:rsidRPr="008603F7">
              <w:rPr>
                <w:spacing w:val="-2"/>
                <w:sz w:val="18"/>
                <w:szCs w:val="18"/>
              </w:rPr>
              <w:t>nonpathogens</w:t>
            </w:r>
          </w:p>
          <w:p w14:paraId="5C0BF03C" w14:textId="0FE05095" w:rsidR="008603F7" w:rsidRPr="008603F7" w:rsidRDefault="008603F7" w:rsidP="00754E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Report ID only for nonpat</w:t>
            </w:r>
            <w:r w:rsidR="00F606B4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ogens</w:t>
            </w:r>
          </w:p>
        </w:tc>
      </w:tr>
      <w:tr w:rsidR="008603F7" w14:paraId="32BEA582" w14:textId="77777777" w:rsidTr="006F66ED">
        <w:trPr>
          <w:trHeight w:val="377"/>
        </w:trPr>
        <w:tc>
          <w:tcPr>
            <w:tcW w:w="1870" w:type="dxa"/>
            <w:vAlign w:val="center"/>
          </w:tcPr>
          <w:p w14:paraId="6E4633D6" w14:textId="124C61EC" w:rsidR="008603F7" w:rsidRDefault="008603F7" w:rsidP="00754E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Non invasive</w:t>
            </w:r>
          </w:p>
        </w:tc>
        <w:tc>
          <w:tcPr>
            <w:tcW w:w="1870" w:type="dxa"/>
            <w:vAlign w:val="center"/>
          </w:tcPr>
          <w:p w14:paraId="163F9DD1" w14:textId="17554F69" w:rsidR="008603F7" w:rsidRDefault="008603F7" w:rsidP="00754E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870" w:type="dxa"/>
            <w:vAlign w:val="center"/>
          </w:tcPr>
          <w:p w14:paraId="2196252F" w14:textId="2338F5E7" w:rsidR="008603F7" w:rsidRPr="008603F7" w:rsidRDefault="008603F7" w:rsidP="008603F7">
            <w:pPr>
              <w:pStyle w:val="TableParagraph"/>
              <w:ind w:right="425"/>
              <w:rPr>
                <w:rFonts w:ascii="Arial" w:hAnsi="Arial" w:cs="Arial"/>
                <w:sz w:val="18"/>
                <w:szCs w:val="18"/>
              </w:rPr>
            </w:pPr>
            <w:r w:rsidRPr="008603F7">
              <w:rPr>
                <w:rFonts w:ascii="Arial" w:hAnsi="Arial" w:cs="Arial"/>
                <w:sz w:val="18"/>
                <w:szCs w:val="18"/>
              </w:rPr>
              <w:t>Both</w:t>
            </w:r>
            <w:r w:rsidRPr="008603F7"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r w:rsidRPr="008603F7">
              <w:rPr>
                <w:rFonts w:ascii="Arial" w:hAnsi="Arial" w:cs="Arial"/>
                <w:sz w:val="18"/>
                <w:szCs w:val="18"/>
              </w:rPr>
              <w:t xml:space="preserve">isolates are </w:t>
            </w:r>
            <w:r w:rsidRPr="00F606B4">
              <w:rPr>
                <w:rFonts w:ascii="Arial" w:hAnsi="Arial" w:cs="Arial"/>
                <w:sz w:val="18"/>
                <w:szCs w:val="18"/>
              </w:rPr>
              <w:t>&lt;</w:t>
            </w:r>
            <w:r w:rsidRPr="008603F7">
              <w:rPr>
                <w:rFonts w:ascii="Arial" w:hAnsi="Arial" w:cs="Arial"/>
                <w:sz w:val="18"/>
                <w:szCs w:val="18"/>
              </w:rPr>
              <w:t xml:space="preserve">10,000 </w:t>
            </w:r>
            <w:r w:rsidRPr="008603F7">
              <w:rPr>
                <w:rFonts w:ascii="Arial" w:hAnsi="Arial" w:cs="Arial"/>
                <w:spacing w:val="-2"/>
                <w:sz w:val="18"/>
                <w:szCs w:val="18"/>
              </w:rPr>
              <w:t>CFU/ml</w:t>
            </w:r>
          </w:p>
        </w:tc>
        <w:tc>
          <w:tcPr>
            <w:tcW w:w="3740" w:type="dxa"/>
            <w:vAlign w:val="center"/>
          </w:tcPr>
          <w:p w14:paraId="181D2FC7" w14:textId="6C6871B5" w:rsidR="008603F7" w:rsidRPr="008603F7" w:rsidRDefault="00F606B4" w:rsidP="00754E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Report minimal ID</w:t>
            </w:r>
          </w:p>
        </w:tc>
      </w:tr>
      <w:tr w:rsidR="00F606B4" w14:paraId="254B8824" w14:textId="77777777" w:rsidTr="006F66ED">
        <w:trPr>
          <w:trHeight w:val="377"/>
        </w:trPr>
        <w:tc>
          <w:tcPr>
            <w:tcW w:w="1870" w:type="dxa"/>
            <w:vAlign w:val="center"/>
          </w:tcPr>
          <w:p w14:paraId="5BE6E1AB" w14:textId="57BE4DAF" w:rsidR="00F606B4" w:rsidRDefault="00F606B4" w:rsidP="00754E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Non invasive</w:t>
            </w:r>
          </w:p>
        </w:tc>
        <w:tc>
          <w:tcPr>
            <w:tcW w:w="1870" w:type="dxa"/>
            <w:vAlign w:val="center"/>
          </w:tcPr>
          <w:p w14:paraId="436C3A8F" w14:textId="3AB705E5" w:rsidR="00F606B4" w:rsidRDefault="00F606B4" w:rsidP="00754E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870" w:type="dxa"/>
            <w:vAlign w:val="center"/>
          </w:tcPr>
          <w:p w14:paraId="653E6E25" w14:textId="77777777" w:rsidR="00F606B4" w:rsidRPr="00F606B4" w:rsidRDefault="00F606B4" w:rsidP="00F606B4">
            <w:pPr>
              <w:pStyle w:val="TableParagraph"/>
              <w:spacing w:before="138"/>
              <w:rPr>
                <w:rFonts w:ascii="Arial" w:hAnsi="Arial" w:cs="Arial"/>
                <w:sz w:val="18"/>
                <w:szCs w:val="18"/>
              </w:rPr>
            </w:pPr>
            <w:r w:rsidRPr="00F606B4">
              <w:rPr>
                <w:rFonts w:ascii="Arial" w:hAnsi="Arial" w:cs="Arial"/>
                <w:sz w:val="18"/>
                <w:szCs w:val="18"/>
              </w:rPr>
              <w:t>One</w:t>
            </w:r>
            <w:r w:rsidRPr="00F606B4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F606B4">
              <w:rPr>
                <w:rFonts w:ascii="Arial" w:hAnsi="Arial" w:cs="Arial"/>
                <w:sz w:val="18"/>
                <w:szCs w:val="18"/>
              </w:rPr>
              <w:t>of</w:t>
            </w:r>
            <w:r w:rsidRPr="00F606B4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F606B4">
              <w:rPr>
                <w:rFonts w:ascii="Arial" w:hAnsi="Arial" w:cs="Arial"/>
                <w:sz w:val="18"/>
                <w:szCs w:val="18"/>
              </w:rPr>
              <w:t>the</w:t>
            </w:r>
            <w:r w:rsidRPr="00F606B4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F606B4">
              <w:rPr>
                <w:rFonts w:ascii="Arial" w:hAnsi="Arial" w:cs="Arial"/>
                <w:sz w:val="18"/>
                <w:szCs w:val="18"/>
              </w:rPr>
              <w:t>2 isolates is</w:t>
            </w:r>
          </w:p>
          <w:p w14:paraId="27147B0D" w14:textId="77777777" w:rsidR="00F606B4" w:rsidRPr="00F606B4" w:rsidRDefault="00F606B4" w:rsidP="00F606B4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F606B4">
              <w:rPr>
                <w:rFonts w:ascii="Arial" w:hAnsi="Arial" w:cs="Arial"/>
                <w:spacing w:val="-2"/>
                <w:sz w:val="18"/>
                <w:szCs w:val="18"/>
              </w:rPr>
              <w:t>≥10,000</w:t>
            </w:r>
          </w:p>
          <w:p w14:paraId="2A0F46D5" w14:textId="57C173FE" w:rsidR="00F606B4" w:rsidRPr="008603F7" w:rsidRDefault="00F606B4" w:rsidP="00F606B4">
            <w:pPr>
              <w:pStyle w:val="TableParagraph"/>
              <w:ind w:right="425"/>
              <w:rPr>
                <w:rFonts w:ascii="Arial" w:hAnsi="Arial" w:cs="Arial"/>
                <w:sz w:val="18"/>
                <w:szCs w:val="18"/>
              </w:rPr>
            </w:pPr>
            <w:r w:rsidRPr="00F606B4">
              <w:rPr>
                <w:rFonts w:ascii="Arial" w:hAnsi="Arial" w:cs="Arial"/>
                <w:spacing w:val="-2"/>
                <w:sz w:val="18"/>
                <w:szCs w:val="18"/>
              </w:rPr>
              <w:t>CFU/ml</w:t>
            </w:r>
          </w:p>
        </w:tc>
        <w:tc>
          <w:tcPr>
            <w:tcW w:w="3740" w:type="dxa"/>
            <w:vAlign w:val="center"/>
          </w:tcPr>
          <w:p w14:paraId="406F3AA1" w14:textId="77777777" w:rsidR="00F606B4" w:rsidRPr="00F606B4" w:rsidRDefault="00F606B4" w:rsidP="00F606B4">
            <w:pPr>
              <w:pStyle w:val="TableParagraph"/>
              <w:ind w:left="107" w:right="117"/>
              <w:rPr>
                <w:rFonts w:ascii="Arial" w:hAnsi="Arial" w:cs="Arial"/>
                <w:sz w:val="18"/>
                <w:szCs w:val="18"/>
              </w:rPr>
            </w:pPr>
            <w:r w:rsidRPr="00F606B4">
              <w:rPr>
                <w:rFonts w:ascii="Arial" w:hAnsi="Arial" w:cs="Arial"/>
                <w:sz w:val="18"/>
                <w:szCs w:val="18"/>
              </w:rPr>
              <w:t>If</w:t>
            </w:r>
            <w:r w:rsidRPr="00F606B4"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F606B4">
              <w:rPr>
                <w:rFonts w:ascii="Arial" w:hAnsi="Arial" w:cs="Arial"/>
                <w:sz w:val="18"/>
                <w:szCs w:val="18"/>
              </w:rPr>
              <w:t>uropathogen</w:t>
            </w:r>
            <w:proofErr w:type="spellEnd"/>
            <w:r w:rsidRPr="00F606B4">
              <w:rPr>
                <w:rFonts w:ascii="Arial" w:hAnsi="Arial" w:cs="Arial"/>
                <w:sz w:val="18"/>
                <w:szCs w:val="18"/>
              </w:rPr>
              <w:t>, ID and Sens.</w:t>
            </w:r>
          </w:p>
          <w:p w14:paraId="271D2CC7" w14:textId="06290CEE" w:rsidR="00F606B4" w:rsidRDefault="00F606B4" w:rsidP="00F606B4">
            <w:pPr>
              <w:jc w:val="center"/>
              <w:rPr>
                <w:sz w:val="18"/>
                <w:szCs w:val="18"/>
              </w:rPr>
            </w:pPr>
            <w:r w:rsidRPr="00F606B4">
              <w:rPr>
                <w:sz w:val="18"/>
                <w:szCs w:val="18"/>
              </w:rPr>
              <w:t xml:space="preserve">For non- </w:t>
            </w:r>
            <w:r w:rsidRPr="00F606B4">
              <w:rPr>
                <w:spacing w:val="-2"/>
                <w:sz w:val="18"/>
                <w:szCs w:val="18"/>
              </w:rPr>
              <w:t xml:space="preserve">pathogens </w:t>
            </w:r>
            <w:r w:rsidRPr="00F606B4">
              <w:rPr>
                <w:sz w:val="18"/>
                <w:szCs w:val="18"/>
              </w:rPr>
              <w:t>report with Minimal</w:t>
            </w:r>
            <w:r w:rsidRPr="00F606B4">
              <w:rPr>
                <w:spacing w:val="-1"/>
                <w:sz w:val="18"/>
                <w:szCs w:val="18"/>
              </w:rPr>
              <w:t xml:space="preserve"> </w:t>
            </w:r>
            <w:r w:rsidRPr="00F606B4">
              <w:rPr>
                <w:spacing w:val="-5"/>
                <w:sz w:val="18"/>
                <w:szCs w:val="18"/>
              </w:rPr>
              <w:t>ID</w:t>
            </w:r>
          </w:p>
        </w:tc>
      </w:tr>
      <w:tr w:rsidR="00F606B4" w14:paraId="1EA689D5" w14:textId="77777777" w:rsidTr="002A0E80">
        <w:trPr>
          <w:trHeight w:val="377"/>
        </w:trPr>
        <w:tc>
          <w:tcPr>
            <w:tcW w:w="1870" w:type="dxa"/>
            <w:vAlign w:val="center"/>
          </w:tcPr>
          <w:p w14:paraId="4C434C30" w14:textId="5EF01BEB" w:rsidR="00F606B4" w:rsidRDefault="00F606B4" w:rsidP="00F606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Non invasive</w:t>
            </w:r>
          </w:p>
        </w:tc>
        <w:tc>
          <w:tcPr>
            <w:tcW w:w="1870" w:type="dxa"/>
            <w:vAlign w:val="center"/>
          </w:tcPr>
          <w:p w14:paraId="4CCEADDF" w14:textId="3C6C0034" w:rsidR="00F606B4" w:rsidRDefault="00F606B4" w:rsidP="00F606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14:paraId="6FD96F0C" w14:textId="77777777" w:rsidR="00F606B4" w:rsidRPr="00F606B4" w:rsidRDefault="00F606B4" w:rsidP="00F606B4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F606B4">
              <w:rPr>
                <w:rFonts w:ascii="Arial" w:hAnsi="Arial" w:cs="Arial"/>
                <w:sz w:val="18"/>
                <w:szCs w:val="18"/>
              </w:rPr>
              <w:t>One</w:t>
            </w:r>
            <w:r w:rsidRPr="00F606B4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F606B4">
              <w:rPr>
                <w:rFonts w:ascii="Arial" w:hAnsi="Arial" w:cs="Arial"/>
                <w:sz w:val="18"/>
                <w:szCs w:val="18"/>
              </w:rPr>
              <w:t>of</w:t>
            </w:r>
            <w:r w:rsidRPr="00F606B4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F606B4">
              <w:rPr>
                <w:rFonts w:ascii="Arial" w:hAnsi="Arial" w:cs="Arial"/>
                <w:sz w:val="18"/>
                <w:szCs w:val="18"/>
              </w:rPr>
              <w:t>the</w:t>
            </w:r>
            <w:r w:rsidRPr="00F606B4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F606B4">
              <w:rPr>
                <w:rFonts w:ascii="Arial" w:hAnsi="Arial" w:cs="Arial"/>
                <w:sz w:val="18"/>
                <w:szCs w:val="18"/>
              </w:rPr>
              <w:t>2 isolates is</w:t>
            </w:r>
          </w:p>
          <w:p w14:paraId="2FF11516" w14:textId="3A488151" w:rsidR="00F606B4" w:rsidRPr="00F606B4" w:rsidRDefault="00F606B4" w:rsidP="00F606B4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F606B4">
              <w:rPr>
                <w:rFonts w:ascii="Arial" w:hAnsi="Arial" w:cs="Arial"/>
                <w:spacing w:val="-2"/>
                <w:sz w:val="18"/>
                <w:szCs w:val="18"/>
              </w:rPr>
              <w:t>&lt;10,000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606B4">
              <w:rPr>
                <w:rFonts w:ascii="Arial" w:hAnsi="Arial" w:cs="Arial"/>
                <w:spacing w:val="-2"/>
                <w:sz w:val="18"/>
                <w:szCs w:val="18"/>
              </w:rPr>
              <w:t>CFU/ml</w:t>
            </w:r>
          </w:p>
        </w:tc>
        <w:tc>
          <w:tcPr>
            <w:tcW w:w="3740" w:type="dxa"/>
            <w:vAlign w:val="center"/>
          </w:tcPr>
          <w:p w14:paraId="4EC2B4FF" w14:textId="2F7EEFEC" w:rsidR="00F606B4" w:rsidRPr="00F606B4" w:rsidRDefault="00F606B4" w:rsidP="00F606B4">
            <w:pPr>
              <w:pStyle w:val="TableParagraph"/>
              <w:ind w:left="107" w:right="1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06B4">
              <w:rPr>
                <w:rFonts w:ascii="Arial" w:hAnsi="Arial" w:cs="Arial"/>
                <w:sz w:val="18"/>
                <w:szCs w:val="18"/>
              </w:rPr>
              <w:t>Report</w:t>
            </w:r>
            <w:r w:rsidRPr="00F606B4"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r w:rsidRPr="00F606B4">
              <w:rPr>
                <w:rFonts w:ascii="Arial" w:hAnsi="Arial" w:cs="Arial"/>
                <w:sz w:val="18"/>
                <w:szCs w:val="18"/>
              </w:rPr>
              <w:t>with minimal</w:t>
            </w:r>
            <w:r w:rsidRPr="00F606B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606B4">
              <w:rPr>
                <w:rFonts w:ascii="Arial" w:hAnsi="Arial" w:cs="Arial"/>
                <w:spacing w:val="-5"/>
                <w:sz w:val="18"/>
                <w:szCs w:val="18"/>
              </w:rPr>
              <w:t>ID</w:t>
            </w:r>
          </w:p>
        </w:tc>
      </w:tr>
      <w:tr w:rsidR="00D47DDC" w14:paraId="5E7FBFC8" w14:textId="77777777" w:rsidTr="00353AF5">
        <w:trPr>
          <w:trHeight w:val="377"/>
        </w:trPr>
        <w:tc>
          <w:tcPr>
            <w:tcW w:w="1870" w:type="dxa"/>
            <w:vAlign w:val="center"/>
          </w:tcPr>
          <w:p w14:paraId="38473891" w14:textId="643A34A7" w:rsidR="00D47DDC" w:rsidRDefault="00D47DDC" w:rsidP="00D47D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Non invasive</w:t>
            </w:r>
          </w:p>
        </w:tc>
        <w:tc>
          <w:tcPr>
            <w:tcW w:w="1870" w:type="dxa"/>
            <w:vAlign w:val="center"/>
          </w:tcPr>
          <w:p w14:paraId="1F51D6F0" w14:textId="0B5D168F" w:rsidR="00D47DDC" w:rsidRPr="00D47DDC" w:rsidRDefault="00D47DDC" w:rsidP="00D47D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u w:val="single"/>
              </w:rPr>
              <w:t>&gt;</w:t>
            </w: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10" w:type="dxa"/>
            <w:gridSpan w:val="2"/>
          </w:tcPr>
          <w:p w14:paraId="7B1EFA5C" w14:textId="67A04887" w:rsidR="00D47DDC" w:rsidRPr="00D47DDC" w:rsidRDefault="00D47DDC" w:rsidP="00D47DDC">
            <w:pPr>
              <w:pStyle w:val="TableParagraph"/>
              <w:ind w:left="107" w:right="117"/>
              <w:rPr>
                <w:rFonts w:ascii="Arial" w:hAnsi="Arial" w:cs="Arial"/>
                <w:sz w:val="18"/>
                <w:szCs w:val="18"/>
              </w:rPr>
            </w:pPr>
            <w:r w:rsidRPr="00D47DDC">
              <w:rPr>
                <w:rFonts w:ascii="Arial" w:hAnsi="Arial" w:cs="Arial"/>
                <w:sz w:val="18"/>
                <w:szCs w:val="18"/>
              </w:rPr>
              <w:t>If</w:t>
            </w:r>
            <w:r w:rsidRPr="00D47DDC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D47DDC">
              <w:rPr>
                <w:rFonts w:ascii="Arial" w:hAnsi="Arial" w:cs="Arial"/>
                <w:b/>
                <w:sz w:val="18"/>
                <w:szCs w:val="18"/>
              </w:rPr>
              <w:t>ONE</w:t>
            </w:r>
            <w:r w:rsidRPr="00D47DDC">
              <w:rPr>
                <w:rFonts w:ascii="Arial" w:hAnsi="Arial" w:cs="Arial"/>
                <w:b/>
                <w:spacing w:val="-13"/>
                <w:sz w:val="18"/>
                <w:szCs w:val="18"/>
              </w:rPr>
              <w:t xml:space="preserve"> </w:t>
            </w:r>
            <w:r w:rsidRPr="00D47DDC">
              <w:rPr>
                <w:rFonts w:ascii="Arial" w:hAnsi="Arial" w:cs="Arial"/>
                <w:b/>
                <w:sz w:val="18"/>
                <w:szCs w:val="18"/>
              </w:rPr>
              <w:t>predominating</w:t>
            </w:r>
            <w:r w:rsidRPr="00D47DDC">
              <w:rPr>
                <w:rFonts w:ascii="Arial" w:hAnsi="Arial" w:cs="Arial"/>
                <w:b/>
                <w:spacing w:val="-13"/>
                <w:sz w:val="18"/>
                <w:szCs w:val="18"/>
              </w:rPr>
              <w:t xml:space="preserve"> </w:t>
            </w:r>
            <w:r w:rsidRPr="00D47DDC">
              <w:rPr>
                <w:rFonts w:ascii="Arial" w:hAnsi="Arial" w:cs="Arial"/>
                <w:sz w:val="18"/>
                <w:szCs w:val="18"/>
              </w:rPr>
              <w:t>pathogen with</w:t>
            </w:r>
            <w:r w:rsidRPr="00D47DDC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D47DDC">
              <w:rPr>
                <w:rFonts w:ascii="Arial" w:hAnsi="Arial" w:cs="Arial"/>
                <w:sz w:val="18"/>
                <w:szCs w:val="18"/>
              </w:rPr>
              <w:t>a</w:t>
            </w:r>
            <w:r w:rsidRPr="00D47DDC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D47DDC">
              <w:rPr>
                <w:rFonts w:ascii="Arial" w:hAnsi="Arial" w:cs="Arial"/>
                <w:sz w:val="18"/>
                <w:szCs w:val="18"/>
              </w:rPr>
              <w:t>count</w:t>
            </w:r>
            <w:r w:rsidRPr="00D47DDC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D47DDC">
              <w:rPr>
                <w:rFonts w:ascii="Arial" w:hAnsi="Arial" w:cs="Arial"/>
                <w:sz w:val="18"/>
                <w:szCs w:val="18"/>
              </w:rPr>
              <w:t>of</w:t>
            </w:r>
            <w:r w:rsidRPr="00D47DDC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D47DDC">
              <w:rPr>
                <w:rFonts w:ascii="Arial" w:hAnsi="Arial" w:cs="Arial"/>
                <w:sz w:val="18"/>
                <w:szCs w:val="18"/>
              </w:rPr>
              <w:t>≥100,000</w:t>
            </w:r>
            <w:r w:rsidRPr="00D47DDC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D47DDC">
              <w:rPr>
                <w:rFonts w:ascii="Arial" w:hAnsi="Arial" w:cs="Arial"/>
                <w:sz w:val="18"/>
                <w:szCs w:val="18"/>
              </w:rPr>
              <w:t>and</w:t>
            </w:r>
            <w:r w:rsidRPr="00D47DDC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D47DDC">
              <w:rPr>
                <w:rFonts w:ascii="Arial" w:hAnsi="Arial" w:cs="Arial"/>
                <w:sz w:val="18"/>
                <w:szCs w:val="18"/>
              </w:rPr>
              <w:t xml:space="preserve">≤20,000 total of other orgs: ID and Sens for predominating </w:t>
            </w:r>
            <w:proofErr w:type="spellStart"/>
            <w:r w:rsidRPr="00D47DDC">
              <w:rPr>
                <w:rFonts w:ascii="Arial" w:hAnsi="Arial" w:cs="Arial"/>
                <w:sz w:val="18"/>
                <w:szCs w:val="18"/>
              </w:rPr>
              <w:t>uropathogen</w:t>
            </w:r>
            <w:proofErr w:type="spellEnd"/>
            <w:r w:rsidRPr="00D47DDC">
              <w:rPr>
                <w:rFonts w:ascii="Arial" w:hAnsi="Arial" w:cs="Arial"/>
                <w:sz w:val="18"/>
                <w:szCs w:val="18"/>
              </w:rPr>
              <w:t xml:space="preserve"> and colony count with</w:t>
            </w:r>
            <w:r w:rsidR="00984F6C">
              <w:rPr>
                <w:rFonts w:ascii="Arial" w:hAnsi="Arial" w:cs="Arial"/>
                <w:sz w:val="18"/>
                <w:szCs w:val="18"/>
              </w:rPr>
              <w:t>”</w:t>
            </w:r>
            <w:r w:rsidRPr="00D47DDC">
              <w:rPr>
                <w:rFonts w:ascii="Arial" w:hAnsi="Arial" w:cs="Arial"/>
                <w:sz w:val="18"/>
                <w:szCs w:val="18"/>
              </w:rPr>
              <w:t xml:space="preserve"> Mixed Flora</w:t>
            </w:r>
            <w:r w:rsidR="00984F6C">
              <w:rPr>
                <w:rFonts w:ascii="Arial" w:hAnsi="Arial" w:cs="Arial"/>
                <w:sz w:val="18"/>
                <w:szCs w:val="18"/>
              </w:rPr>
              <w:t>”</w:t>
            </w:r>
            <w:r w:rsidRPr="00D47DDC">
              <w:rPr>
                <w:rFonts w:ascii="Arial" w:hAnsi="Arial" w:cs="Arial"/>
                <w:sz w:val="18"/>
                <w:szCs w:val="18"/>
              </w:rPr>
              <w:t>, for the others.</w:t>
            </w:r>
          </w:p>
          <w:p w14:paraId="64099400" w14:textId="595B8888" w:rsidR="00D47DDC" w:rsidRPr="00D47DDC" w:rsidRDefault="00D47DDC" w:rsidP="00D47DDC">
            <w:pPr>
              <w:pStyle w:val="TableParagraph"/>
              <w:ind w:left="107" w:right="117"/>
              <w:rPr>
                <w:rFonts w:ascii="Arial" w:hAnsi="Arial" w:cs="Arial"/>
                <w:sz w:val="18"/>
                <w:szCs w:val="18"/>
              </w:rPr>
            </w:pPr>
            <w:r w:rsidRPr="00D47DDC">
              <w:rPr>
                <w:rFonts w:ascii="Arial" w:hAnsi="Arial" w:cs="Arial"/>
                <w:sz w:val="18"/>
                <w:szCs w:val="18"/>
              </w:rPr>
              <w:t xml:space="preserve">No single predominating pathogen: Report amount with: </w:t>
            </w:r>
            <w:r w:rsidR="00984F6C">
              <w:rPr>
                <w:rFonts w:ascii="Arial" w:hAnsi="Arial" w:cs="Arial"/>
                <w:sz w:val="18"/>
                <w:szCs w:val="18"/>
              </w:rPr>
              <w:t>“</w:t>
            </w:r>
            <w:r w:rsidRPr="00D47DDC">
              <w:rPr>
                <w:rFonts w:ascii="Arial" w:hAnsi="Arial" w:cs="Arial"/>
                <w:sz w:val="18"/>
                <w:szCs w:val="18"/>
              </w:rPr>
              <w:t>Multiple organisms, probable contamination,</w:t>
            </w:r>
            <w:r w:rsidRPr="00D47DDC"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r w:rsidRPr="00D47DDC">
              <w:rPr>
                <w:rFonts w:ascii="Arial" w:hAnsi="Arial" w:cs="Arial"/>
                <w:sz w:val="18"/>
                <w:szCs w:val="18"/>
              </w:rPr>
              <w:t>repeat</w:t>
            </w:r>
            <w:r w:rsidRPr="00D47DDC"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r w:rsidRPr="00D47DDC">
              <w:rPr>
                <w:rFonts w:ascii="Arial" w:hAnsi="Arial" w:cs="Arial"/>
                <w:sz w:val="18"/>
                <w:szCs w:val="18"/>
              </w:rPr>
              <w:t>collection is recommended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984F6C">
              <w:rPr>
                <w:rFonts w:ascii="Arial" w:hAnsi="Arial" w:cs="Arial"/>
                <w:sz w:val="18"/>
                <w:szCs w:val="18"/>
              </w:rPr>
              <w:t>”:</w:t>
            </w:r>
          </w:p>
        </w:tc>
      </w:tr>
    </w:tbl>
    <w:p w14:paraId="6F89CC4E" w14:textId="0DE30537" w:rsidR="00983B45" w:rsidRDefault="00983B45"/>
    <w:p w14:paraId="594BCDD8" w14:textId="77777777" w:rsidR="00983B45" w:rsidRDefault="00983B45">
      <w:r>
        <w:br w:type="page"/>
      </w:r>
    </w:p>
    <w:p w14:paraId="6C8037A1" w14:textId="339EBC63" w:rsidR="00875FCC" w:rsidRPr="00983B45" w:rsidRDefault="00983B45">
      <w:pPr>
        <w:rPr>
          <w:b/>
          <w:bCs/>
        </w:rPr>
      </w:pPr>
      <w:r>
        <w:rPr>
          <w:b/>
          <w:bCs/>
        </w:rPr>
        <w:lastRenderedPageBreak/>
        <w:t>Table 1 (cont.)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925"/>
        <w:gridCol w:w="3685"/>
      </w:tblGrid>
      <w:tr w:rsidR="00875FCC" w14:paraId="202022C9" w14:textId="77777777" w:rsidTr="00E95BF7">
        <w:trPr>
          <w:trHeight w:val="377"/>
        </w:trPr>
        <w:tc>
          <w:tcPr>
            <w:tcW w:w="1870" w:type="dxa"/>
            <w:vAlign w:val="center"/>
          </w:tcPr>
          <w:p w14:paraId="3B45CBF7" w14:textId="04E70549" w:rsidR="00875FCC" w:rsidRDefault="00875FCC" w:rsidP="00D47D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Type of Specimen</w:t>
            </w:r>
          </w:p>
        </w:tc>
        <w:tc>
          <w:tcPr>
            <w:tcW w:w="1870" w:type="dxa"/>
            <w:vAlign w:val="center"/>
          </w:tcPr>
          <w:p w14:paraId="7FAE8DF4" w14:textId="2D59B98B" w:rsidR="00875FCC" w:rsidRPr="00875FCC" w:rsidRDefault="00875FCC" w:rsidP="00D47DDC">
            <w:pPr>
              <w:jc w:val="center"/>
              <w:rPr>
                <w:b/>
                <w:sz w:val="18"/>
                <w:szCs w:val="18"/>
              </w:rPr>
            </w:pPr>
            <w:r w:rsidRPr="00875FCC">
              <w:rPr>
                <w:b/>
                <w:sz w:val="18"/>
                <w:szCs w:val="18"/>
              </w:rPr>
              <w:t xml:space="preserve"># </w:t>
            </w:r>
            <w:proofErr w:type="gramStart"/>
            <w:r w:rsidRPr="00875FCC">
              <w:rPr>
                <w:b/>
                <w:sz w:val="18"/>
                <w:szCs w:val="18"/>
              </w:rPr>
              <w:t>of</w:t>
            </w:r>
            <w:proofErr w:type="gramEnd"/>
            <w:r w:rsidRPr="00875FCC">
              <w:rPr>
                <w:b/>
                <w:sz w:val="18"/>
                <w:szCs w:val="18"/>
              </w:rPr>
              <w:t xml:space="preserve"> Isolates</w:t>
            </w:r>
          </w:p>
        </w:tc>
        <w:tc>
          <w:tcPr>
            <w:tcW w:w="1925" w:type="dxa"/>
            <w:vAlign w:val="center"/>
          </w:tcPr>
          <w:p w14:paraId="6688D7ED" w14:textId="66AB4218" w:rsidR="00875FCC" w:rsidRPr="00875FCC" w:rsidRDefault="00875FCC" w:rsidP="00D47DDC">
            <w:pPr>
              <w:pStyle w:val="TableParagraph"/>
              <w:ind w:left="107" w:right="117"/>
              <w:rPr>
                <w:rFonts w:ascii="Arial" w:hAnsi="Arial" w:cs="Arial"/>
                <w:b/>
                <w:sz w:val="18"/>
                <w:szCs w:val="18"/>
              </w:rPr>
            </w:pPr>
            <w:r w:rsidRPr="00875FCC">
              <w:rPr>
                <w:rFonts w:ascii="Arial" w:hAnsi="Arial" w:cs="Arial"/>
                <w:b/>
                <w:sz w:val="18"/>
                <w:szCs w:val="18"/>
              </w:rPr>
              <w:t>Colony Count</w:t>
            </w:r>
          </w:p>
        </w:tc>
        <w:tc>
          <w:tcPr>
            <w:tcW w:w="3685" w:type="dxa"/>
            <w:vAlign w:val="center"/>
          </w:tcPr>
          <w:p w14:paraId="2AD09CE7" w14:textId="1A479BDC" w:rsidR="00875FCC" w:rsidRPr="00875FCC" w:rsidRDefault="00875FCC" w:rsidP="00D47DDC">
            <w:pPr>
              <w:pStyle w:val="TableParagraph"/>
              <w:ind w:left="107" w:right="117"/>
              <w:rPr>
                <w:rFonts w:ascii="Arial" w:hAnsi="Arial" w:cs="Arial"/>
                <w:b/>
                <w:sz w:val="18"/>
                <w:szCs w:val="18"/>
              </w:rPr>
            </w:pPr>
            <w:r w:rsidRPr="00875FCC">
              <w:rPr>
                <w:rFonts w:ascii="Arial" w:hAnsi="Arial" w:cs="Arial"/>
                <w:b/>
                <w:sz w:val="18"/>
                <w:szCs w:val="18"/>
              </w:rPr>
              <w:t xml:space="preserve">Extent of Workup and </w:t>
            </w:r>
            <w:proofErr w:type="spellStart"/>
            <w:r w:rsidRPr="00875FCC">
              <w:rPr>
                <w:rFonts w:ascii="Arial" w:hAnsi="Arial" w:cs="Arial"/>
                <w:b/>
                <w:sz w:val="18"/>
                <w:szCs w:val="18"/>
              </w:rPr>
              <w:t>Reportin</w:t>
            </w:r>
            <w:proofErr w:type="spellEnd"/>
          </w:p>
        </w:tc>
      </w:tr>
      <w:tr w:rsidR="00E95BF7" w14:paraId="63243ADA" w14:textId="77777777" w:rsidTr="00E95BF7">
        <w:trPr>
          <w:trHeight w:val="377"/>
        </w:trPr>
        <w:tc>
          <w:tcPr>
            <w:tcW w:w="1870" w:type="dxa"/>
            <w:vAlign w:val="center"/>
          </w:tcPr>
          <w:p w14:paraId="40CDE5FF" w14:textId="27D80F94" w:rsidR="00E95BF7" w:rsidRDefault="00E95BF7" w:rsidP="00D47D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Invasive</w:t>
            </w:r>
          </w:p>
        </w:tc>
        <w:tc>
          <w:tcPr>
            <w:tcW w:w="1870" w:type="dxa"/>
            <w:vAlign w:val="center"/>
          </w:tcPr>
          <w:p w14:paraId="35FD44C6" w14:textId="7A5A7EF5" w:rsidR="00E95BF7" w:rsidRPr="00875FCC" w:rsidRDefault="00875FCC" w:rsidP="00D47DDC">
            <w:pPr>
              <w:jc w:val="center"/>
              <w:rPr>
                <w:bCs/>
                <w:sz w:val="18"/>
                <w:szCs w:val="18"/>
              </w:rPr>
            </w:pPr>
            <w:r w:rsidRPr="00875FC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25" w:type="dxa"/>
            <w:vAlign w:val="center"/>
          </w:tcPr>
          <w:p w14:paraId="5385A845" w14:textId="27F26E5F" w:rsidR="00E95BF7" w:rsidRPr="00E95BF7" w:rsidRDefault="00E95BF7" w:rsidP="00D47DDC">
            <w:pPr>
              <w:pStyle w:val="TableParagraph"/>
              <w:ind w:left="107" w:right="1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&gt;</w:t>
            </w:r>
            <w:r>
              <w:rPr>
                <w:rFonts w:ascii="Arial" w:hAnsi="Arial" w:cs="Arial"/>
                <w:sz w:val="18"/>
                <w:szCs w:val="18"/>
              </w:rPr>
              <w:t>100 CFU/ml</w:t>
            </w:r>
          </w:p>
        </w:tc>
        <w:tc>
          <w:tcPr>
            <w:tcW w:w="3685" w:type="dxa"/>
            <w:vAlign w:val="center"/>
          </w:tcPr>
          <w:p w14:paraId="35646A04" w14:textId="77777777" w:rsidR="00875FCC" w:rsidRDefault="00E95BF7" w:rsidP="00875FCC">
            <w:pPr>
              <w:pStyle w:val="TableParagraph"/>
              <w:ind w:left="107" w:right="11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603F7">
              <w:rPr>
                <w:rFonts w:ascii="Arial" w:hAnsi="Arial" w:cs="Arial"/>
                <w:sz w:val="18"/>
                <w:szCs w:val="18"/>
              </w:rPr>
              <w:t>If</w:t>
            </w:r>
            <w:r w:rsidRPr="008603F7"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8603F7">
              <w:rPr>
                <w:rFonts w:ascii="Arial" w:hAnsi="Arial" w:cs="Arial"/>
                <w:sz w:val="18"/>
                <w:szCs w:val="18"/>
              </w:rPr>
              <w:t>uropathogen</w:t>
            </w:r>
            <w:proofErr w:type="spellEnd"/>
            <w:r w:rsidRPr="008603F7">
              <w:rPr>
                <w:rFonts w:ascii="Arial" w:hAnsi="Arial" w:cs="Arial"/>
                <w:sz w:val="18"/>
                <w:szCs w:val="18"/>
              </w:rPr>
              <w:t>, ID</w:t>
            </w:r>
            <w:r w:rsidRPr="008603F7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8603F7">
              <w:rPr>
                <w:rFonts w:ascii="Arial" w:hAnsi="Arial" w:cs="Arial"/>
                <w:sz w:val="18"/>
                <w:szCs w:val="18"/>
              </w:rPr>
              <w:t>and</w:t>
            </w:r>
            <w:r w:rsidRPr="008603F7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8603F7">
              <w:rPr>
                <w:rFonts w:ascii="Arial" w:hAnsi="Arial" w:cs="Arial"/>
                <w:sz w:val="18"/>
                <w:szCs w:val="18"/>
              </w:rPr>
              <w:t>Sens</w:t>
            </w:r>
            <w:r w:rsidRPr="008603F7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8603F7">
              <w:rPr>
                <w:rFonts w:ascii="Arial" w:hAnsi="Arial" w:cs="Arial"/>
                <w:sz w:val="18"/>
                <w:szCs w:val="18"/>
              </w:rPr>
              <w:t xml:space="preserve">(if </w:t>
            </w:r>
            <w:r w:rsidRPr="008603F7">
              <w:rPr>
                <w:rFonts w:ascii="Arial" w:hAnsi="Arial" w:cs="Arial"/>
                <w:spacing w:val="-2"/>
                <w:sz w:val="18"/>
                <w:szCs w:val="18"/>
              </w:rPr>
              <w:t>appropriate)</w:t>
            </w:r>
          </w:p>
          <w:p w14:paraId="5044314D" w14:textId="64BE7415" w:rsidR="00875FCC" w:rsidRPr="00D47DDC" w:rsidRDefault="00875FCC" w:rsidP="00875FCC">
            <w:pPr>
              <w:pStyle w:val="TableParagraph"/>
              <w:ind w:left="0" w:right="11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FCC" w14:paraId="3A72F283" w14:textId="77777777" w:rsidTr="00E95BF7">
        <w:trPr>
          <w:trHeight w:val="377"/>
        </w:trPr>
        <w:tc>
          <w:tcPr>
            <w:tcW w:w="1870" w:type="dxa"/>
            <w:vAlign w:val="center"/>
          </w:tcPr>
          <w:p w14:paraId="0F13FC60" w14:textId="3E0E3EE3" w:rsidR="00875FCC" w:rsidRDefault="00875FCC" w:rsidP="00D47D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Invasive</w:t>
            </w:r>
          </w:p>
        </w:tc>
        <w:tc>
          <w:tcPr>
            <w:tcW w:w="1870" w:type="dxa"/>
            <w:vAlign w:val="center"/>
          </w:tcPr>
          <w:p w14:paraId="0CC5A67A" w14:textId="23CBF328" w:rsidR="00875FCC" w:rsidRPr="00875FCC" w:rsidRDefault="00875FCC" w:rsidP="00D47D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925" w:type="dxa"/>
            <w:vAlign w:val="center"/>
          </w:tcPr>
          <w:p w14:paraId="15904142" w14:textId="447D94A2" w:rsidR="00875FCC" w:rsidRDefault="00875FCC" w:rsidP="00D47DDC">
            <w:pPr>
              <w:pStyle w:val="TableParagraph"/>
              <w:ind w:left="107" w:right="117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&gt;</w:t>
            </w:r>
            <w:r>
              <w:rPr>
                <w:rFonts w:ascii="Arial" w:hAnsi="Arial" w:cs="Arial"/>
                <w:sz w:val="18"/>
                <w:szCs w:val="18"/>
              </w:rPr>
              <w:t>100 CFU/ml</w:t>
            </w:r>
          </w:p>
        </w:tc>
        <w:tc>
          <w:tcPr>
            <w:tcW w:w="3685" w:type="dxa"/>
            <w:vAlign w:val="center"/>
          </w:tcPr>
          <w:p w14:paraId="222F5995" w14:textId="345FA6D8" w:rsidR="00875FCC" w:rsidRDefault="00875FCC" w:rsidP="00D47DDC">
            <w:pPr>
              <w:pStyle w:val="TableParagraph"/>
              <w:ind w:left="107" w:right="1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both are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uropathogens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ID and Sens</w:t>
            </w:r>
          </w:p>
          <w:p w14:paraId="5A243786" w14:textId="564DA127" w:rsidR="00875FCC" w:rsidRPr="008603F7" w:rsidRDefault="00875FCC" w:rsidP="00D47DDC">
            <w:pPr>
              <w:pStyle w:val="TableParagraph"/>
              <w:ind w:left="107" w:right="1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Minimal ID for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non pathogens</w:t>
            </w:r>
            <w:proofErr w:type="spellEnd"/>
          </w:p>
        </w:tc>
      </w:tr>
      <w:tr w:rsidR="00875FCC" w14:paraId="4A6E3770" w14:textId="77777777" w:rsidTr="00E95BF7">
        <w:trPr>
          <w:trHeight w:val="377"/>
        </w:trPr>
        <w:tc>
          <w:tcPr>
            <w:tcW w:w="1870" w:type="dxa"/>
            <w:vAlign w:val="center"/>
          </w:tcPr>
          <w:p w14:paraId="01EA28C7" w14:textId="22B13689" w:rsidR="00875FCC" w:rsidRDefault="00875FCC" w:rsidP="00D47D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Invasive</w:t>
            </w:r>
          </w:p>
        </w:tc>
        <w:tc>
          <w:tcPr>
            <w:tcW w:w="1870" w:type="dxa"/>
            <w:vAlign w:val="center"/>
          </w:tcPr>
          <w:p w14:paraId="0F2B103F" w14:textId="1ABFAF15" w:rsidR="00875FCC" w:rsidRPr="00875FCC" w:rsidRDefault="00875FCC" w:rsidP="00D47D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u w:val="single"/>
              </w:rPr>
              <w:t>&gt;</w:t>
            </w: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925" w:type="dxa"/>
            <w:vAlign w:val="center"/>
          </w:tcPr>
          <w:p w14:paraId="021AEBFA" w14:textId="18AC2878" w:rsidR="00875FCC" w:rsidRPr="00F44BD2" w:rsidRDefault="00F44BD2" w:rsidP="00D47DDC">
            <w:pPr>
              <w:pStyle w:val="TableParagraph"/>
              <w:ind w:left="107" w:right="1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each, &lt;1000 CFU/ml</w:t>
            </w:r>
          </w:p>
        </w:tc>
        <w:tc>
          <w:tcPr>
            <w:tcW w:w="3685" w:type="dxa"/>
            <w:vAlign w:val="center"/>
          </w:tcPr>
          <w:p w14:paraId="5DDB8AF1" w14:textId="2DAFA2D2" w:rsidR="00875FCC" w:rsidRDefault="00F44BD2" w:rsidP="00D47DDC">
            <w:pPr>
              <w:pStyle w:val="TableParagraph"/>
              <w:ind w:left="107" w:right="1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Minimal ID</w:t>
            </w:r>
          </w:p>
        </w:tc>
      </w:tr>
      <w:tr w:rsidR="00F44BD2" w14:paraId="14504DD5" w14:textId="77777777" w:rsidTr="00E95BF7">
        <w:trPr>
          <w:trHeight w:val="377"/>
        </w:trPr>
        <w:tc>
          <w:tcPr>
            <w:tcW w:w="1870" w:type="dxa"/>
            <w:vAlign w:val="center"/>
          </w:tcPr>
          <w:p w14:paraId="082487CB" w14:textId="569928D0" w:rsidR="00F44BD2" w:rsidRDefault="00F44BD2" w:rsidP="00D47D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Invasive</w:t>
            </w:r>
          </w:p>
        </w:tc>
        <w:tc>
          <w:tcPr>
            <w:tcW w:w="1870" w:type="dxa"/>
            <w:vAlign w:val="center"/>
          </w:tcPr>
          <w:p w14:paraId="7C7A1B15" w14:textId="5AAF32A1" w:rsidR="00F44BD2" w:rsidRDefault="00F44BD2" w:rsidP="00D47DDC">
            <w:pPr>
              <w:jc w:val="center"/>
              <w:rPr>
                <w:bCs/>
                <w:sz w:val="18"/>
                <w:szCs w:val="18"/>
                <w:u w:val="single"/>
              </w:rPr>
            </w:pPr>
            <w:r>
              <w:rPr>
                <w:bCs/>
                <w:sz w:val="18"/>
                <w:szCs w:val="18"/>
                <w:u w:val="single"/>
              </w:rPr>
              <w:t>&gt;</w:t>
            </w: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925" w:type="dxa"/>
            <w:vAlign w:val="center"/>
          </w:tcPr>
          <w:p w14:paraId="736DF880" w14:textId="2A5F64DF" w:rsidR="00F44BD2" w:rsidRPr="00F44BD2" w:rsidRDefault="00F44BD2" w:rsidP="00D47DDC">
            <w:pPr>
              <w:pStyle w:val="TableParagraph"/>
              <w:ind w:left="107" w:right="1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 each,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&gt;</w:t>
            </w:r>
            <w:r>
              <w:rPr>
                <w:rFonts w:ascii="Arial" w:hAnsi="Arial" w:cs="Arial"/>
                <w:sz w:val="18"/>
                <w:szCs w:val="18"/>
              </w:rPr>
              <w:t xml:space="preserve"> 1000</w:t>
            </w:r>
          </w:p>
        </w:tc>
        <w:tc>
          <w:tcPr>
            <w:tcW w:w="3685" w:type="dxa"/>
            <w:vAlign w:val="center"/>
          </w:tcPr>
          <w:p w14:paraId="5CE33AB6" w14:textId="37C56AE7" w:rsidR="00F44BD2" w:rsidRDefault="00F44BD2" w:rsidP="00D47DDC">
            <w:pPr>
              <w:pStyle w:val="TableParagraph"/>
              <w:ind w:left="107" w:right="1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 each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uropathogen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ID and Sens or contact physician to determine extent of workup</w:t>
            </w:r>
          </w:p>
        </w:tc>
      </w:tr>
    </w:tbl>
    <w:p w14:paraId="6E2F58D5" w14:textId="14C91DCB" w:rsidR="00754EDC" w:rsidRDefault="00754EDC" w:rsidP="00F44BD2">
      <w:pPr>
        <w:rPr>
          <w:bCs/>
        </w:rPr>
      </w:pPr>
    </w:p>
    <w:p w14:paraId="0288B93C" w14:textId="63C1170B" w:rsidR="00F44BD2" w:rsidRDefault="00F44BD2" w:rsidP="00F44BD2">
      <w:pPr>
        <w:rPr>
          <w:b/>
        </w:rPr>
      </w:pPr>
      <w:r>
        <w:rPr>
          <w:b/>
        </w:rPr>
        <w:t>PROCEDURE NOTES:</w:t>
      </w:r>
    </w:p>
    <w:p w14:paraId="019DF716" w14:textId="7CCBDEF8" w:rsidR="00F44BD2" w:rsidRDefault="00F44BD2" w:rsidP="00F44BD2">
      <w:pPr>
        <w:pStyle w:val="ListParagraph"/>
        <w:numPr>
          <w:ilvl w:val="0"/>
          <w:numId w:val="26"/>
        </w:numPr>
        <w:rPr>
          <w:bCs/>
        </w:rPr>
      </w:pPr>
      <w:r>
        <w:rPr>
          <w:bCs/>
        </w:rPr>
        <w:t>When reporting colony counts, report the plate with the highest number of colonies.</w:t>
      </w:r>
    </w:p>
    <w:p w14:paraId="0F9EA41F" w14:textId="77777777" w:rsidR="00983B45" w:rsidRDefault="00983B45" w:rsidP="00983B45">
      <w:pPr>
        <w:pStyle w:val="ListParagraph"/>
        <w:numPr>
          <w:ilvl w:val="0"/>
          <w:numId w:val="26"/>
        </w:numPr>
        <w:spacing w:after="60" w:line="240" w:lineRule="auto"/>
      </w:pPr>
      <w:r>
        <w:t xml:space="preserve">Do not report normal urogenital or skin flora to the genus or species level. </w:t>
      </w:r>
    </w:p>
    <w:p w14:paraId="540AED90" w14:textId="77777777" w:rsidR="00983B45" w:rsidRPr="009D3D53" w:rsidRDefault="00983B45" w:rsidP="00983B45">
      <w:pPr>
        <w:pStyle w:val="ListParagraph"/>
        <w:numPr>
          <w:ilvl w:val="0"/>
          <w:numId w:val="26"/>
        </w:numPr>
        <w:spacing w:after="60" w:line="240" w:lineRule="auto"/>
      </w:pPr>
      <w:r>
        <w:t xml:space="preserve">Minimally ID:  Alpha hemolytic streptococcus, Staphylococcus coagulase negative, lactobacillus, </w:t>
      </w:r>
      <w:proofErr w:type="spellStart"/>
      <w:r w:rsidRPr="00CF567D">
        <w:rPr>
          <w:i/>
          <w:iCs/>
        </w:rPr>
        <w:t>Corynbacterium</w:t>
      </w:r>
      <w:proofErr w:type="spellEnd"/>
      <w:r w:rsidRPr="00CF567D">
        <w:rPr>
          <w:i/>
          <w:iCs/>
        </w:rPr>
        <w:t xml:space="preserve"> </w:t>
      </w:r>
      <w:proofErr w:type="spellStart"/>
      <w:r w:rsidRPr="00CF567D">
        <w:rPr>
          <w:i/>
          <w:iCs/>
        </w:rPr>
        <w:t>spp</w:t>
      </w:r>
      <w:proofErr w:type="spellEnd"/>
      <w:r w:rsidRPr="00CF567D">
        <w:rPr>
          <w:iCs/>
        </w:rPr>
        <w:t>, using colony morphology, Staph latex or Gram stain.</w:t>
      </w:r>
    </w:p>
    <w:p w14:paraId="42487EE9" w14:textId="77777777" w:rsidR="00983B45" w:rsidRPr="009D3D53" w:rsidRDefault="00983B45" w:rsidP="00983B45">
      <w:pPr>
        <w:pStyle w:val="ListParagraph"/>
        <w:numPr>
          <w:ilvl w:val="0"/>
          <w:numId w:val="26"/>
        </w:numPr>
        <w:spacing w:after="60" w:line="240" w:lineRule="auto"/>
      </w:pPr>
      <w:r w:rsidRPr="00CF567D">
        <w:rPr>
          <w:iCs/>
        </w:rPr>
        <w:t>If susceptibilities were performed, examine the purity plate prior to reporting results.  Do not report ID and sensitivities on any mixed cultures.</w:t>
      </w:r>
    </w:p>
    <w:p w14:paraId="72398310" w14:textId="77777777" w:rsidR="00983B45" w:rsidRDefault="00983B45" w:rsidP="00983B45">
      <w:pPr>
        <w:pStyle w:val="ListParagraph"/>
        <w:numPr>
          <w:ilvl w:val="0"/>
          <w:numId w:val="26"/>
        </w:numPr>
        <w:spacing w:after="60" w:line="240" w:lineRule="auto"/>
      </w:pPr>
      <w:r w:rsidRPr="00CF567D">
        <w:rPr>
          <w:i/>
          <w:iCs/>
        </w:rPr>
        <w:t>Streptococcus agalactiae</w:t>
      </w:r>
      <w:r>
        <w:t xml:space="preserve"> should be reported from women in childbearing years regardless of the colony count.</w:t>
      </w:r>
    </w:p>
    <w:p w14:paraId="2365F586" w14:textId="77777777" w:rsidR="00983B45" w:rsidRDefault="00983B45" w:rsidP="00983B45">
      <w:pPr>
        <w:pStyle w:val="ListParagraph"/>
        <w:numPr>
          <w:ilvl w:val="0"/>
          <w:numId w:val="26"/>
        </w:numPr>
        <w:spacing w:after="60" w:line="240" w:lineRule="auto"/>
      </w:pPr>
      <w:r>
        <w:t>Hold all specimens 36 – 48 hours with the exception of grossly contaminated cultures containing &gt;100,000 CFU/ml each of 3 or more organisms.</w:t>
      </w:r>
    </w:p>
    <w:p w14:paraId="1B68E0D4" w14:textId="2B6C272F" w:rsidR="00CE39AC" w:rsidRDefault="00CE39AC" w:rsidP="004B69ED">
      <w:pPr>
        <w:rPr>
          <w:b/>
        </w:rPr>
      </w:pPr>
      <w:r w:rsidRPr="00CE39AC">
        <w:rPr>
          <w:b/>
        </w:rPr>
        <w:t>REFERENCES:</w:t>
      </w:r>
    </w:p>
    <w:p w14:paraId="42F092D9" w14:textId="2EC83BC8" w:rsidR="004525F3" w:rsidRDefault="00F44BD2" w:rsidP="004B69ED">
      <w:pPr>
        <w:rPr>
          <w:bCs/>
        </w:rPr>
      </w:pPr>
      <w:r>
        <w:rPr>
          <w:bCs/>
        </w:rPr>
        <w:t>UPMC Microbiology Procedure Manual.  Urine Cultures.  12/18/2023.</w:t>
      </w:r>
    </w:p>
    <w:p w14:paraId="52AA37AE" w14:textId="728DCCBE" w:rsidR="00F44BD2" w:rsidRPr="00F44BD2" w:rsidRDefault="00983B45" w:rsidP="004B69ED">
      <w:pPr>
        <w:rPr>
          <w:bCs/>
        </w:rPr>
      </w:pPr>
      <w:proofErr w:type="spellStart"/>
      <w:r>
        <w:rPr>
          <w:bCs/>
        </w:rPr>
        <w:t>Leber</w:t>
      </w:r>
      <w:proofErr w:type="spellEnd"/>
      <w:r>
        <w:rPr>
          <w:bCs/>
        </w:rPr>
        <w:t>, Amy L.  Editor in Chief.  Clinical Microbiology Procedures Handbook, 4</w:t>
      </w:r>
      <w:r w:rsidRPr="00983B45">
        <w:rPr>
          <w:bCs/>
          <w:vertAlign w:val="superscript"/>
        </w:rPr>
        <w:t>th</w:t>
      </w:r>
      <w:r>
        <w:rPr>
          <w:bCs/>
        </w:rPr>
        <w:t xml:space="preserve"> edition.  2016.</w:t>
      </w:r>
    </w:p>
    <w:sectPr w:rsidR="00F44BD2" w:rsidRPr="00F44BD2" w:rsidSect="00EC649D">
      <w:headerReference w:type="default" r:id="rId8"/>
      <w:footerReference w:type="default" r:id="rId9"/>
      <w:headerReference w:type="first" r:id="rId10"/>
      <w:pgSz w:w="12240" w:h="15840" w:code="1"/>
      <w:pgMar w:top="720" w:right="1440" w:bottom="1440" w:left="144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34975" w14:textId="77777777" w:rsidR="001E4F66" w:rsidRDefault="001E4F66" w:rsidP="004B69ED">
      <w:pPr>
        <w:spacing w:after="0" w:line="240" w:lineRule="auto"/>
      </w:pPr>
      <w:r>
        <w:separator/>
      </w:r>
    </w:p>
  </w:endnote>
  <w:endnote w:type="continuationSeparator" w:id="0">
    <w:p w14:paraId="37E4C765" w14:textId="77777777" w:rsidR="001E4F66" w:rsidRDefault="001E4F66" w:rsidP="004B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609095229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C57F9B" w14:textId="77777777" w:rsidR="004B69ED" w:rsidRPr="00CE39AC" w:rsidRDefault="004B69ED" w:rsidP="00CE39AC">
            <w:pPr>
              <w:pStyle w:val="Footer"/>
              <w:jc w:val="right"/>
              <w:rPr>
                <w:i/>
              </w:rPr>
            </w:pPr>
            <w:r w:rsidRPr="00CE39AC">
              <w:rPr>
                <w:i/>
              </w:rPr>
              <w:t xml:space="preserve">Page </w:t>
            </w:r>
            <w:r w:rsidRPr="00CE39AC">
              <w:rPr>
                <w:bCs/>
                <w:i/>
                <w:sz w:val="24"/>
                <w:szCs w:val="24"/>
              </w:rPr>
              <w:fldChar w:fldCharType="begin"/>
            </w:r>
            <w:r w:rsidRPr="00CE39AC">
              <w:rPr>
                <w:bCs/>
                <w:i/>
              </w:rPr>
              <w:instrText xml:space="preserve"> PAGE </w:instrText>
            </w:r>
            <w:r w:rsidRPr="00CE39AC">
              <w:rPr>
                <w:bCs/>
                <w:i/>
                <w:sz w:val="24"/>
                <w:szCs w:val="24"/>
              </w:rPr>
              <w:fldChar w:fldCharType="separate"/>
            </w:r>
            <w:r w:rsidR="00850C30">
              <w:rPr>
                <w:bCs/>
                <w:i/>
                <w:noProof/>
              </w:rPr>
              <w:t>2</w:t>
            </w:r>
            <w:r w:rsidRPr="00CE39AC">
              <w:rPr>
                <w:bCs/>
                <w:i/>
                <w:sz w:val="24"/>
                <w:szCs w:val="24"/>
              </w:rPr>
              <w:fldChar w:fldCharType="end"/>
            </w:r>
            <w:r w:rsidRPr="00CE39AC">
              <w:rPr>
                <w:i/>
              </w:rPr>
              <w:t xml:space="preserve"> of </w:t>
            </w:r>
            <w:r w:rsidRPr="00CE39AC">
              <w:rPr>
                <w:bCs/>
                <w:i/>
                <w:sz w:val="24"/>
                <w:szCs w:val="24"/>
              </w:rPr>
              <w:fldChar w:fldCharType="begin"/>
            </w:r>
            <w:r w:rsidRPr="00CE39AC">
              <w:rPr>
                <w:bCs/>
                <w:i/>
              </w:rPr>
              <w:instrText xml:space="preserve"> NUMPAGES  </w:instrText>
            </w:r>
            <w:r w:rsidRPr="00CE39AC">
              <w:rPr>
                <w:bCs/>
                <w:i/>
                <w:sz w:val="24"/>
                <w:szCs w:val="24"/>
              </w:rPr>
              <w:fldChar w:fldCharType="separate"/>
            </w:r>
            <w:r w:rsidR="00850C30">
              <w:rPr>
                <w:bCs/>
                <w:i/>
                <w:noProof/>
              </w:rPr>
              <w:t>2</w:t>
            </w:r>
            <w:r w:rsidRPr="00CE39AC">
              <w:rPr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14:paraId="34BD5A4A" w14:textId="77777777" w:rsidR="004B69ED" w:rsidRDefault="004B6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AF1A4" w14:textId="77777777" w:rsidR="001E4F66" w:rsidRDefault="001E4F66" w:rsidP="004B69ED">
      <w:pPr>
        <w:spacing w:after="0" w:line="240" w:lineRule="auto"/>
      </w:pPr>
      <w:r>
        <w:separator/>
      </w:r>
    </w:p>
  </w:footnote>
  <w:footnote w:type="continuationSeparator" w:id="0">
    <w:p w14:paraId="42D84A08" w14:textId="77777777" w:rsidR="001E4F66" w:rsidRDefault="001E4F66" w:rsidP="004B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16693" w14:textId="77777777" w:rsidR="00EC649D" w:rsidRPr="00D41C27" w:rsidRDefault="00EC649D" w:rsidP="00EC649D">
    <w:pPr>
      <w:rPr>
        <w:b/>
        <w:sz w:val="24"/>
      </w:rPr>
    </w:pPr>
    <w:r w:rsidRPr="00D41C27">
      <w:rPr>
        <w:b/>
        <w:sz w:val="24"/>
      </w:rPr>
      <w:t xml:space="preserve">UPMC </w:t>
    </w:r>
    <w:r>
      <w:rPr>
        <w:b/>
        <w:sz w:val="24"/>
      </w:rPr>
      <w:t>HANOVER LABORATORY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655"/>
      <w:gridCol w:w="2520"/>
    </w:tblGrid>
    <w:tr w:rsidR="00EC649D" w14:paraId="1D9E2BC8" w14:textId="77777777" w:rsidTr="00623667">
      <w:trPr>
        <w:trHeight w:val="288"/>
      </w:trPr>
      <w:tc>
        <w:tcPr>
          <w:tcW w:w="6655" w:type="dxa"/>
        </w:tcPr>
        <w:p w14:paraId="3A68DC96" w14:textId="77777777" w:rsidR="00EC649D" w:rsidRPr="00D41C27" w:rsidRDefault="00EC649D" w:rsidP="00EC649D">
          <w:pPr>
            <w:rPr>
              <w:b/>
              <w:sz w:val="24"/>
            </w:rPr>
          </w:pPr>
          <w:r>
            <w:rPr>
              <w:sz w:val="24"/>
            </w:rPr>
            <w:t>Subject:  Urine Culture</w:t>
          </w:r>
        </w:p>
      </w:tc>
      <w:tc>
        <w:tcPr>
          <w:tcW w:w="2520" w:type="dxa"/>
        </w:tcPr>
        <w:p w14:paraId="63E32F65" w14:textId="77777777" w:rsidR="00EC649D" w:rsidRPr="00D41C27" w:rsidRDefault="00EC649D" w:rsidP="00EC649D">
          <w:pPr>
            <w:rPr>
              <w:b/>
              <w:sz w:val="24"/>
            </w:rPr>
          </w:pPr>
        </w:p>
      </w:tc>
    </w:tr>
  </w:tbl>
  <w:p w14:paraId="5627011D" w14:textId="77777777" w:rsidR="004B69ED" w:rsidRDefault="004B69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EA8F5" w14:textId="2DE6EC4B" w:rsidR="004E0315" w:rsidRPr="00D41C27" w:rsidRDefault="004E0315" w:rsidP="004E0315">
    <w:pPr>
      <w:rPr>
        <w:b/>
        <w:sz w:val="24"/>
      </w:rPr>
    </w:pPr>
    <w:r w:rsidRPr="00D41C27">
      <w:rPr>
        <w:b/>
        <w:sz w:val="24"/>
      </w:rPr>
      <w:t xml:space="preserve">UPMC </w:t>
    </w:r>
    <w:r>
      <w:rPr>
        <w:b/>
        <w:sz w:val="24"/>
      </w:rPr>
      <w:t>HANOVER LABORATORY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655"/>
      <w:gridCol w:w="2520"/>
    </w:tblGrid>
    <w:tr w:rsidR="004E0315" w14:paraId="73A6CDBC" w14:textId="77777777" w:rsidTr="00623667">
      <w:trPr>
        <w:trHeight w:val="288"/>
      </w:trPr>
      <w:tc>
        <w:tcPr>
          <w:tcW w:w="6655" w:type="dxa"/>
        </w:tcPr>
        <w:p w14:paraId="31097DC2" w14:textId="7AA1E1F2" w:rsidR="004E0315" w:rsidRPr="00D41C27" w:rsidRDefault="004E0315" w:rsidP="004E0315">
          <w:pPr>
            <w:rPr>
              <w:b/>
              <w:sz w:val="24"/>
            </w:rPr>
          </w:pPr>
          <w:r>
            <w:rPr>
              <w:sz w:val="24"/>
            </w:rPr>
            <w:t>Subject:  Urine Culture</w:t>
          </w:r>
        </w:p>
      </w:tc>
      <w:tc>
        <w:tcPr>
          <w:tcW w:w="2520" w:type="dxa"/>
        </w:tcPr>
        <w:p w14:paraId="542A3E59" w14:textId="2F6605C3" w:rsidR="004E0315" w:rsidRPr="00D41C27" w:rsidRDefault="004E0315" w:rsidP="004E0315">
          <w:pPr>
            <w:rPr>
              <w:b/>
              <w:sz w:val="24"/>
            </w:rPr>
          </w:pPr>
        </w:p>
      </w:tc>
    </w:tr>
  </w:tbl>
  <w:p w14:paraId="5D549958" w14:textId="77777777" w:rsidR="004E0315" w:rsidRDefault="004E0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143B"/>
    <w:multiLevelType w:val="singleLevel"/>
    <w:tmpl w:val="9FE224A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A4524CE"/>
    <w:multiLevelType w:val="hybridMultilevel"/>
    <w:tmpl w:val="58A06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A2DDE"/>
    <w:multiLevelType w:val="hybridMultilevel"/>
    <w:tmpl w:val="D7FCA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9041D"/>
    <w:multiLevelType w:val="hybridMultilevel"/>
    <w:tmpl w:val="DB7CE1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570569"/>
    <w:multiLevelType w:val="hybridMultilevel"/>
    <w:tmpl w:val="98F0A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2705D"/>
    <w:multiLevelType w:val="hybridMultilevel"/>
    <w:tmpl w:val="B6009852"/>
    <w:lvl w:ilvl="0" w:tplc="2D58EB9E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1C7EB0"/>
    <w:multiLevelType w:val="hybridMultilevel"/>
    <w:tmpl w:val="E5F81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07016"/>
    <w:multiLevelType w:val="hybridMultilevel"/>
    <w:tmpl w:val="B3F0A624"/>
    <w:lvl w:ilvl="0" w:tplc="09CC531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D1688"/>
    <w:multiLevelType w:val="hybridMultilevel"/>
    <w:tmpl w:val="88361FFC"/>
    <w:lvl w:ilvl="0" w:tplc="765E816C">
      <w:start w:val="1"/>
      <w:numFmt w:val="bullet"/>
      <w:lvlText w:val=""/>
      <w:lvlJc w:val="left"/>
      <w:pPr>
        <w:ind w:left="467" w:hanging="360"/>
      </w:pPr>
      <w:rPr>
        <w:rFonts w:ascii="Wingdings" w:eastAsia="Cambr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9" w15:restartNumberingAfterBreak="0">
    <w:nsid w:val="39C57522"/>
    <w:multiLevelType w:val="hybridMultilevel"/>
    <w:tmpl w:val="BE94E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56670"/>
    <w:multiLevelType w:val="hybridMultilevel"/>
    <w:tmpl w:val="6A8CF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A1E07"/>
    <w:multiLevelType w:val="hybridMultilevel"/>
    <w:tmpl w:val="53787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C45C3"/>
    <w:multiLevelType w:val="hybridMultilevel"/>
    <w:tmpl w:val="1B78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45CF4"/>
    <w:multiLevelType w:val="hybridMultilevel"/>
    <w:tmpl w:val="DEF4D37E"/>
    <w:lvl w:ilvl="0" w:tplc="402432EC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0677B"/>
    <w:multiLevelType w:val="hybridMultilevel"/>
    <w:tmpl w:val="45484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56D4D"/>
    <w:multiLevelType w:val="hybridMultilevel"/>
    <w:tmpl w:val="FDAC53E8"/>
    <w:lvl w:ilvl="0" w:tplc="09CC531C">
      <w:start w:val="1"/>
      <w:numFmt w:val="decimal"/>
      <w:lvlText w:val="%1."/>
      <w:lvlJc w:val="left"/>
      <w:pPr>
        <w:ind w:left="11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5C9E6704"/>
    <w:multiLevelType w:val="hybridMultilevel"/>
    <w:tmpl w:val="A8C07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7443D"/>
    <w:multiLevelType w:val="hybridMultilevel"/>
    <w:tmpl w:val="4AB0C940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62EB1A61"/>
    <w:multiLevelType w:val="hybridMultilevel"/>
    <w:tmpl w:val="4B10F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4441C"/>
    <w:multiLevelType w:val="hybridMultilevel"/>
    <w:tmpl w:val="31D4F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3271FE"/>
    <w:multiLevelType w:val="hybridMultilevel"/>
    <w:tmpl w:val="E8F6D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A18C2"/>
    <w:multiLevelType w:val="singleLevel"/>
    <w:tmpl w:val="1168103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736404D4"/>
    <w:multiLevelType w:val="hybridMultilevel"/>
    <w:tmpl w:val="A8DC9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55040"/>
    <w:multiLevelType w:val="hybridMultilevel"/>
    <w:tmpl w:val="53B00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D4DE3"/>
    <w:multiLevelType w:val="hybridMultilevel"/>
    <w:tmpl w:val="9D683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F029BA"/>
    <w:multiLevelType w:val="hybridMultilevel"/>
    <w:tmpl w:val="1B6C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25"/>
  </w:num>
  <w:num w:numId="5">
    <w:abstractNumId w:val="24"/>
  </w:num>
  <w:num w:numId="6">
    <w:abstractNumId w:val="10"/>
  </w:num>
  <w:num w:numId="7">
    <w:abstractNumId w:val="7"/>
  </w:num>
  <w:num w:numId="8">
    <w:abstractNumId w:val="18"/>
  </w:num>
  <w:num w:numId="9">
    <w:abstractNumId w:val="17"/>
  </w:num>
  <w:num w:numId="10">
    <w:abstractNumId w:val="15"/>
  </w:num>
  <w:num w:numId="11">
    <w:abstractNumId w:val="16"/>
  </w:num>
  <w:num w:numId="12">
    <w:abstractNumId w:val="1"/>
  </w:num>
  <w:num w:numId="13">
    <w:abstractNumId w:val="2"/>
  </w:num>
  <w:num w:numId="14">
    <w:abstractNumId w:val="23"/>
  </w:num>
  <w:num w:numId="15">
    <w:abstractNumId w:val="4"/>
  </w:num>
  <w:num w:numId="16">
    <w:abstractNumId w:val="14"/>
  </w:num>
  <w:num w:numId="17">
    <w:abstractNumId w:val="22"/>
  </w:num>
  <w:num w:numId="18">
    <w:abstractNumId w:val="13"/>
  </w:num>
  <w:num w:numId="19">
    <w:abstractNumId w:val="5"/>
  </w:num>
  <w:num w:numId="20">
    <w:abstractNumId w:val="12"/>
  </w:num>
  <w:num w:numId="21">
    <w:abstractNumId w:val="19"/>
  </w:num>
  <w:num w:numId="22">
    <w:abstractNumId w:val="11"/>
  </w:num>
  <w:num w:numId="23">
    <w:abstractNumId w:val="9"/>
  </w:num>
  <w:num w:numId="24">
    <w:abstractNumId w:val="3"/>
  </w:num>
  <w:num w:numId="25">
    <w:abstractNumId w:val="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D5A"/>
    <w:rsid w:val="000367E3"/>
    <w:rsid w:val="00077124"/>
    <w:rsid w:val="000F5B59"/>
    <w:rsid w:val="00117189"/>
    <w:rsid w:val="00195A22"/>
    <w:rsid w:val="001E4F66"/>
    <w:rsid w:val="00295E1F"/>
    <w:rsid w:val="002A07E4"/>
    <w:rsid w:val="002F1AA0"/>
    <w:rsid w:val="00311B12"/>
    <w:rsid w:val="00320A34"/>
    <w:rsid w:val="00382889"/>
    <w:rsid w:val="003C0375"/>
    <w:rsid w:val="003D38D9"/>
    <w:rsid w:val="0044732E"/>
    <w:rsid w:val="004525F3"/>
    <w:rsid w:val="00493AE8"/>
    <w:rsid w:val="004A4135"/>
    <w:rsid w:val="004B559D"/>
    <w:rsid w:val="004B69ED"/>
    <w:rsid w:val="004E0315"/>
    <w:rsid w:val="005C3CD4"/>
    <w:rsid w:val="00602F19"/>
    <w:rsid w:val="00642C25"/>
    <w:rsid w:val="00653A2B"/>
    <w:rsid w:val="006A6E86"/>
    <w:rsid w:val="00752C6F"/>
    <w:rsid w:val="00754EDC"/>
    <w:rsid w:val="007A1C7A"/>
    <w:rsid w:val="007A49C7"/>
    <w:rsid w:val="007E24BA"/>
    <w:rsid w:val="00817B19"/>
    <w:rsid w:val="00850C30"/>
    <w:rsid w:val="008603F7"/>
    <w:rsid w:val="0087326E"/>
    <w:rsid w:val="00875FCC"/>
    <w:rsid w:val="00960BEF"/>
    <w:rsid w:val="00983B45"/>
    <w:rsid w:val="00984F6C"/>
    <w:rsid w:val="00992152"/>
    <w:rsid w:val="00995BCB"/>
    <w:rsid w:val="009B03DE"/>
    <w:rsid w:val="009D3D53"/>
    <w:rsid w:val="009E67C3"/>
    <w:rsid w:val="00A25E92"/>
    <w:rsid w:val="00A4119C"/>
    <w:rsid w:val="00A53633"/>
    <w:rsid w:val="00A64E67"/>
    <w:rsid w:val="00AB59F0"/>
    <w:rsid w:val="00B06D5A"/>
    <w:rsid w:val="00B11459"/>
    <w:rsid w:val="00BC5389"/>
    <w:rsid w:val="00C14ACC"/>
    <w:rsid w:val="00C4658E"/>
    <w:rsid w:val="00C91453"/>
    <w:rsid w:val="00CE39AC"/>
    <w:rsid w:val="00CF567D"/>
    <w:rsid w:val="00D41C27"/>
    <w:rsid w:val="00D47DDC"/>
    <w:rsid w:val="00D76A7D"/>
    <w:rsid w:val="00DD351B"/>
    <w:rsid w:val="00DE0640"/>
    <w:rsid w:val="00DE10A9"/>
    <w:rsid w:val="00E231CE"/>
    <w:rsid w:val="00E93ED3"/>
    <w:rsid w:val="00E95BF7"/>
    <w:rsid w:val="00EC649D"/>
    <w:rsid w:val="00F44BD2"/>
    <w:rsid w:val="00F606B4"/>
    <w:rsid w:val="00F67E3E"/>
    <w:rsid w:val="00FE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FEC8C"/>
  <w15:chartTrackingRefBased/>
  <w15:docId w15:val="{257F06DD-4573-4D3A-8854-874789E7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9ED"/>
  </w:style>
  <w:style w:type="paragraph" w:styleId="Footer">
    <w:name w:val="footer"/>
    <w:basedOn w:val="Normal"/>
    <w:link w:val="FooterChar"/>
    <w:uiPriority w:val="99"/>
    <w:unhideWhenUsed/>
    <w:rsid w:val="004B6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9ED"/>
  </w:style>
  <w:style w:type="table" w:styleId="TableGrid">
    <w:name w:val="Table Grid"/>
    <w:basedOn w:val="TableNormal"/>
    <w:uiPriority w:val="39"/>
    <w:rsid w:val="004B6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3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63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413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93AE8"/>
    <w:pPr>
      <w:widowControl w:val="0"/>
      <w:autoSpaceDE w:val="0"/>
      <w:autoSpaceDN w:val="0"/>
      <w:spacing w:before="37" w:after="0" w:line="240" w:lineRule="auto"/>
      <w:ind w:left="85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833BF-FE1A-468C-958C-C851DE2F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PHS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L. Varner</dc:creator>
  <cp:keywords/>
  <dc:description/>
  <cp:lastModifiedBy>Solanick, Sherilyn</cp:lastModifiedBy>
  <cp:revision>9</cp:revision>
  <cp:lastPrinted>2022-11-16T15:27:00Z</cp:lastPrinted>
  <dcterms:created xsi:type="dcterms:W3CDTF">2024-05-22T20:42:00Z</dcterms:created>
  <dcterms:modified xsi:type="dcterms:W3CDTF">2024-06-12T16:53:00Z</dcterms:modified>
</cp:coreProperties>
</file>