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CF2" w:rsidRPr="00CC6878" w:rsidRDefault="00C06CF2">
      <w:pPr>
        <w:rPr>
          <w:rFonts w:ascii="Arial" w:hAnsi="Arial" w:cs="Arial"/>
          <w:szCs w:val="20"/>
          <w:u w:val="single"/>
        </w:rPr>
      </w:pPr>
      <w:r w:rsidRPr="00CC6878">
        <w:rPr>
          <w:rFonts w:ascii="Arial" w:hAnsi="Arial" w:cs="Arial"/>
          <w:szCs w:val="20"/>
          <w:u w:val="single"/>
        </w:rPr>
        <w:t>SPILL RESPONSE CATEGORIES</w:t>
      </w:r>
    </w:p>
    <w:p w:rsidR="00C06CF2" w:rsidRPr="00CC6878" w:rsidRDefault="00C06CF2">
      <w:pPr>
        <w:rPr>
          <w:rFonts w:ascii="Arial" w:hAnsi="Arial" w:cs="Arial"/>
          <w:szCs w:val="20"/>
        </w:rPr>
      </w:pPr>
    </w:p>
    <w:p w:rsidR="00C06CF2" w:rsidRPr="00CC6878" w:rsidRDefault="00C06CF2">
      <w:pPr>
        <w:rPr>
          <w:rFonts w:ascii="Arial" w:hAnsi="Arial" w:cs="Arial"/>
          <w:szCs w:val="20"/>
          <w:u w:val="single"/>
        </w:rPr>
      </w:pPr>
      <w:r w:rsidRPr="00CC6878">
        <w:rPr>
          <w:rFonts w:ascii="Arial" w:hAnsi="Arial" w:cs="Arial"/>
          <w:b/>
          <w:szCs w:val="20"/>
        </w:rPr>
        <w:t>Category A</w:t>
      </w:r>
      <w:r w:rsidR="002E319C" w:rsidRPr="00CC6878">
        <w:rPr>
          <w:rFonts w:ascii="Arial" w:hAnsi="Arial" w:cs="Arial"/>
          <w:szCs w:val="20"/>
        </w:rPr>
        <w:t xml:space="preserve">: </w:t>
      </w:r>
      <w:r w:rsidRPr="00CC6878">
        <w:rPr>
          <w:rFonts w:ascii="Arial" w:hAnsi="Arial" w:cs="Arial"/>
          <w:szCs w:val="20"/>
        </w:rPr>
        <w:t xml:space="preserve"> Highly Toxic, Volatile Large Volume, Unidentified Chemical, High Risk Chemicals</w:t>
      </w:r>
      <w:r w:rsidR="002E319C" w:rsidRPr="00CC6878">
        <w:rPr>
          <w:rFonts w:ascii="Arial" w:hAnsi="Arial" w:cs="Arial"/>
          <w:szCs w:val="20"/>
        </w:rPr>
        <w:t xml:space="preserve"> such as:</w:t>
      </w:r>
    </w:p>
    <w:p w:rsidR="00C06CF2" w:rsidRPr="00CC6878" w:rsidRDefault="00C06CF2">
      <w:pPr>
        <w:rPr>
          <w:rFonts w:ascii="Arial" w:hAnsi="Arial" w:cs="Arial"/>
          <w:szCs w:val="20"/>
          <w:u w:val="single"/>
        </w:rPr>
      </w:pPr>
    </w:p>
    <w:p w:rsidR="002E319C" w:rsidRPr="00CC6878" w:rsidRDefault="00C06CF2">
      <w:pPr>
        <w:rPr>
          <w:rFonts w:ascii="Arial" w:hAnsi="Arial" w:cs="Arial"/>
          <w:szCs w:val="20"/>
        </w:rPr>
      </w:pPr>
      <w:r w:rsidRPr="00CC6878">
        <w:rPr>
          <w:rFonts w:ascii="Arial" w:hAnsi="Arial" w:cs="Arial"/>
          <w:szCs w:val="20"/>
        </w:rPr>
        <w:t>Acetic Acid</w:t>
      </w:r>
    </w:p>
    <w:p w:rsidR="002E319C" w:rsidRPr="00CC6878" w:rsidRDefault="00C06CF2">
      <w:pPr>
        <w:rPr>
          <w:rFonts w:ascii="Arial" w:hAnsi="Arial" w:cs="Arial"/>
          <w:szCs w:val="20"/>
        </w:rPr>
      </w:pPr>
      <w:r w:rsidRPr="00CC6878">
        <w:rPr>
          <w:rFonts w:ascii="Arial" w:hAnsi="Arial" w:cs="Arial"/>
          <w:szCs w:val="20"/>
        </w:rPr>
        <w:t>Acetone</w:t>
      </w:r>
    </w:p>
    <w:p w:rsidR="002E319C" w:rsidRPr="00CC6878" w:rsidRDefault="00C06CF2">
      <w:pPr>
        <w:rPr>
          <w:rFonts w:ascii="Arial" w:hAnsi="Arial" w:cs="Arial"/>
          <w:szCs w:val="20"/>
        </w:rPr>
      </w:pPr>
      <w:r w:rsidRPr="00CC6878">
        <w:rPr>
          <w:rFonts w:ascii="Arial" w:hAnsi="Arial" w:cs="Arial"/>
          <w:szCs w:val="20"/>
        </w:rPr>
        <w:t xml:space="preserve">Citric Acid </w:t>
      </w:r>
    </w:p>
    <w:p w:rsidR="002E319C" w:rsidRPr="00CC6878" w:rsidRDefault="00C06CF2">
      <w:pPr>
        <w:rPr>
          <w:rFonts w:ascii="Arial" w:hAnsi="Arial" w:cs="Arial"/>
          <w:szCs w:val="20"/>
        </w:rPr>
      </w:pPr>
      <w:r w:rsidRPr="00CC6878">
        <w:rPr>
          <w:rFonts w:ascii="Arial" w:hAnsi="Arial" w:cs="Arial"/>
          <w:szCs w:val="20"/>
        </w:rPr>
        <w:t xml:space="preserve">Ammonium Hydroxide </w:t>
      </w:r>
    </w:p>
    <w:p w:rsidR="002E319C" w:rsidRPr="00CC6878" w:rsidRDefault="00C06CF2">
      <w:pPr>
        <w:rPr>
          <w:rFonts w:ascii="Arial" w:hAnsi="Arial" w:cs="Arial"/>
          <w:szCs w:val="20"/>
        </w:rPr>
      </w:pPr>
      <w:r w:rsidRPr="00CC6878">
        <w:rPr>
          <w:rFonts w:ascii="Arial" w:hAnsi="Arial" w:cs="Arial"/>
          <w:szCs w:val="20"/>
        </w:rPr>
        <w:t xml:space="preserve">Ammonium Molybdate </w:t>
      </w:r>
    </w:p>
    <w:p w:rsidR="002E319C" w:rsidRPr="00CC6878" w:rsidRDefault="00C06CF2">
      <w:pPr>
        <w:rPr>
          <w:rFonts w:ascii="Arial" w:hAnsi="Arial" w:cs="Arial"/>
          <w:szCs w:val="20"/>
        </w:rPr>
      </w:pPr>
      <w:r w:rsidRPr="00CC6878">
        <w:rPr>
          <w:rFonts w:ascii="Arial" w:hAnsi="Arial" w:cs="Arial"/>
          <w:szCs w:val="20"/>
        </w:rPr>
        <w:t xml:space="preserve">Ammonium Sulfate </w:t>
      </w:r>
    </w:p>
    <w:p w:rsidR="002E319C" w:rsidRPr="00CC6878" w:rsidRDefault="00C06CF2">
      <w:pPr>
        <w:rPr>
          <w:rFonts w:ascii="Arial" w:hAnsi="Arial" w:cs="Arial"/>
          <w:szCs w:val="20"/>
        </w:rPr>
      </w:pPr>
      <w:r w:rsidRPr="00CC6878">
        <w:rPr>
          <w:rFonts w:ascii="Arial" w:hAnsi="Arial" w:cs="Arial"/>
          <w:szCs w:val="20"/>
        </w:rPr>
        <w:t>Benzoic Acid</w:t>
      </w:r>
    </w:p>
    <w:p w:rsidR="002E319C" w:rsidRPr="00CC6878" w:rsidRDefault="00C06CF2">
      <w:pPr>
        <w:rPr>
          <w:rFonts w:ascii="Arial" w:hAnsi="Arial" w:cs="Arial"/>
          <w:szCs w:val="20"/>
        </w:rPr>
      </w:pPr>
      <w:r w:rsidRPr="00CC6878">
        <w:rPr>
          <w:rFonts w:ascii="Arial" w:hAnsi="Arial" w:cs="Arial"/>
          <w:szCs w:val="20"/>
        </w:rPr>
        <w:t>Calcium gluconate</w:t>
      </w:r>
    </w:p>
    <w:p w:rsidR="002E319C" w:rsidRPr="00CC6878" w:rsidRDefault="00C06CF2">
      <w:pPr>
        <w:rPr>
          <w:rFonts w:ascii="Arial" w:hAnsi="Arial" w:cs="Arial"/>
          <w:szCs w:val="20"/>
        </w:rPr>
      </w:pPr>
      <w:r w:rsidRPr="00CC6878">
        <w:rPr>
          <w:rFonts w:ascii="Arial" w:hAnsi="Arial" w:cs="Arial"/>
          <w:szCs w:val="20"/>
        </w:rPr>
        <w:t xml:space="preserve">Carbon Tetrachloride </w:t>
      </w:r>
    </w:p>
    <w:p w:rsidR="002E319C" w:rsidRPr="00CC6878" w:rsidRDefault="00C06CF2">
      <w:pPr>
        <w:rPr>
          <w:rFonts w:ascii="Arial" w:hAnsi="Arial" w:cs="Arial"/>
          <w:szCs w:val="20"/>
        </w:rPr>
      </w:pPr>
      <w:r w:rsidRPr="00CC6878">
        <w:rPr>
          <w:rFonts w:ascii="Arial" w:hAnsi="Arial" w:cs="Arial"/>
          <w:szCs w:val="20"/>
        </w:rPr>
        <w:t xml:space="preserve">Formaldehyde </w:t>
      </w:r>
    </w:p>
    <w:p w:rsidR="002E319C" w:rsidRPr="00CC6878" w:rsidRDefault="00C06CF2">
      <w:pPr>
        <w:rPr>
          <w:rFonts w:ascii="Arial" w:hAnsi="Arial" w:cs="Arial"/>
          <w:szCs w:val="20"/>
        </w:rPr>
      </w:pPr>
      <w:r w:rsidRPr="00CC6878">
        <w:rPr>
          <w:rFonts w:ascii="Arial" w:hAnsi="Arial" w:cs="Arial"/>
          <w:szCs w:val="20"/>
        </w:rPr>
        <w:t>Oxalic Acid</w:t>
      </w:r>
    </w:p>
    <w:p w:rsidR="002E319C" w:rsidRPr="00CC6878" w:rsidRDefault="00C06CF2">
      <w:pPr>
        <w:rPr>
          <w:rFonts w:ascii="Arial" w:hAnsi="Arial" w:cs="Arial"/>
          <w:szCs w:val="20"/>
        </w:rPr>
      </w:pPr>
      <w:r w:rsidRPr="00CC6878">
        <w:rPr>
          <w:rFonts w:ascii="Arial" w:hAnsi="Arial" w:cs="Arial"/>
          <w:szCs w:val="20"/>
        </w:rPr>
        <w:t>Perchloric Acid</w:t>
      </w:r>
    </w:p>
    <w:p w:rsidR="002E319C" w:rsidRPr="00CC6878" w:rsidRDefault="00C06CF2">
      <w:pPr>
        <w:rPr>
          <w:rFonts w:ascii="Arial" w:hAnsi="Arial" w:cs="Arial"/>
          <w:szCs w:val="20"/>
        </w:rPr>
      </w:pPr>
      <w:r w:rsidRPr="00CC6878">
        <w:rPr>
          <w:rFonts w:ascii="Arial" w:hAnsi="Arial" w:cs="Arial"/>
          <w:szCs w:val="20"/>
        </w:rPr>
        <w:t>Potassium Thiocyanate</w:t>
      </w:r>
    </w:p>
    <w:p w:rsidR="00C06CF2" w:rsidRPr="00CC6878" w:rsidRDefault="00C06CF2">
      <w:pPr>
        <w:rPr>
          <w:rFonts w:ascii="Arial" w:hAnsi="Arial" w:cs="Arial"/>
          <w:szCs w:val="20"/>
        </w:rPr>
      </w:pPr>
      <w:r w:rsidRPr="00CC6878">
        <w:rPr>
          <w:rFonts w:ascii="Arial" w:hAnsi="Arial" w:cs="Arial"/>
          <w:szCs w:val="20"/>
        </w:rPr>
        <w:t>Sodium Nitroprusside</w:t>
      </w:r>
    </w:p>
    <w:p w:rsidR="00C06CF2" w:rsidRPr="00CC6878" w:rsidRDefault="00C06CF2">
      <w:pPr>
        <w:rPr>
          <w:rFonts w:ascii="Arial" w:hAnsi="Arial" w:cs="Arial"/>
          <w:szCs w:val="20"/>
        </w:rPr>
      </w:pPr>
    </w:p>
    <w:p w:rsidR="00C06CF2" w:rsidRPr="00CC6878" w:rsidRDefault="00C06CF2">
      <w:pPr>
        <w:rPr>
          <w:sz w:val="32"/>
        </w:rPr>
      </w:pPr>
      <w:r w:rsidRPr="00CC6878">
        <w:rPr>
          <w:rFonts w:ascii="Arial" w:hAnsi="Arial" w:cs="Arial"/>
          <w:szCs w:val="20"/>
        </w:rPr>
        <w:t xml:space="preserve">Evacuate/isolate spill area; warn others; assist those who may need help. Provide medical treatment for those exposed, if necessary. </w:t>
      </w:r>
      <w:r w:rsidR="002E319C" w:rsidRPr="00CC6878">
        <w:rPr>
          <w:rFonts w:ascii="Arial" w:hAnsi="Arial" w:cs="Arial"/>
          <w:szCs w:val="20"/>
        </w:rPr>
        <w:t>Obtain</w:t>
      </w:r>
      <w:r w:rsidRPr="00CC6878">
        <w:rPr>
          <w:rFonts w:ascii="Arial" w:hAnsi="Arial" w:cs="Arial"/>
          <w:szCs w:val="20"/>
        </w:rPr>
        <w:t xml:space="preserve"> M.S.D.S</w:t>
      </w:r>
      <w:r w:rsidR="002E319C" w:rsidRPr="00CC6878">
        <w:rPr>
          <w:rFonts w:ascii="Arial" w:hAnsi="Arial" w:cs="Arial"/>
          <w:szCs w:val="20"/>
        </w:rPr>
        <w:t>. If the Fire Department is notified (required if spill is over 1 gallon (4 liters) provide the following information: Location of spill/release and chemical name, if known</w:t>
      </w:r>
    </w:p>
    <w:p w:rsidR="00C06CF2" w:rsidRPr="00CC6878" w:rsidRDefault="00C06CF2">
      <w:pPr>
        <w:rPr>
          <w:sz w:val="32"/>
        </w:rPr>
      </w:pPr>
    </w:p>
    <w:p w:rsidR="002E319C" w:rsidRPr="00CC6878" w:rsidRDefault="002E319C">
      <w:pPr>
        <w:rPr>
          <w:rFonts w:ascii="Arial" w:hAnsi="Arial" w:cs="Arial"/>
          <w:szCs w:val="20"/>
        </w:rPr>
      </w:pPr>
      <w:r w:rsidRPr="00CC6878">
        <w:rPr>
          <w:rFonts w:ascii="Arial" w:hAnsi="Arial" w:cs="Arial"/>
          <w:b/>
          <w:szCs w:val="20"/>
        </w:rPr>
        <w:t>Category B</w:t>
      </w:r>
      <w:r w:rsidRPr="00CC6878">
        <w:rPr>
          <w:rFonts w:ascii="Arial" w:hAnsi="Arial" w:cs="Arial"/>
          <w:szCs w:val="20"/>
        </w:rPr>
        <w:t>:  Non-volatile, Low Toxicity, Small Volume (under 500 ml.)</w:t>
      </w:r>
    </w:p>
    <w:p w:rsidR="002E319C" w:rsidRPr="00CC6878" w:rsidRDefault="002E319C">
      <w:pPr>
        <w:rPr>
          <w:rFonts w:ascii="Arial" w:hAnsi="Arial" w:cs="Arial"/>
          <w:szCs w:val="20"/>
        </w:rPr>
      </w:pPr>
    </w:p>
    <w:p w:rsidR="002E319C" w:rsidRPr="00CC6878" w:rsidRDefault="002E319C">
      <w:pPr>
        <w:rPr>
          <w:sz w:val="32"/>
        </w:rPr>
      </w:pPr>
      <w:r w:rsidRPr="00CC6878">
        <w:rPr>
          <w:rFonts w:ascii="Arial" w:hAnsi="Arial" w:cs="Arial"/>
          <w:szCs w:val="20"/>
        </w:rPr>
        <w:t>Evacuate/isolate spill area; warn others; assist those who may need help. Provide medical treatment for those exposed, if necessary. Obtain M.S.D.S. Perform clean-up according to M.S.D.S or departmental spill procedures. Place all materials and waste from clean-up into yellow spill bucket, secure lid and label as to contents. Attach copy of M.S.D.S. to yellow spill bucket with scotch tape and contact the Safety Committee to arrange for disposal.</w:t>
      </w:r>
    </w:p>
    <w:p w:rsidR="002E319C" w:rsidRPr="00CC6878" w:rsidRDefault="002E319C">
      <w:pPr>
        <w:rPr>
          <w:sz w:val="32"/>
        </w:rPr>
      </w:pPr>
    </w:p>
    <w:p w:rsidR="002E319C" w:rsidRPr="00CC6878" w:rsidRDefault="002E319C">
      <w:pPr>
        <w:rPr>
          <w:rFonts w:ascii="Arial" w:hAnsi="Arial" w:cs="Arial"/>
          <w:szCs w:val="20"/>
        </w:rPr>
      </w:pPr>
      <w:r w:rsidRPr="00CC6878">
        <w:rPr>
          <w:rFonts w:ascii="Arial" w:hAnsi="Arial" w:cs="Arial"/>
          <w:b/>
          <w:szCs w:val="20"/>
        </w:rPr>
        <w:t>Category C</w:t>
      </w:r>
      <w:r w:rsidRPr="00CC6878">
        <w:rPr>
          <w:rFonts w:ascii="Arial" w:hAnsi="Arial" w:cs="Arial"/>
          <w:szCs w:val="20"/>
        </w:rPr>
        <w:t>: Infectious waste</w:t>
      </w:r>
    </w:p>
    <w:p w:rsidR="002E319C" w:rsidRPr="00CC6878" w:rsidRDefault="002E319C">
      <w:pPr>
        <w:rPr>
          <w:rFonts w:ascii="Arial" w:hAnsi="Arial" w:cs="Arial"/>
          <w:szCs w:val="20"/>
        </w:rPr>
      </w:pPr>
    </w:p>
    <w:p w:rsidR="002E319C" w:rsidRPr="00CC6878" w:rsidRDefault="002E319C">
      <w:pPr>
        <w:rPr>
          <w:rFonts w:ascii="Arial" w:hAnsi="Arial" w:cs="Arial"/>
          <w:szCs w:val="20"/>
        </w:rPr>
      </w:pPr>
      <w:r w:rsidRPr="00CC6878">
        <w:rPr>
          <w:rFonts w:ascii="Arial" w:hAnsi="Arial" w:cs="Arial"/>
          <w:szCs w:val="20"/>
        </w:rPr>
        <w:t xml:space="preserve">Evacuate/isolate spill area; warn others; assist those who may need help. Provide medical treatment for those exposed, if necessary. Do not ventilate area for biohazard spills. Wear protective </w:t>
      </w:r>
      <w:proofErr w:type="gramStart"/>
      <w:r w:rsidRPr="00CC6878">
        <w:rPr>
          <w:rFonts w:ascii="Arial" w:hAnsi="Arial" w:cs="Arial"/>
          <w:szCs w:val="20"/>
        </w:rPr>
        <w:t>clothing ,</w:t>
      </w:r>
      <w:proofErr w:type="gramEnd"/>
      <w:r w:rsidRPr="00CC6878">
        <w:rPr>
          <w:rFonts w:ascii="Arial" w:hAnsi="Arial" w:cs="Arial"/>
          <w:szCs w:val="20"/>
        </w:rPr>
        <w:t xml:space="preserve"> eye protection, gloves Cover spill with a paper towel/absorbent material to avoid splashing and to contain spill. Pour solution of Detergent/Disinfectant on covered spill and let stand for 10 minutes contact time. Wipe up with paper towels or other absorbent material and dispose in regular trash</w:t>
      </w:r>
    </w:p>
    <w:p w:rsidR="00D609F1" w:rsidRPr="00D609F1" w:rsidRDefault="002E319C" w:rsidP="00D609F1">
      <w:pPr>
        <w:rPr>
          <w:sz w:val="32"/>
        </w:rPr>
      </w:pPr>
      <w:r w:rsidRPr="00CC6878">
        <w:rPr>
          <w:rFonts w:ascii="Arial" w:hAnsi="Arial" w:cs="Arial"/>
          <w:b/>
          <w:szCs w:val="20"/>
        </w:rPr>
        <w:t xml:space="preserve">Category E: </w:t>
      </w:r>
      <w:r w:rsidRPr="00CC6878">
        <w:rPr>
          <w:rFonts w:ascii="Arial" w:hAnsi="Arial" w:cs="Arial"/>
          <w:szCs w:val="20"/>
        </w:rPr>
        <w:t xml:space="preserve"> Chemotherapy Material Release. Clean-up of chemotherapy material release will be the responsibility of the department where the material is utilized.</w:t>
      </w:r>
    </w:p>
    <w:p w:rsidR="002E319C" w:rsidRPr="00D609F1" w:rsidRDefault="00D609F1" w:rsidP="00D609F1">
      <w:pPr>
        <w:tabs>
          <w:tab w:val="left" w:pos="8220"/>
        </w:tabs>
        <w:rPr>
          <w:sz w:val="32"/>
        </w:rPr>
      </w:pPr>
      <w:r>
        <w:rPr>
          <w:sz w:val="32"/>
        </w:rPr>
        <w:tab/>
      </w:r>
    </w:p>
    <w:sectPr w:rsidR="002E319C" w:rsidRPr="00D609F1" w:rsidSect="00D609F1">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400" w:rsidRDefault="00EF6400" w:rsidP="00933616">
      <w:r>
        <w:separator/>
      </w:r>
    </w:p>
  </w:endnote>
  <w:endnote w:type="continuationSeparator" w:id="0">
    <w:p w:rsidR="00EF6400" w:rsidRDefault="00EF6400" w:rsidP="00933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C51" w:rsidRDefault="00295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488321514" w:displacedByCustomXml="next"/>
  <w:bookmarkStart w:id="2" w:name="_Hlk488321515" w:displacedByCustomXml="next"/>
  <w:bookmarkStart w:id="3" w:name="_Hlk488321516" w:displacedByCustomXml="next"/>
  <w:sdt>
    <w:sdtPr>
      <w:rPr>
        <w:rFonts w:ascii="Arial" w:hAnsi="Arial" w:cs="Arial"/>
      </w:rPr>
      <w:id w:val="-574125436"/>
      <w:docPartObj>
        <w:docPartGallery w:val="Page Numbers (Top of Page)"/>
        <w:docPartUnique/>
      </w:docPartObj>
    </w:sdtPr>
    <w:sdtEndPr/>
    <w:sdtContent>
      <w:p w:rsidR="00D609F1" w:rsidRPr="006D5C21" w:rsidRDefault="00D609F1" w:rsidP="00D609F1">
        <w:pPr>
          <w:pStyle w:val="Footer"/>
          <w:rPr>
            <w:rFonts w:ascii="Cambria" w:hAnsi="Cambria"/>
            <w:i/>
            <w:sz w:val="16"/>
            <w:szCs w:val="16"/>
          </w:rPr>
        </w:pPr>
        <w:r>
          <w:rPr>
            <w:rFonts w:ascii="Cambria" w:hAnsi="Cambria"/>
            <w:sz w:val="16"/>
            <w:szCs w:val="16"/>
          </w:rPr>
          <w:t>Spill Response Categories</w:t>
        </w:r>
        <w:r>
          <w:rPr>
            <w:rFonts w:ascii="Cambria" w:hAnsi="Cambria"/>
            <w:sz w:val="16"/>
            <w:szCs w:val="16"/>
          </w:rPr>
          <w:tab/>
        </w:r>
        <w:r>
          <w:rPr>
            <w:rFonts w:ascii="Cambria" w:hAnsi="Cambria"/>
            <w:sz w:val="16"/>
            <w:szCs w:val="16"/>
          </w:rPr>
          <w:tab/>
        </w:r>
        <w:r w:rsidR="00C64B97">
          <w:rPr>
            <w:rFonts w:ascii="Cambria" w:hAnsi="Cambria"/>
            <w:sz w:val="16"/>
            <w:szCs w:val="16"/>
          </w:rPr>
          <w:tab/>
        </w:r>
        <w:r w:rsidRPr="006D5C21">
          <w:rPr>
            <w:rFonts w:ascii="Cambria" w:hAnsi="Cambria"/>
            <w:sz w:val="16"/>
            <w:szCs w:val="16"/>
          </w:rPr>
          <w:t>Form</w:t>
        </w:r>
        <w:r>
          <w:rPr>
            <w:rFonts w:ascii="Cambria" w:hAnsi="Cambria"/>
            <w:sz w:val="16"/>
            <w:szCs w:val="16"/>
          </w:rPr>
          <w:t xml:space="preserve"> #</w:t>
        </w:r>
        <w:r w:rsidRPr="006D5C21">
          <w:rPr>
            <w:rFonts w:ascii="Cambria" w:hAnsi="Cambria"/>
            <w:sz w:val="16"/>
            <w:szCs w:val="16"/>
          </w:rPr>
          <w:t xml:space="preserve">   </w:t>
        </w:r>
        <w:r>
          <w:rPr>
            <w:rFonts w:ascii="Cambria" w:hAnsi="Cambria"/>
            <w:sz w:val="16"/>
            <w:szCs w:val="16"/>
          </w:rPr>
          <w:t xml:space="preserve">QM </w:t>
        </w:r>
        <w:proofErr w:type="spellStart"/>
        <w:r>
          <w:rPr>
            <w:rFonts w:ascii="Cambria" w:hAnsi="Cambria"/>
            <w:sz w:val="16"/>
            <w:szCs w:val="16"/>
          </w:rPr>
          <w:t>Att</w:t>
        </w:r>
        <w:proofErr w:type="spellEnd"/>
        <w:r>
          <w:rPr>
            <w:rFonts w:ascii="Cambria" w:hAnsi="Cambria"/>
            <w:sz w:val="16"/>
            <w:szCs w:val="16"/>
          </w:rPr>
          <w:t xml:space="preserve"> </w:t>
        </w:r>
        <w:r w:rsidR="00C64B97">
          <w:rPr>
            <w:rFonts w:ascii="Cambria" w:hAnsi="Cambria"/>
            <w:sz w:val="16"/>
            <w:szCs w:val="16"/>
          </w:rPr>
          <w:t>11</w:t>
        </w:r>
      </w:p>
      <w:p w:rsidR="00D609F1" w:rsidRDefault="00D609F1" w:rsidP="00D609F1">
        <w:pPr>
          <w:pStyle w:val="Footer"/>
          <w:rPr>
            <w:rFonts w:ascii="Cambria" w:hAnsi="Cambria"/>
            <w:noProof/>
            <w:color w:val="000000"/>
            <w:sz w:val="16"/>
            <w:szCs w:val="16"/>
          </w:rPr>
        </w:pPr>
        <w:r>
          <w:rPr>
            <w:rFonts w:ascii="Cambria" w:hAnsi="Cambria"/>
            <w:sz w:val="16"/>
            <w:szCs w:val="16"/>
          </w:rPr>
          <w:t>Issued by:  Laboratory Director</w:t>
        </w:r>
        <w:r w:rsidRPr="002B3ABE">
          <w:rPr>
            <w:rFonts w:ascii="Cambria" w:hAnsi="Cambria"/>
            <w:sz w:val="16"/>
            <w:szCs w:val="16"/>
          </w:rPr>
          <w:t xml:space="preserve"> </w:t>
        </w:r>
        <w:r>
          <w:rPr>
            <w:rFonts w:ascii="Cambria" w:hAnsi="Cambria"/>
            <w:sz w:val="16"/>
            <w:szCs w:val="16"/>
          </w:rPr>
          <w:tab/>
        </w:r>
        <w:r>
          <w:rPr>
            <w:rFonts w:ascii="Cambria" w:hAnsi="Cambria"/>
            <w:sz w:val="16"/>
            <w:szCs w:val="16"/>
          </w:rPr>
          <w:tab/>
        </w:r>
        <w:r w:rsidR="00C64B97">
          <w:rPr>
            <w:rFonts w:ascii="Cambria" w:hAnsi="Cambria"/>
            <w:sz w:val="16"/>
            <w:szCs w:val="16"/>
          </w:rPr>
          <w:tab/>
        </w:r>
        <w:bookmarkStart w:id="4" w:name="_GoBack"/>
        <w:bookmarkEnd w:id="4"/>
        <w:r w:rsidRPr="006D5C21">
          <w:rPr>
            <w:rFonts w:ascii="Cambria" w:hAnsi="Cambria"/>
            <w:sz w:val="16"/>
            <w:szCs w:val="16"/>
          </w:rPr>
          <w:t xml:space="preserve">Revision </w:t>
        </w:r>
        <w:r>
          <w:rPr>
            <w:rFonts w:ascii="Cambria" w:hAnsi="Cambria"/>
            <w:color w:val="000000"/>
            <w:sz w:val="16"/>
            <w:szCs w:val="16"/>
          </w:rPr>
          <w:t>1</w:t>
        </w:r>
      </w:p>
      <w:p w:rsidR="00D609F1" w:rsidRPr="00D609F1" w:rsidRDefault="00D609F1">
        <w:pPr>
          <w:pStyle w:val="Footer"/>
          <w:rPr>
            <w:rFonts w:ascii="Cambria" w:hAnsi="Cambria"/>
            <w:noProof/>
            <w:color w:val="000000"/>
            <w:sz w:val="16"/>
            <w:szCs w:val="16"/>
          </w:rPr>
        </w:pPr>
        <w:r>
          <w:rPr>
            <w:rFonts w:ascii="Cambria" w:hAnsi="Cambria"/>
            <w:noProof/>
            <w:color w:val="000000"/>
            <w:sz w:val="16"/>
            <w:szCs w:val="16"/>
          </w:rPr>
          <w:t>Issue Date: July 20, 2017</w:t>
        </w:r>
      </w:p>
    </w:sdtContent>
  </w:sdt>
  <w:p w:rsidR="003B35F9" w:rsidRPr="00D609F1" w:rsidRDefault="003B35F9">
    <w:pPr>
      <w:pStyle w:val="Footer"/>
      <w:rPr>
        <w:rFonts w:ascii="Arial" w:hAnsi="Arial" w:cs="Arial"/>
      </w:rPr>
    </w:pPr>
    <w:r>
      <w:tab/>
      <w:t xml:space="preserve">  </w:t>
    </w:r>
    <w:r>
      <w:tab/>
    </w:r>
    <w:bookmarkEnd w:id="3"/>
    <w:bookmarkEnd w:id="2"/>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C51" w:rsidRDefault="00295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400" w:rsidRDefault="00EF6400" w:rsidP="00933616">
      <w:r>
        <w:separator/>
      </w:r>
    </w:p>
  </w:footnote>
  <w:footnote w:type="continuationSeparator" w:id="0">
    <w:p w:rsidR="00EF6400" w:rsidRDefault="00EF6400" w:rsidP="00933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C51" w:rsidRDefault="00295C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609F1" w:rsidTr="00295C51">
      <w:tc>
        <w:tcPr>
          <w:tcW w:w="5395" w:type="dxa"/>
        </w:tcPr>
        <w:p w:rsidR="00D609F1" w:rsidRDefault="00D609F1" w:rsidP="00D609F1">
          <w:bookmarkStart w:id="0" w:name="_Hlk488321289"/>
          <w:r w:rsidRPr="00AE4F8B">
            <w:rPr>
              <w:noProof/>
            </w:rPr>
            <w:drawing>
              <wp:inline distT="0" distB="0" distL="0" distR="0" wp14:anchorId="65A20FF1" wp14:editId="154A855E">
                <wp:extent cx="1571650" cy="5905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enetworx logo (998x375).jpg"/>
                        <pic:cNvPicPr/>
                      </pic:nvPicPr>
                      <pic:blipFill>
                        <a:blip r:embed="rId1"/>
                        <a:stretch>
                          <a:fillRect/>
                        </a:stretch>
                      </pic:blipFill>
                      <pic:spPr>
                        <a:xfrm>
                          <a:off x="0" y="0"/>
                          <a:ext cx="1599064" cy="600851"/>
                        </a:xfrm>
                        <a:prstGeom prst="rect">
                          <a:avLst/>
                        </a:prstGeom>
                      </pic:spPr>
                    </pic:pic>
                  </a:graphicData>
                </a:graphic>
              </wp:inline>
            </w:drawing>
          </w:r>
          <w:r w:rsidRPr="00AE4F8B">
            <w:rPr>
              <w:rFonts w:ascii="Arial" w:hAnsi="Arial" w:cs="Arial"/>
              <w:sz w:val="22"/>
            </w:rPr>
            <w:t xml:space="preserve">                                                                                         </w:t>
          </w:r>
          <w:r>
            <w:rPr>
              <w:rFonts w:ascii="Arial" w:hAnsi="Arial" w:cs="Arial"/>
              <w:sz w:val="22"/>
            </w:rPr>
            <w:t xml:space="preserve">                               </w:t>
          </w:r>
        </w:p>
      </w:tc>
      <w:tc>
        <w:tcPr>
          <w:tcW w:w="5395" w:type="dxa"/>
        </w:tcPr>
        <w:p w:rsidR="00D609F1" w:rsidRDefault="00D609F1" w:rsidP="00D609F1">
          <w:pPr>
            <w:jc w:val="right"/>
          </w:pPr>
          <w:r w:rsidRPr="00AE4F8B">
            <w:rPr>
              <w:rFonts w:ascii="Arial" w:hAnsi="Arial" w:cs="Arial"/>
              <w:sz w:val="22"/>
            </w:rPr>
            <w:t xml:space="preserve">                                                                                                                         Page </w:t>
          </w:r>
          <w:r w:rsidRPr="00AE4F8B">
            <w:rPr>
              <w:rFonts w:ascii="Arial" w:hAnsi="Arial" w:cs="Arial"/>
              <w:b/>
              <w:bCs/>
              <w:sz w:val="22"/>
            </w:rPr>
            <w:fldChar w:fldCharType="begin"/>
          </w:r>
          <w:r w:rsidRPr="00AE4F8B">
            <w:rPr>
              <w:rFonts w:ascii="Arial" w:hAnsi="Arial" w:cs="Arial"/>
              <w:b/>
              <w:bCs/>
              <w:sz w:val="22"/>
            </w:rPr>
            <w:instrText xml:space="preserve"> PAGE  \* Arabic  \* MERGEFORMAT </w:instrText>
          </w:r>
          <w:r w:rsidRPr="00AE4F8B">
            <w:rPr>
              <w:rFonts w:ascii="Arial" w:hAnsi="Arial" w:cs="Arial"/>
              <w:b/>
              <w:bCs/>
              <w:sz w:val="22"/>
            </w:rPr>
            <w:fldChar w:fldCharType="separate"/>
          </w:r>
          <w:r w:rsidR="00C64B97">
            <w:rPr>
              <w:rFonts w:ascii="Arial" w:hAnsi="Arial" w:cs="Arial"/>
              <w:b/>
              <w:bCs/>
              <w:noProof/>
              <w:sz w:val="22"/>
            </w:rPr>
            <w:t>1</w:t>
          </w:r>
          <w:r w:rsidRPr="00AE4F8B">
            <w:rPr>
              <w:rFonts w:ascii="Arial" w:hAnsi="Arial" w:cs="Arial"/>
              <w:b/>
              <w:bCs/>
              <w:sz w:val="22"/>
            </w:rPr>
            <w:fldChar w:fldCharType="end"/>
          </w:r>
          <w:r w:rsidRPr="00AE4F8B">
            <w:rPr>
              <w:rFonts w:ascii="Arial" w:hAnsi="Arial" w:cs="Arial"/>
              <w:sz w:val="22"/>
            </w:rPr>
            <w:t xml:space="preserve"> of </w:t>
          </w:r>
          <w:r w:rsidRPr="00AE4F8B">
            <w:rPr>
              <w:rFonts w:ascii="Arial" w:hAnsi="Arial" w:cs="Arial"/>
              <w:b/>
              <w:bCs/>
              <w:sz w:val="22"/>
            </w:rPr>
            <w:fldChar w:fldCharType="begin"/>
          </w:r>
          <w:r w:rsidRPr="00AE4F8B">
            <w:rPr>
              <w:rFonts w:ascii="Arial" w:hAnsi="Arial" w:cs="Arial"/>
              <w:b/>
              <w:bCs/>
              <w:sz w:val="22"/>
            </w:rPr>
            <w:instrText xml:space="preserve"> NUMPAGES  \* Arabic  \* MERGEFORMAT </w:instrText>
          </w:r>
          <w:r w:rsidRPr="00AE4F8B">
            <w:rPr>
              <w:rFonts w:ascii="Arial" w:hAnsi="Arial" w:cs="Arial"/>
              <w:b/>
              <w:bCs/>
              <w:sz w:val="22"/>
            </w:rPr>
            <w:fldChar w:fldCharType="separate"/>
          </w:r>
          <w:r w:rsidR="00C64B97">
            <w:rPr>
              <w:rFonts w:ascii="Arial" w:hAnsi="Arial" w:cs="Arial"/>
              <w:b/>
              <w:bCs/>
              <w:noProof/>
              <w:sz w:val="22"/>
            </w:rPr>
            <w:t>1</w:t>
          </w:r>
          <w:r w:rsidRPr="00AE4F8B">
            <w:rPr>
              <w:rFonts w:ascii="Arial" w:hAnsi="Arial" w:cs="Arial"/>
              <w:b/>
              <w:bCs/>
              <w:sz w:val="22"/>
            </w:rPr>
            <w:fldChar w:fldCharType="end"/>
          </w:r>
        </w:p>
      </w:tc>
    </w:tr>
    <w:bookmarkEnd w:id="0"/>
  </w:tbl>
  <w:p w:rsidR="003B35F9" w:rsidRPr="00CC6878" w:rsidRDefault="003B35F9" w:rsidP="00C155D8">
    <w:pPr>
      <w:pStyle w:val="Header"/>
      <w:rPr>
        <w:rFonts w:ascii="Arial" w:hAnsi="Arial" w:cs="Arial"/>
      </w:rPr>
    </w:pPr>
  </w:p>
  <w:p w:rsidR="003B35F9" w:rsidRDefault="003B35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C51" w:rsidRDefault="00295C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CF2"/>
    <w:rsid w:val="00295C51"/>
    <w:rsid w:val="0029621C"/>
    <w:rsid w:val="002E319C"/>
    <w:rsid w:val="003B35F9"/>
    <w:rsid w:val="00933616"/>
    <w:rsid w:val="00C06CF2"/>
    <w:rsid w:val="00C155D8"/>
    <w:rsid w:val="00C64B97"/>
    <w:rsid w:val="00CC6878"/>
    <w:rsid w:val="00D609F1"/>
    <w:rsid w:val="00EF6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AE4096"/>
  <w15:chartTrackingRefBased/>
  <w15:docId w15:val="{FE8AD198-A0AA-4694-BC5A-18CEDEB0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6C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155D8"/>
    <w:pPr>
      <w:tabs>
        <w:tab w:val="center" w:pos="4320"/>
        <w:tab w:val="right" w:pos="8640"/>
      </w:tabs>
    </w:pPr>
  </w:style>
  <w:style w:type="paragraph" w:styleId="Footer">
    <w:name w:val="footer"/>
    <w:basedOn w:val="Normal"/>
    <w:link w:val="FooterChar"/>
    <w:uiPriority w:val="99"/>
    <w:rsid w:val="00C155D8"/>
    <w:pPr>
      <w:tabs>
        <w:tab w:val="center" w:pos="4320"/>
        <w:tab w:val="right" w:pos="8640"/>
      </w:tabs>
    </w:pPr>
  </w:style>
  <w:style w:type="character" w:styleId="PageNumber">
    <w:name w:val="page number"/>
    <w:basedOn w:val="DefaultParagraphFont"/>
    <w:rsid w:val="00C155D8"/>
  </w:style>
  <w:style w:type="table" w:styleId="TableGrid">
    <w:name w:val="Table Grid"/>
    <w:basedOn w:val="TableNormal"/>
    <w:rsid w:val="00D60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609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SPILL RESPONSE CATEGORIES</vt:lpstr>
    </vt:vector>
  </TitlesOfParts>
  <Company>Bostwick Laboratories, Inc.</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SPILL RESPONSE CATEGORIES</dc:title>
  <dc:subject/>
  <dc:creator>lmell</dc:creator>
  <cp:keywords/>
  <dc:description/>
  <cp:lastModifiedBy>Sarah Jacobs-Helber</cp:lastModifiedBy>
  <cp:revision>5</cp:revision>
  <dcterms:created xsi:type="dcterms:W3CDTF">2016-12-06T23:18:00Z</dcterms:created>
  <dcterms:modified xsi:type="dcterms:W3CDTF">2017-07-20T18:22:00Z</dcterms:modified>
</cp:coreProperties>
</file>