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666AE" w14:textId="77777777" w:rsidR="00631B38" w:rsidRDefault="00631B38" w:rsidP="00631B38">
      <w:pPr>
        <w:pStyle w:val="TOCHeading"/>
      </w:pPr>
      <w:r>
        <w:t>Table of Contents</w:t>
      </w:r>
    </w:p>
    <w:bookmarkStart w:id="0" w:name="_GoBack"/>
    <w:bookmarkEnd w:id="0"/>
    <w:p w14:paraId="6D19AEE7" w14:textId="0B04CEC2" w:rsidR="0018407D" w:rsidRDefault="00645F1C">
      <w:pPr>
        <w:pStyle w:val="TOC1"/>
        <w:tabs>
          <w:tab w:val="left" w:pos="480"/>
          <w:tab w:val="right" w:leader="dot" w:pos="8630"/>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468786970" w:history="1">
        <w:r w:rsidR="0018407D" w:rsidRPr="008927B1">
          <w:rPr>
            <w:rStyle w:val="Hyperlink"/>
            <w:noProof/>
          </w:rPr>
          <w:t>I.</w:t>
        </w:r>
        <w:r w:rsidR="0018407D">
          <w:rPr>
            <w:rFonts w:asciiTheme="minorHAnsi" w:eastAsiaTheme="minorEastAsia" w:hAnsiTheme="minorHAnsi" w:cstheme="minorBidi"/>
            <w:noProof/>
            <w:sz w:val="22"/>
            <w:szCs w:val="22"/>
          </w:rPr>
          <w:tab/>
        </w:r>
        <w:r w:rsidR="0018407D" w:rsidRPr="008927B1">
          <w:rPr>
            <w:rStyle w:val="Hyperlink"/>
            <w:noProof/>
          </w:rPr>
          <w:t>Quality Assurance Auditor for Clinical Trials</w:t>
        </w:r>
        <w:r w:rsidR="0018407D">
          <w:rPr>
            <w:noProof/>
            <w:webHidden/>
          </w:rPr>
          <w:tab/>
        </w:r>
        <w:r w:rsidR="0018407D">
          <w:rPr>
            <w:noProof/>
            <w:webHidden/>
          </w:rPr>
          <w:fldChar w:fldCharType="begin"/>
        </w:r>
        <w:r w:rsidR="0018407D">
          <w:rPr>
            <w:noProof/>
            <w:webHidden/>
          </w:rPr>
          <w:instrText xml:space="preserve"> PAGEREF _Toc468786970 \h </w:instrText>
        </w:r>
        <w:r w:rsidR="0018407D">
          <w:rPr>
            <w:noProof/>
            <w:webHidden/>
          </w:rPr>
        </w:r>
        <w:r w:rsidR="0018407D">
          <w:rPr>
            <w:noProof/>
            <w:webHidden/>
          </w:rPr>
          <w:fldChar w:fldCharType="separate"/>
        </w:r>
        <w:r w:rsidR="0018407D">
          <w:rPr>
            <w:noProof/>
            <w:webHidden/>
          </w:rPr>
          <w:t>2</w:t>
        </w:r>
        <w:r w:rsidR="0018407D">
          <w:rPr>
            <w:noProof/>
            <w:webHidden/>
          </w:rPr>
          <w:fldChar w:fldCharType="end"/>
        </w:r>
      </w:hyperlink>
    </w:p>
    <w:p w14:paraId="0D57B6AD" w14:textId="35266B31" w:rsidR="0018407D" w:rsidRDefault="0018407D">
      <w:pPr>
        <w:pStyle w:val="TOC1"/>
        <w:tabs>
          <w:tab w:val="left" w:pos="480"/>
          <w:tab w:val="right" w:leader="dot" w:pos="8630"/>
        </w:tabs>
        <w:rPr>
          <w:rFonts w:asciiTheme="minorHAnsi" w:eastAsiaTheme="minorEastAsia" w:hAnsiTheme="minorHAnsi" w:cstheme="minorBidi"/>
          <w:noProof/>
          <w:sz w:val="22"/>
          <w:szCs w:val="22"/>
        </w:rPr>
      </w:pPr>
      <w:hyperlink w:anchor="_Toc468786971" w:history="1">
        <w:r w:rsidRPr="008927B1">
          <w:rPr>
            <w:rStyle w:val="Hyperlink"/>
            <w:noProof/>
          </w:rPr>
          <w:t>II.</w:t>
        </w:r>
        <w:r>
          <w:rPr>
            <w:rFonts w:asciiTheme="minorHAnsi" w:eastAsiaTheme="minorEastAsia" w:hAnsiTheme="minorHAnsi" w:cstheme="minorBidi"/>
            <w:noProof/>
            <w:sz w:val="22"/>
            <w:szCs w:val="22"/>
          </w:rPr>
          <w:tab/>
        </w:r>
        <w:r w:rsidRPr="008927B1">
          <w:rPr>
            <w:rStyle w:val="Hyperlink"/>
            <w:noProof/>
          </w:rPr>
          <w:t>External Audits</w:t>
        </w:r>
        <w:r>
          <w:rPr>
            <w:noProof/>
            <w:webHidden/>
          </w:rPr>
          <w:tab/>
        </w:r>
        <w:r>
          <w:rPr>
            <w:noProof/>
            <w:webHidden/>
          </w:rPr>
          <w:fldChar w:fldCharType="begin"/>
        </w:r>
        <w:r>
          <w:rPr>
            <w:noProof/>
            <w:webHidden/>
          </w:rPr>
          <w:instrText xml:space="preserve"> PAGEREF _Toc468786971 \h </w:instrText>
        </w:r>
        <w:r>
          <w:rPr>
            <w:noProof/>
            <w:webHidden/>
          </w:rPr>
        </w:r>
        <w:r>
          <w:rPr>
            <w:noProof/>
            <w:webHidden/>
          </w:rPr>
          <w:fldChar w:fldCharType="separate"/>
        </w:r>
        <w:r>
          <w:rPr>
            <w:noProof/>
            <w:webHidden/>
          </w:rPr>
          <w:t>2</w:t>
        </w:r>
        <w:r>
          <w:rPr>
            <w:noProof/>
            <w:webHidden/>
          </w:rPr>
          <w:fldChar w:fldCharType="end"/>
        </w:r>
      </w:hyperlink>
    </w:p>
    <w:p w14:paraId="7907CDE8" w14:textId="36D503FF" w:rsidR="0018407D" w:rsidRDefault="0018407D">
      <w:pPr>
        <w:pStyle w:val="TOC1"/>
        <w:tabs>
          <w:tab w:val="left" w:pos="660"/>
          <w:tab w:val="right" w:leader="dot" w:pos="8630"/>
        </w:tabs>
        <w:rPr>
          <w:rFonts w:asciiTheme="minorHAnsi" w:eastAsiaTheme="minorEastAsia" w:hAnsiTheme="minorHAnsi" w:cstheme="minorBidi"/>
          <w:noProof/>
          <w:sz w:val="22"/>
          <w:szCs w:val="22"/>
        </w:rPr>
      </w:pPr>
      <w:hyperlink w:anchor="_Toc468786972" w:history="1">
        <w:r w:rsidRPr="008927B1">
          <w:rPr>
            <w:rStyle w:val="Hyperlink"/>
            <w:noProof/>
          </w:rPr>
          <w:t>III.</w:t>
        </w:r>
        <w:r>
          <w:rPr>
            <w:rFonts w:asciiTheme="minorHAnsi" w:eastAsiaTheme="minorEastAsia" w:hAnsiTheme="minorHAnsi" w:cstheme="minorBidi"/>
            <w:noProof/>
            <w:sz w:val="22"/>
            <w:szCs w:val="22"/>
          </w:rPr>
          <w:tab/>
        </w:r>
        <w:r w:rsidRPr="008927B1">
          <w:rPr>
            <w:rStyle w:val="Hyperlink"/>
            <w:noProof/>
          </w:rPr>
          <w:t>Internal Audits</w:t>
        </w:r>
        <w:r>
          <w:rPr>
            <w:noProof/>
            <w:webHidden/>
          </w:rPr>
          <w:tab/>
        </w:r>
        <w:r>
          <w:rPr>
            <w:noProof/>
            <w:webHidden/>
          </w:rPr>
          <w:fldChar w:fldCharType="begin"/>
        </w:r>
        <w:r>
          <w:rPr>
            <w:noProof/>
            <w:webHidden/>
          </w:rPr>
          <w:instrText xml:space="preserve"> PAGEREF _Toc468786972 \h </w:instrText>
        </w:r>
        <w:r>
          <w:rPr>
            <w:noProof/>
            <w:webHidden/>
          </w:rPr>
        </w:r>
        <w:r>
          <w:rPr>
            <w:noProof/>
            <w:webHidden/>
          </w:rPr>
          <w:fldChar w:fldCharType="separate"/>
        </w:r>
        <w:r>
          <w:rPr>
            <w:noProof/>
            <w:webHidden/>
          </w:rPr>
          <w:t>3</w:t>
        </w:r>
        <w:r>
          <w:rPr>
            <w:noProof/>
            <w:webHidden/>
          </w:rPr>
          <w:fldChar w:fldCharType="end"/>
        </w:r>
      </w:hyperlink>
    </w:p>
    <w:p w14:paraId="44513F76" w14:textId="5EA14D27" w:rsidR="00631B38" w:rsidRDefault="00645F1C" w:rsidP="00F81877">
      <w:r>
        <w:fldChar w:fldCharType="end"/>
      </w:r>
    </w:p>
    <w:p w14:paraId="7BFC7658" w14:textId="77777777" w:rsidR="00631B38" w:rsidRDefault="00631B38">
      <w:r>
        <w:br w:type="page"/>
      </w:r>
    </w:p>
    <w:p w14:paraId="1F54FE10" w14:textId="77777777" w:rsidR="007A198A" w:rsidRPr="007A198A" w:rsidRDefault="007A198A" w:rsidP="007A198A"/>
    <w:p w14:paraId="1AA37B77" w14:textId="77777777" w:rsidR="007A6C73" w:rsidRDefault="007A6C73" w:rsidP="007A6C73">
      <w:pPr>
        <w:pStyle w:val="Heading1"/>
      </w:pPr>
      <w:bookmarkStart w:id="1" w:name="_Toc468786970"/>
      <w:r>
        <w:t>Quality Assurance Auditor for Clinical Trials</w:t>
      </w:r>
      <w:bookmarkEnd w:id="1"/>
    </w:p>
    <w:p w14:paraId="0CC43AEE" w14:textId="77777777" w:rsidR="007A6C73" w:rsidRPr="007A6C73" w:rsidRDefault="007A6C73" w:rsidP="007A6C73">
      <w:pPr>
        <w:pStyle w:val="Heading2"/>
      </w:pPr>
      <w:r w:rsidRPr="007A6C73">
        <w:t>P</w:t>
      </w:r>
      <w:r>
        <w:t>urpose</w:t>
      </w:r>
    </w:p>
    <w:p w14:paraId="5F1586DD" w14:textId="77777777" w:rsidR="007A6C73" w:rsidRPr="00932D7C" w:rsidRDefault="007A6C73" w:rsidP="007A6C73"/>
    <w:p w14:paraId="57E3B449" w14:textId="77777777" w:rsidR="007A6C73" w:rsidRPr="00932D7C" w:rsidRDefault="007A6C73" w:rsidP="007A6C73">
      <w:pPr>
        <w:ind w:left="360"/>
      </w:pPr>
      <w:r w:rsidRPr="00932D7C">
        <w:t xml:space="preserve">Due to additional regulatory requirements </w:t>
      </w:r>
      <w:r>
        <w:t xml:space="preserve">for </w:t>
      </w:r>
      <w:r w:rsidRPr="00932D7C">
        <w:t xml:space="preserve">clinical trial </w:t>
      </w:r>
      <w:r>
        <w:t>compliance</w:t>
      </w:r>
      <w:r w:rsidRPr="00932D7C">
        <w:t xml:space="preserve">, special Quality Assurance considerations are required. This document describes the role of the </w:t>
      </w:r>
      <w:r>
        <w:t xml:space="preserve">Independent </w:t>
      </w:r>
      <w:r w:rsidRPr="00932D7C">
        <w:t>Quality Assurance (QA) Auditor, an integral part of t</w:t>
      </w:r>
      <w:r>
        <w:t>he Clinical Trials Quality Plan.</w:t>
      </w:r>
    </w:p>
    <w:p w14:paraId="558832DA" w14:textId="77777777" w:rsidR="007A6C73" w:rsidRPr="00932D7C" w:rsidRDefault="007A6C73" w:rsidP="007A6C73"/>
    <w:p w14:paraId="6513C955" w14:textId="77777777" w:rsidR="007A6C73" w:rsidRPr="00932D7C" w:rsidRDefault="007A6C73" w:rsidP="007A6C73">
      <w:pPr>
        <w:pStyle w:val="Heading2"/>
      </w:pPr>
      <w:r w:rsidRPr="00932D7C">
        <w:t>P</w:t>
      </w:r>
      <w:r>
        <w:t>olicy</w:t>
      </w:r>
    </w:p>
    <w:p w14:paraId="431FB08C" w14:textId="77777777" w:rsidR="007A6C73" w:rsidRPr="00932D7C" w:rsidRDefault="007A6C73" w:rsidP="007A6C73"/>
    <w:p w14:paraId="31C4CF90" w14:textId="77777777" w:rsidR="007A6C73" w:rsidRPr="00932D7C" w:rsidRDefault="007A6C73" w:rsidP="007A6C73">
      <w:pPr>
        <w:ind w:left="360"/>
      </w:pPr>
      <w:r w:rsidRPr="00932D7C">
        <w:t xml:space="preserve">The </w:t>
      </w:r>
      <w:r>
        <w:t xml:space="preserve">Independent </w:t>
      </w:r>
      <w:r w:rsidRPr="00932D7C">
        <w:t>Quality Assurance (QA) Auditor</w:t>
      </w:r>
      <w:r>
        <w:t xml:space="preserve"> (known henceforth as “the QA Auditor”) </w:t>
      </w:r>
      <w:r w:rsidRPr="00932D7C">
        <w:t xml:space="preserve">will report directly to </w:t>
      </w:r>
      <w:r>
        <w:t>Corporate Counsel</w:t>
      </w:r>
      <w:r w:rsidRPr="00932D7C">
        <w:t xml:space="preserve"> </w:t>
      </w:r>
      <w:r>
        <w:t xml:space="preserve">and </w:t>
      </w:r>
      <w:r w:rsidRPr="00932D7C">
        <w:t xml:space="preserve">be independent of the Clinical Trials Department. </w:t>
      </w:r>
    </w:p>
    <w:p w14:paraId="665BA5F2" w14:textId="77777777" w:rsidR="007A6C73" w:rsidRPr="00932D7C" w:rsidRDefault="007A6C73" w:rsidP="007A6C73">
      <w:pPr>
        <w:ind w:left="360"/>
      </w:pPr>
    </w:p>
    <w:p w14:paraId="64FA1E90" w14:textId="77777777" w:rsidR="007A6C73" w:rsidRPr="00932D7C" w:rsidRDefault="007A6C73" w:rsidP="007A6C73">
      <w:pPr>
        <w:ind w:left="360"/>
      </w:pPr>
      <w:r w:rsidRPr="00932D7C">
        <w:t xml:space="preserve">The </w:t>
      </w:r>
      <w:r>
        <w:t>QA Auditor</w:t>
      </w:r>
      <w:r w:rsidRPr="00932D7C">
        <w:t xml:space="preserve"> will conduct periodic, pre-announced audits of operational and study-specific processes of the Clinical Trials Department, and of selected Laboratory and Information Technology functions that support clinical trials activities. </w:t>
      </w:r>
    </w:p>
    <w:p w14:paraId="6A73587F" w14:textId="77777777" w:rsidR="007A6C73" w:rsidRDefault="007A6C73" w:rsidP="007A6C73">
      <w:pPr>
        <w:ind w:left="360"/>
      </w:pPr>
      <w:r w:rsidRPr="00932D7C">
        <w:t>The</w:t>
      </w:r>
      <w:r>
        <w:t xml:space="preserve"> QA Auditor</w:t>
      </w:r>
      <w:r w:rsidRPr="00932D7C">
        <w:t xml:space="preserve"> will also serve as the primary host for external audits of the Clinical Trials Department by sponsors or other regulatory agencies </w:t>
      </w:r>
    </w:p>
    <w:p w14:paraId="6616E656" w14:textId="77777777" w:rsidR="007A6C73" w:rsidRDefault="007A6C73" w:rsidP="007A6C73">
      <w:pPr>
        <w:ind w:left="360"/>
      </w:pPr>
    </w:p>
    <w:p w14:paraId="178F6828" w14:textId="77777777" w:rsidR="007A6C73" w:rsidRPr="00932D7C" w:rsidRDefault="007A6C73" w:rsidP="007A6C73">
      <w:pPr>
        <w:pStyle w:val="Heading1"/>
      </w:pPr>
      <w:bookmarkStart w:id="2" w:name="_Toc468786971"/>
      <w:r>
        <w:t>External Audits</w:t>
      </w:r>
      <w:bookmarkEnd w:id="2"/>
    </w:p>
    <w:p w14:paraId="739B841F" w14:textId="77777777" w:rsidR="001E389E" w:rsidRDefault="001E389E" w:rsidP="00D723BB"/>
    <w:p w14:paraId="30287EF1" w14:textId="77777777" w:rsidR="007A6C73" w:rsidRPr="00A62D10" w:rsidRDefault="007A6C73" w:rsidP="007A6C73">
      <w:pPr>
        <w:pStyle w:val="Heading2"/>
      </w:pPr>
      <w:r w:rsidRPr="00A62D10">
        <w:t>PURPOSE</w:t>
      </w:r>
    </w:p>
    <w:p w14:paraId="1C9AA9C3" w14:textId="77777777" w:rsidR="007A6C73" w:rsidRPr="00A62D10" w:rsidRDefault="007A6C73" w:rsidP="007A6C73"/>
    <w:p w14:paraId="746F58E1" w14:textId="77777777" w:rsidR="007A6C73" w:rsidRPr="00A62D10" w:rsidRDefault="007A6C73" w:rsidP="007A6C73">
      <w:pPr>
        <w:ind w:left="360"/>
      </w:pPr>
      <w:r w:rsidRPr="00A62D10">
        <w:t xml:space="preserve">The purpose of this document is to define appropriate procedures for the </w:t>
      </w:r>
      <w:r>
        <w:t xml:space="preserve">Independent </w:t>
      </w:r>
      <w:r w:rsidRPr="00A62D10">
        <w:t>Quality Assurance (QA) Auditor in accommodating external audits or inspections of the Clinical Trials Department conducted by a sponsor or regulatory agency.</w:t>
      </w:r>
    </w:p>
    <w:p w14:paraId="6EB1B508" w14:textId="77777777" w:rsidR="007A6C73" w:rsidRPr="00A62D10" w:rsidRDefault="007A6C73" w:rsidP="007A6C73"/>
    <w:p w14:paraId="327AF981" w14:textId="77777777" w:rsidR="007A6C73" w:rsidRPr="00A62D10" w:rsidRDefault="007A6C73" w:rsidP="007A6C73"/>
    <w:p w14:paraId="32C29E9C" w14:textId="77777777" w:rsidR="007A6C73" w:rsidRPr="00A62D10" w:rsidRDefault="007A6C73" w:rsidP="007A6C73">
      <w:pPr>
        <w:pStyle w:val="Heading2"/>
      </w:pPr>
      <w:r w:rsidRPr="00A62D10">
        <w:t>PROCEDURES</w:t>
      </w:r>
    </w:p>
    <w:p w14:paraId="6F4B8ADB" w14:textId="77777777" w:rsidR="007A6C73" w:rsidRPr="00A62D10" w:rsidRDefault="007A6C73" w:rsidP="007A6C73">
      <w:pPr>
        <w:rPr>
          <w:b/>
        </w:rPr>
      </w:pPr>
    </w:p>
    <w:p w14:paraId="401AD8A3" w14:textId="77777777" w:rsidR="007A6C73" w:rsidRPr="00A62D10" w:rsidRDefault="007A6C73" w:rsidP="007A6C73">
      <w:pPr>
        <w:pStyle w:val="Heading3"/>
      </w:pPr>
      <w:r w:rsidRPr="00A62D10">
        <w:t>Audit Notification and Preparation</w:t>
      </w:r>
    </w:p>
    <w:p w14:paraId="60F5C067" w14:textId="77777777" w:rsidR="007A6C73" w:rsidRPr="00A62D10" w:rsidRDefault="007A6C73" w:rsidP="007A6C73">
      <w:pPr>
        <w:ind w:left="720"/>
      </w:pPr>
    </w:p>
    <w:p w14:paraId="4EE30B6E" w14:textId="77777777" w:rsidR="007A6C73" w:rsidRPr="00A62D10" w:rsidRDefault="007A6C73" w:rsidP="007A6C73">
      <w:pPr>
        <w:pStyle w:val="Heading4"/>
      </w:pPr>
      <w:r>
        <w:t xml:space="preserve">The VP of Clinical Research will notify the Independent QA Auditor of any audits requested by </w:t>
      </w:r>
      <w:r w:rsidRPr="00A62D10">
        <w:t>an external sponsor or regulatory agency.</w:t>
      </w:r>
    </w:p>
    <w:p w14:paraId="773A56E5" w14:textId="77777777" w:rsidR="007A6C73" w:rsidRPr="00A62D10" w:rsidRDefault="007A6C73" w:rsidP="0018407D">
      <w:pPr>
        <w:pStyle w:val="Heading4"/>
        <w:numPr>
          <w:ilvl w:val="0"/>
          <w:numId w:val="0"/>
        </w:numPr>
        <w:ind w:left="2160"/>
      </w:pPr>
    </w:p>
    <w:p w14:paraId="14248A87" w14:textId="77777777" w:rsidR="007A6C73" w:rsidRPr="00A62D10" w:rsidRDefault="007A6C73" w:rsidP="007A6C73">
      <w:pPr>
        <w:pStyle w:val="Heading4"/>
      </w:pPr>
      <w:r w:rsidRPr="00A62D10">
        <w:t xml:space="preserve">The QA Auditor is responsible for scheduling the audit, and obtaining a list of agenda items from sponsors </w:t>
      </w:r>
      <w:r w:rsidRPr="00A62D10">
        <w:lastRenderedPageBreak/>
        <w:t xml:space="preserve">with </w:t>
      </w:r>
      <w:r w:rsidRPr="00A62D10">
        <w:t>notice</w:t>
      </w:r>
      <w:r w:rsidRPr="00A62D10">
        <w:t xml:space="preserve"> as determined by contractual agreement with the sponsor.</w:t>
      </w:r>
    </w:p>
    <w:p w14:paraId="58E30FEB" w14:textId="77777777" w:rsidR="007A6C73" w:rsidRPr="00A62D10" w:rsidRDefault="007A6C73" w:rsidP="007A6C73">
      <w:pPr>
        <w:ind w:left="720"/>
      </w:pPr>
    </w:p>
    <w:p w14:paraId="19E69107" w14:textId="77777777" w:rsidR="007A6C73" w:rsidRPr="00A62D10" w:rsidRDefault="007A6C73" w:rsidP="007A6C73">
      <w:pPr>
        <w:pStyle w:val="Heading4"/>
      </w:pPr>
      <w:r w:rsidRPr="00A62D10">
        <w:t xml:space="preserve">The QA Auditor is responsible for notifying upper management of all </w:t>
      </w:r>
      <w:r>
        <w:t>RCA Laboratories</w:t>
      </w:r>
      <w:r w:rsidRPr="00A62D10">
        <w:t xml:space="preserve"> departments that will be involved, and for coordinating audit preparation efforts.</w:t>
      </w:r>
    </w:p>
    <w:p w14:paraId="3D56672D" w14:textId="77777777" w:rsidR="007A6C73" w:rsidRPr="00A62D10" w:rsidRDefault="007A6C73" w:rsidP="0018407D">
      <w:pPr>
        <w:pStyle w:val="Heading4"/>
        <w:numPr>
          <w:ilvl w:val="0"/>
          <w:numId w:val="0"/>
        </w:numPr>
        <w:ind w:left="2160"/>
      </w:pPr>
    </w:p>
    <w:p w14:paraId="36C0F494" w14:textId="77777777" w:rsidR="007A6C73" w:rsidRPr="00A62D10" w:rsidRDefault="007A6C73" w:rsidP="007A6C73">
      <w:pPr>
        <w:pStyle w:val="Heading4"/>
      </w:pPr>
      <w:r w:rsidRPr="00A62D10">
        <w:t>The QA Auditor is responsible for ensuring that appropriate documentation specifically requested by or reasonably expected to be relevant to the auditor be available during the audit (e.g. Laboratory certifications, training records, SOPs, etc.) and that appropriate personnel are available to help as needed.</w:t>
      </w:r>
      <w:r>
        <w:t xml:space="preserve">  A list of all documentation provided, will be maintained by the QA Auditor.</w:t>
      </w:r>
    </w:p>
    <w:p w14:paraId="23739354" w14:textId="77777777" w:rsidR="007A6C73" w:rsidRPr="00A62D10" w:rsidRDefault="007A6C73" w:rsidP="007A6C73">
      <w:pPr>
        <w:ind w:left="360"/>
      </w:pPr>
      <w:r w:rsidRPr="00A62D10">
        <w:tab/>
      </w:r>
    </w:p>
    <w:p w14:paraId="23E7D4E2" w14:textId="7168E695" w:rsidR="007A6C73" w:rsidRPr="00A62D10" w:rsidRDefault="007A6C73" w:rsidP="007A6C73">
      <w:pPr>
        <w:pStyle w:val="Heading3"/>
      </w:pPr>
      <w:r w:rsidRPr="00A62D10">
        <w:t>Conduct during the Audit</w:t>
      </w:r>
    </w:p>
    <w:p w14:paraId="0FDEB400" w14:textId="77777777" w:rsidR="007A6C73" w:rsidRPr="00A62D10" w:rsidRDefault="007A6C73" w:rsidP="007A6C73">
      <w:pPr>
        <w:ind w:left="720" w:hanging="360"/>
      </w:pPr>
      <w:r w:rsidRPr="00A62D10">
        <w:tab/>
      </w:r>
    </w:p>
    <w:p w14:paraId="6DAC2BEE" w14:textId="77777777" w:rsidR="007A6C73" w:rsidRPr="00A62D10" w:rsidRDefault="007A6C73" w:rsidP="007A6C73">
      <w:pPr>
        <w:pStyle w:val="Heading4"/>
      </w:pPr>
      <w:r w:rsidRPr="00A62D10">
        <w:tab/>
        <w:t>The QA Auditor will serve as the host during the audit, greeting the delegation upon their arrival and providing requested materials as appropriate.</w:t>
      </w:r>
    </w:p>
    <w:p w14:paraId="011E31B1" w14:textId="77777777" w:rsidR="007A6C73" w:rsidRPr="00A62D10" w:rsidRDefault="007A6C73" w:rsidP="0018407D">
      <w:pPr>
        <w:pStyle w:val="Heading4"/>
        <w:numPr>
          <w:ilvl w:val="0"/>
          <w:numId w:val="0"/>
        </w:numPr>
        <w:ind w:left="2160"/>
      </w:pPr>
    </w:p>
    <w:p w14:paraId="7E64F9E3" w14:textId="77777777" w:rsidR="007A6C73" w:rsidRPr="00A62D10" w:rsidRDefault="007A6C73" w:rsidP="007A6C73">
      <w:pPr>
        <w:pStyle w:val="Heading4"/>
      </w:pPr>
      <w:r w:rsidRPr="00A62D10">
        <w:tab/>
        <w:t xml:space="preserve">It is the responsibility of the QA Auditor to ensure that any outside visitors coming to </w:t>
      </w:r>
      <w:r>
        <w:t>RCA Laboratories</w:t>
      </w:r>
      <w:r w:rsidRPr="00A62D10">
        <w:t xml:space="preserve"> under the auspices of an audit have signed a current </w:t>
      </w:r>
      <w:r>
        <w:t>RCA Laboratories</w:t>
      </w:r>
      <w:r w:rsidRPr="00A62D10">
        <w:t xml:space="preserve"> Confidential</w:t>
      </w:r>
      <w:r>
        <w:t>ity Disclosure Agreement and/or a</w:t>
      </w:r>
      <w:r w:rsidRPr="007A6C73">
        <w:t xml:space="preserve"> </w:t>
      </w:r>
      <w:r>
        <w:t>RCA Laboratories</w:t>
      </w:r>
      <w:r w:rsidRPr="00A62D10">
        <w:t xml:space="preserve"> Business As</w:t>
      </w:r>
      <w:r>
        <w:t xml:space="preserve">sociate HIPAA Privacy </w:t>
      </w:r>
      <w:commentRangeStart w:id="3"/>
      <w:r>
        <w:t>Agreement</w:t>
      </w:r>
      <w:commentRangeEnd w:id="3"/>
      <w:r>
        <w:rPr>
          <w:rStyle w:val="CommentReference"/>
        </w:rPr>
        <w:commentReference w:id="3"/>
      </w:r>
      <w:r w:rsidRPr="00A62D10">
        <w:t>.</w:t>
      </w:r>
    </w:p>
    <w:p w14:paraId="6FEB9EB2" w14:textId="0FE648C1" w:rsidR="007A6C73" w:rsidRPr="00A62D10" w:rsidRDefault="007A6C73" w:rsidP="0018407D"/>
    <w:p w14:paraId="3D33FEDB" w14:textId="77777777" w:rsidR="007A6C73" w:rsidRPr="00A62D10" w:rsidRDefault="007A6C73" w:rsidP="007A6C73">
      <w:pPr>
        <w:pStyle w:val="Heading2"/>
      </w:pPr>
      <w:r w:rsidRPr="00A62D10">
        <w:t>ATTACHMENTS</w:t>
      </w:r>
    </w:p>
    <w:p w14:paraId="0EC4F4FF" w14:textId="77777777" w:rsidR="007A6C73" w:rsidRPr="00A62D10" w:rsidRDefault="007A6C73" w:rsidP="007A6C73">
      <w:pPr>
        <w:ind w:left="720" w:hanging="360"/>
      </w:pPr>
    </w:p>
    <w:p w14:paraId="34F7A185" w14:textId="77777777" w:rsidR="007A6C73" w:rsidRPr="00A62D10" w:rsidRDefault="007A6C73" w:rsidP="007A6C73">
      <w:pPr>
        <w:pStyle w:val="Heading3"/>
      </w:pPr>
      <w:r>
        <w:t xml:space="preserve">Quality Manual Attachment 9 </w:t>
      </w:r>
      <w:r w:rsidRPr="00A62D10">
        <w:t>Confident</w:t>
      </w:r>
      <w:r>
        <w:t>iality and Disclosure Agreement</w:t>
      </w:r>
    </w:p>
    <w:p w14:paraId="1AFC3EB7" w14:textId="77777777" w:rsidR="007A6C73" w:rsidRPr="00A62D10" w:rsidRDefault="007A6C73" w:rsidP="007A6C73">
      <w:pPr>
        <w:pStyle w:val="Heading3"/>
      </w:pPr>
      <w:r>
        <w:t xml:space="preserve">Quality Manual Attachment 9 </w:t>
      </w:r>
      <w:r w:rsidRPr="00A62D10">
        <w:t>Business As</w:t>
      </w:r>
      <w:r>
        <w:t>sociate HIPAA Privacy Agreement</w:t>
      </w:r>
    </w:p>
    <w:p w14:paraId="59FEAC53" w14:textId="44EE1D7D" w:rsidR="007A6C73" w:rsidRDefault="0018407D" w:rsidP="0018407D">
      <w:pPr>
        <w:pStyle w:val="Heading1"/>
      </w:pPr>
      <w:bookmarkStart w:id="4" w:name="_Toc468786972"/>
      <w:r>
        <w:t>Internal Audits</w:t>
      </w:r>
      <w:bookmarkEnd w:id="4"/>
    </w:p>
    <w:p w14:paraId="7569C835" w14:textId="77777777" w:rsidR="0018407D" w:rsidRPr="00B34944" w:rsidRDefault="0018407D" w:rsidP="0018407D">
      <w:pPr>
        <w:pStyle w:val="Heading2"/>
      </w:pPr>
      <w:r w:rsidRPr="00B34944">
        <w:t>PURPOSE</w:t>
      </w:r>
    </w:p>
    <w:p w14:paraId="76329B7A" w14:textId="77777777" w:rsidR="0018407D" w:rsidRPr="00B34944" w:rsidRDefault="0018407D" w:rsidP="0018407D"/>
    <w:p w14:paraId="0E838BD6" w14:textId="77777777" w:rsidR="0018407D" w:rsidRPr="00B34944" w:rsidRDefault="0018407D" w:rsidP="0018407D">
      <w:pPr>
        <w:ind w:left="720"/>
      </w:pPr>
      <w:r w:rsidRPr="00B34944">
        <w:t xml:space="preserve">This document describes the role of the </w:t>
      </w:r>
      <w:r>
        <w:t xml:space="preserve">Independent </w:t>
      </w:r>
      <w:r w:rsidRPr="00B34944">
        <w:t xml:space="preserve">Quality Assurance (QA) Auditor with regards to the Clinical Trials Quality Assurance Internal Audit Program.  Guidelines by which the QA Auditor will conduct and report audits of the Clinical Trials Department (CTD) and supporting laboratory functions to assess compliance with GCP, </w:t>
      </w:r>
      <w:r>
        <w:t xml:space="preserve">GLP Best Practices, </w:t>
      </w:r>
      <w:r w:rsidRPr="00B34944">
        <w:t xml:space="preserve">21 CFR Part 11, HIPAA, internal SOPs, </w:t>
      </w:r>
      <w:r>
        <w:t xml:space="preserve">protocols, </w:t>
      </w:r>
      <w:r w:rsidRPr="00B34944">
        <w:t xml:space="preserve">contractual obligations, and other applicable regulatory requirements are outlined. </w:t>
      </w:r>
    </w:p>
    <w:p w14:paraId="67985599" w14:textId="77777777" w:rsidR="0018407D" w:rsidRPr="00B34944" w:rsidRDefault="0018407D" w:rsidP="0018407D"/>
    <w:p w14:paraId="5A18CC03" w14:textId="77777777" w:rsidR="0018407D" w:rsidRPr="00B34944" w:rsidRDefault="0018407D" w:rsidP="0018407D"/>
    <w:p w14:paraId="04576B7B" w14:textId="77777777" w:rsidR="0018407D" w:rsidRPr="00B34944" w:rsidRDefault="0018407D" w:rsidP="0018407D">
      <w:pPr>
        <w:pStyle w:val="Heading2"/>
      </w:pPr>
      <w:r w:rsidRPr="00B34944">
        <w:t>PROCEDURES</w:t>
      </w:r>
    </w:p>
    <w:p w14:paraId="28C2FFBD" w14:textId="77777777" w:rsidR="0018407D" w:rsidRPr="00B34944" w:rsidRDefault="0018407D" w:rsidP="0018407D"/>
    <w:p w14:paraId="5BD9B606" w14:textId="77777777" w:rsidR="0018407D" w:rsidRPr="00B34944" w:rsidRDefault="0018407D" w:rsidP="0018407D">
      <w:pPr>
        <w:pStyle w:val="Heading3"/>
      </w:pPr>
      <w:r w:rsidRPr="00B34944">
        <w:t>Audit scheduling</w:t>
      </w:r>
    </w:p>
    <w:p w14:paraId="4A28DF24" w14:textId="77777777" w:rsidR="0018407D" w:rsidRPr="00B34944" w:rsidRDefault="0018407D" w:rsidP="0018407D">
      <w:pPr>
        <w:ind w:left="720"/>
      </w:pPr>
    </w:p>
    <w:p w14:paraId="448560F1" w14:textId="348B2B4C" w:rsidR="0018407D" w:rsidRDefault="0018407D" w:rsidP="0018407D">
      <w:pPr>
        <w:ind w:left="720"/>
      </w:pPr>
      <w:r w:rsidRPr="00B34944">
        <w:t xml:space="preserve">The </w:t>
      </w:r>
      <w:r>
        <w:t xml:space="preserve">Independent </w:t>
      </w:r>
      <w:r w:rsidRPr="00B34944">
        <w:t xml:space="preserve">QA Auditor will schedule regular, periodic audits of clinical trials and supporting operations and study-specific processes. The VP of Clinical Research and upper management of other affected </w:t>
      </w:r>
      <w:r>
        <w:t>RCA Laboratories</w:t>
      </w:r>
      <w:r w:rsidRPr="00B34944">
        <w:t xml:space="preserve"> departments will be notified in writing at least 1 week prior to the audit.</w:t>
      </w:r>
    </w:p>
    <w:p w14:paraId="4BE4CBC7" w14:textId="77777777" w:rsidR="0018407D" w:rsidRPr="00B34944" w:rsidRDefault="0018407D" w:rsidP="0018407D"/>
    <w:p w14:paraId="236A5D0C" w14:textId="77777777" w:rsidR="0018407D" w:rsidRPr="00B34944" w:rsidRDefault="0018407D" w:rsidP="0018407D">
      <w:pPr>
        <w:pStyle w:val="Heading3"/>
      </w:pPr>
      <w:r w:rsidRPr="00B34944">
        <w:t>Audit Conduct</w:t>
      </w:r>
    </w:p>
    <w:p w14:paraId="42806156" w14:textId="77777777" w:rsidR="0018407D" w:rsidRPr="00B34944" w:rsidRDefault="0018407D" w:rsidP="0018407D">
      <w:pPr>
        <w:ind w:left="720"/>
      </w:pPr>
    </w:p>
    <w:p w14:paraId="52230120" w14:textId="77777777" w:rsidR="0018407D" w:rsidRPr="00B34944" w:rsidRDefault="0018407D" w:rsidP="0018407D">
      <w:pPr>
        <w:ind w:left="720"/>
      </w:pPr>
      <w:r w:rsidRPr="00B34944">
        <w:t xml:space="preserve">Guidelines for the scope and conduct of audits of clinical trial activities are described in the Clinical Trials Internal Audit Program Guide (ATTACHMENT I). </w:t>
      </w:r>
    </w:p>
    <w:p w14:paraId="23EEFD25" w14:textId="77777777" w:rsidR="0018407D" w:rsidRPr="00B34944" w:rsidRDefault="0018407D" w:rsidP="0018407D">
      <w:pPr>
        <w:ind w:left="720"/>
      </w:pPr>
    </w:p>
    <w:p w14:paraId="22724A16" w14:textId="77777777" w:rsidR="0018407D" w:rsidRPr="00B34944" w:rsidRDefault="0018407D" w:rsidP="0018407D">
      <w:pPr>
        <w:pStyle w:val="Heading3"/>
      </w:pPr>
      <w:r w:rsidRPr="00B34944">
        <w:t>Areas subject to auditing include, but are not limited to:</w:t>
      </w:r>
    </w:p>
    <w:p w14:paraId="1590F913" w14:textId="024ABFBC" w:rsidR="0018407D" w:rsidRPr="00B34944" w:rsidRDefault="0018407D" w:rsidP="0018407D">
      <w:pPr>
        <w:pStyle w:val="Heading4"/>
      </w:pPr>
      <w:r w:rsidRPr="00B34944">
        <w:t>Registration and accessioning of Clinical Trial cases</w:t>
      </w:r>
    </w:p>
    <w:p w14:paraId="75B00186" w14:textId="77777777" w:rsidR="0018407D" w:rsidRPr="00B34944" w:rsidRDefault="0018407D" w:rsidP="0018407D">
      <w:pPr>
        <w:pStyle w:val="Heading4"/>
        <w:rPr>
          <w:color w:val="000000"/>
        </w:rPr>
      </w:pPr>
      <w:r w:rsidRPr="00B34944">
        <w:t>CTD Organizational structure, p</w:t>
      </w:r>
      <w:r w:rsidRPr="00B34944">
        <w:rPr>
          <w:color w:val="000000"/>
        </w:rPr>
        <w:t>ersonnel requirements, qualifications, training records</w:t>
      </w:r>
    </w:p>
    <w:p w14:paraId="7C3777A6" w14:textId="77777777" w:rsidR="0018407D" w:rsidRPr="00B34944" w:rsidRDefault="0018407D" w:rsidP="0018407D">
      <w:pPr>
        <w:pStyle w:val="Heading4"/>
      </w:pPr>
      <w:r w:rsidRPr="00B34944">
        <w:rPr>
          <w:color w:val="000000"/>
        </w:rPr>
        <w:t>Project management / Study-specific documentation</w:t>
      </w:r>
    </w:p>
    <w:p w14:paraId="76F612D0" w14:textId="77777777" w:rsidR="0018407D" w:rsidRPr="00B34944" w:rsidRDefault="0018407D" w:rsidP="0018407D">
      <w:pPr>
        <w:pStyle w:val="Heading4"/>
      </w:pPr>
      <w:r w:rsidRPr="00B34944">
        <w:rPr>
          <w:color w:val="000000"/>
        </w:rPr>
        <w:t>SOP development, implementation, and review</w:t>
      </w:r>
    </w:p>
    <w:p w14:paraId="593CAAF9" w14:textId="77777777" w:rsidR="0018407D" w:rsidRPr="00B34944" w:rsidRDefault="0018407D" w:rsidP="0018407D">
      <w:pPr>
        <w:pStyle w:val="Heading4"/>
      </w:pPr>
      <w:r w:rsidRPr="00B34944">
        <w:t>Histology and other laboratory processing, training, and documentation</w:t>
      </w:r>
    </w:p>
    <w:p w14:paraId="07780494" w14:textId="77777777" w:rsidR="0018407D" w:rsidRPr="00B34944" w:rsidRDefault="0018407D" w:rsidP="0018407D">
      <w:pPr>
        <w:pStyle w:val="Heading4"/>
      </w:pPr>
      <w:r w:rsidRPr="00B34944">
        <w:t>Accuracy and completeness of final reports</w:t>
      </w:r>
    </w:p>
    <w:p w14:paraId="22544762" w14:textId="77777777" w:rsidR="0018407D" w:rsidRPr="00B34944" w:rsidRDefault="0018407D" w:rsidP="0018407D">
      <w:pPr>
        <w:pStyle w:val="Heading4"/>
      </w:pPr>
      <w:r w:rsidRPr="00B34944">
        <w:t>Medical Records</w:t>
      </w:r>
    </w:p>
    <w:p w14:paraId="16433520" w14:textId="77777777" w:rsidR="0018407D" w:rsidRPr="00B34944" w:rsidRDefault="0018407D" w:rsidP="0018407D">
      <w:pPr>
        <w:pStyle w:val="Heading4"/>
      </w:pPr>
      <w:r w:rsidRPr="00B34944">
        <w:t>Shipping procedures and documentation</w:t>
      </w:r>
    </w:p>
    <w:p w14:paraId="2B59BAC8" w14:textId="77777777" w:rsidR="0018407D" w:rsidRPr="00B34944" w:rsidRDefault="0018407D" w:rsidP="0018407D">
      <w:pPr>
        <w:pStyle w:val="Heading4"/>
      </w:pPr>
      <w:r w:rsidRPr="00B34944">
        <w:t>Site query process and documentation</w:t>
      </w:r>
    </w:p>
    <w:p w14:paraId="2C5F604D" w14:textId="77777777" w:rsidR="0018407D" w:rsidRPr="00B34944" w:rsidRDefault="0018407D" w:rsidP="0018407D">
      <w:pPr>
        <w:pStyle w:val="Heading4"/>
      </w:pPr>
      <w:r w:rsidRPr="00B34944">
        <w:t>21 CFR Part 11 compliance</w:t>
      </w:r>
    </w:p>
    <w:p w14:paraId="61FE350D" w14:textId="77777777" w:rsidR="0018407D" w:rsidRPr="00B34944" w:rsidRDefault="0018407D" w:rsidP="0018407D">
      <w:pPr>
        <w:ind w:left="720"/>
      </w:pPr>
    </w:p>
    <w:p w14:paraId="70460DB5" w14:textId="249FB7DE" w:rsidR="0018407D" w:rsidRPr="00B34944" w:rsidRDefault="0018407D" w:rsidP="0018407D">
      <w:pPr>
        <w:pStyle w:val="Heading3"/>
      </w:pPr>
      <w:r w:rsidRPr="00B34944">
        <w:t xml:space="preserve">Specifics of the Clinical Trials Internal Audit Program are developed by the </w:t>
      </w:r>
      <w:r>
        <w:t xml:space="preserve">Independent </w:t>
      </w:r>
      <w:r w:rsidRPr="00B34944">
        <w:t xml:space="preserve">QA Auditor in collaboration with the CTD and the upper management of other departments of </w:t>
      </w:r>
      <w:r>
        <w:t>RCA Labs</w:t>
      </w:r>
      <w:r w:rsidRPr="00B34944">
        <w:t xml:space="preserve"> that support clinical trial activities. Ongoing development of this program will not necessarily require revision of this SOP, inquiries regarding the most current version of the program guide should be directed to the</w:t>
      </w:r>
      <w:r>
        <w:t xml:space="preserve"> Independent</w:t>
      </w:r>
      <w:r w:rsidRPr="00B34944">
        <w:t xml:space="preserve"> QA Auditor.</w:t>
      </w:r>
    </w:p>
    <w:p w14:paraId="366C9FD2" w14:textId="792298FD" w:rsidR="0018407D" w:rsidRPr="00B34944" w:rsidRDefault="0018407D" w:rsidP="0018407D"/>
    <w:p w14:paraId="003C0027" w14:textId="77777777" w:rsidR="0018407D" w:rsidRPr="00B34944" w:rsidRDefault="0018407D" w:rsidP="0018407D">
      <w:pPr>
        <w:pStyle w:val="Heading2"/>
      </w:pPr>
      <w:r w:rsidRPr="00B34944">
        <w:t>Reporting / CAPAs</w:t>
      </w:r>
    </w:p>
    <w:p w14:paraId="18DE88E0" w14:textId="77777777" w:rsidR="0018407D" w:rsidRPr="00B34944" w:rsidRDefault="0018407D" w:rsidP="0018407D"/>
    <w:p w14:paraId="2C35AF67" w14:textId="77777777" w:rsidR="0018407D" w:rsidRPr="00B34944" w:rsidRDefault="0018407D" w:rsidP="0018407D">
      <w:pPr>
        <w:pStyle w:val="Heading3"/>
      </w:pPr>
      <w:r w:rsidRPr="00B34944">
        <w:lastRenderedPageBreak/>
        <w:t xml:space="preserve">Internal Audit Reports summarizing the main findings of specific audits will be presented to the VP of Clinical </w:t>
      </w:r>
      <w:r>
        <w:t>Research</w:t>
      </w:r>
      <w:r w:rsidRPr="00B34944">
        <w:t xml:space="preserve"> and upper management of other affected </w:t>
      </w:r>
      <w:r>
        <w:t>GX</w:t>
      </w:r>
      <w:r w:rsidRPr="00B34944">
        <w:t xml:space="preserve"> departments within 2 weeks following completion of the audit. </w:t>
      </w:r>
      <w:r>
        <w:t>(See Attachment II for audit report cover page).</w:t>
      </w:r>
    </w:p>
    <w:p w14:paraId="2296C2D7" w14:textId="77777777" w:rsidR="0018407D" w:rsidRPr="00B34944" w:rsidRDefault="0018407D" w:rsidP="0018407D">
      <w:pPr>
        <w:pStyle w:val="Heading3"/>
        <w:numPr>
          <w:ilvl w:val="0"/>
          <w:numId w:val="0"/>
        </w:numPr>
        <w:ind w:left="1710"/>
      </w:pPr>
    </w:p>
    <w:p w14:paraId="0CBD758B" w14:textId="77777777" w:rsidR="0018407D" w:rsidRPr="00B34944" w:rsidRDefault="0018407D" w:rsidP="0018407D">
      <w:pPr>
        <w:pStyle w:val="Heading3"/>
      </w:pPr>
      <w:r w:rsidRPr="00B34944">
        <w:t xml:space="preserve">Specific instances of any errors, omissions, or other violations of SOPs or relevant regulatory requirements and recommendations for dealing with them will be documented with the issuance of Corrective and Preventable Actions (CAPAs), using the form provided in ATTACHMENT </w:t>
      </w:r>
      <w:r>
        <w:t>III</w:t>
      </w:r>
    </w:p>
    <w:p w14:paraId="5B531B41" w14:textId="77777777" w:rsidR="0018407D" w:rsidRPr="00B34944" w:rsidRDefault="0018407D" w:rsidP="0018407D">
      <w:pPr>
        <w:pStyle w:val="Heading3"/>
        <w:numPr>
          <w:ilvl w:val="0"/>
          <w:numId w:val="0"/>
        </w:numPr>
        <w:ind w:left="1710"/>
      </w:pPr>
    </w:p>
    <w:p w14:paraId="1E496A93" w14:textId="77777777" w:rsidR="0018407D" w:rsidRDefault="0018407D" w:rsidP="0018407D">
      <w:pPr>
        <w:pStyle w:val="Heading3"/>
      </w:pPr>
      <w:r>
        <w:t xml:space="preserve">The audit report and or CAPAs are issued to the VP of Clinical Research, and the Clinical Trial Quality Management Team designee who will co-ordinate resolution of the issue.  A response and or resolution is expected to occur within 30 days of issuance of the CAPA.  </w:t>
      </w:r>
    </w:p>
    <w:p w14:paraId="018A5AB4" w14:textId="77777777" w:rsidR="0018407D" w:rsidRDefault="0018407D" w:rsidP="0018407D">
      <w:pPr>
        <w:pStyle w:val="Heading3"/>
        <w:numPr>
          <w:ilvl w:val="0"/>
          <w:numId w:val="0"/>
        </w:numPr>
        <w:ind w:left="1710"/>
      </w:pPr>
    </w:p>
    <w:p w14:paraId="33C661F1" w14:textId="77777777" w:rsidR="0018407D" w:rsidRDefault="0018407D" w:rsidP="0018407D">
      <w:pPr>
        <w:pStyle w:val="Heading3"/>
      </w:pPr>
      <w:r>
        <w:t xml:space="preserve">The audit report and or CAPAs relating to inter-departmental issues will be forwarded to the VP of Clinical Research and the appropriate upper management in the affected department. A response and or resolution is expected to occur within 30 days of issuance of the CAPA.  </w:t>
      </w:r>
    </w:p>
    <w:p w14:paraId="5CA81705" w14:textId="77777777" w:rsidR="0018407D" w:rsidRDefault="0018407D" w:rsidP="0018407D">
      <w:pPr>
        <w:pStyle w:val="Heading3"/>
        <w:numPr>
          <w:ilvl w:val="0"/>
          <w:numId w:val="0"/>
        </w:numPr>
        <w:ind w:left="1710"/>
      </w:pPr>
    </w:p>
    <w:p w14:paraId="3787F033" w14:textId="77777777" w:rsidR="0018407D" w:rsidRPr="00B34944" w:rsidRDefault="0018407D" w:rsidP="0018407D">
      <w:pPr>
        <w:pStyle w:val="Heading3"/>
      </w:pPr>
      <w:r w:rsidRPr="00B34944">
        <w:t>Internal Audit Reports and CAPAs are for internal use only, and will not be shared with external entities without written permission from the VP of Clin</w:t>
      </w:r>
      <w:r>
        <w:t>i</w:t>
      </w:r>
      <w:r w:rsidRPr="00B34944">
        <w:t>cal Research. If requested by the FDA, written certification that these audits have been implemented, performed, and documented and that any required corrective action has been taken will be provided, as outlined in the FDA’s guidance document on FDA access to Results of Quality Assurance Program Audits and Inspections (CPG 7151.02).</w:t>
      </w:r>
    </w:p>
    <w:p w14:paraId="75169A5C" w14:textId="77777777" w:rsidR="0018407D" w:rsidRPr="00B34944" w:rsidRDefault="0018407D" w:rsidP="0018407D">
      <w:pPr>
        <w:pStyle w:val="Heading3"/>
        <w:numPr>
          <w:ilvl w:val="0"/>
          <w:numId w:val="0"/>
        </w:numPr>
        <w:ind w:left="1710"/>
      </w:pPr>
    </w:p>
    <w:p w14:paraId="7F2CA059" w14:textId="77777777" w:rsidR="0018407D" w:rsidRPr="00B34944" w:rsidRDefault="0018407D" w:rsidP="0018407D">
      <w:pPr>
        <w:pStyle w:val="Heading3"/>
      </w:pPr>
      <w:r w:rsidRPr="00B34944">
        <w:t xml:space="preserve">Documentation of all audit activities, reports, CAPAs, and audit closure will be maintained by </w:t>
      </w:r>
      <w:r>
        <w:t>the Independent QA Auditor</w:t>
      </w:r>
      <w:r w:rsidRPr="00B34944">
        <w:t xml:space="preserve">.  </w:t>
      </w:r>
    </w:p>
    <w:p w14:paraId="1A25CEB0" w14:textId="34A8E52F" w:rsidR="00DC2676" w:rsidRDefault="00DC2676" w:rsidP="0018407D">
      <w:pPr>
        <w:pStyle w:val="Heading1"/>
        <w:numPr>
          <w:ilvl w:val="0"/>
          <w:numId w:val="0"/>
        </w:numPr>
      </w:pPr>
    </w:p>
    <w:p w14:paraId="4E6CFC4A" w14:textId="77777777" w:rsidR="0018407D" w:rsidRPr="00D723BB" w:rsidRDefault="0018407D" w:rsidP="00D723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5389"/>
        <w:gridCol w:w="1711"/>
      </w:tblGrid>
      <w:tr w:rsidR="009134C9" w:rsidRPr="00080602" w14:paraId="3B75BBDE" w14:textId="77777777" w:rsidTr="00AC4EB9">
        <w:trPr>
          <w:trHeight w:val="432"/>
        </w:trPr>
        <w:tc>
          <w:tcPr>
            <w:tcW w:w="1530" w:type="dxa"/>
            <w:vAlign w:val="center"/>
          </w:tcPr>
          <w:p w14:paraId="3776E3F2" w14:textId="77777777" w:rsidR="009134C9" w:rsidRPr="00080602" w:rsidRDefault="009134C9" w:rsidP="00645F1C">
            <w:pPr>
              <w:jc w:val="both"/>
              <w:rPr>
                <w:rFonts w:cs="Arial"/>
              </w:rPr>
            </w:pPr>
            <w:r w:rsidRPr="00080602">
              <w:rPr>
                <w:rFonts w:cs="Arial"/>
              </w:rPr>
              <w:t>Revision Number</w:t>
            </w:r>
          </w:p>
        </w:tc>
        <w:tc>
          <w:tcPr>
            <w:tcW w:w="5389" w:type="dxa"/>
            <w:vAlign w:val="center"/>
          </w:tcPr>
          <w:p w14:paraId="6713829E" w14:textId="77777777" w:rsidR="009134C9" w:rsidRPr="00080602" w:rsidRDefault="009134C9" w:rsidP="00645F1C">
            <w:pPr>
              <w:jc w:val="both"/>
              <w:rPr>
                <w:rFonts w:cs="Arial"/>
              </w:rPr>
            </w:pPr>
            <w:r w:rsidRPr="00080602">
              <w:rPr>
                <w:rFonts w:cs="Arial"/>
              </w:rPr>
              <w:t>Reason for Revision</w:t>
            </w:r>
          </w:p>
        </w:tc>
        <w:tc>
          <w:tcPr>
            <w:tcW w:w="1711" w:type="dxa"/>
            <w:vAlign w:val="center"/>
          </w:tcPr>
          <w:p w14:paraId="7286E114" w14:textId="77777777" w:rsidR="009134C9" w:rsidRPr="00080602" w:rsidRDefault="009134C9" w:rsidP="00645F1C">
            <w:pPr>
              <w:jc w:val="both"/>
              <w:rPr>
                <w:rFonts w:cs="Arial"/>
              </w:rPr>
            </w:pPr>
            <w:r w:rsidRPr="00080602">
              <w:rPr>
                <w:rFonts w:cs="Arial"/>
              </w:rPr>
              <w:t>Effective Date</w:t>
            </w:r>
          </w:p>
        </w:tc>
      </w:tr>
      <w:tr w:rsidR="009134C9" w:rsidRPr="00080602" w14:paraId="638D09FE" w14:textId="77777777" w:rsidTr="00AC4EB9">
        <w:trPr>
          <w:trHeight w:val="432"/>
        </w:trPr>
        <w:tc>
          <w:tcPr>
            <w:tcW w:w="1530" w:type="dxa"/>
            <w:vAlign w:val="center"/>
          </w:tcPr>
          <w:p w14:paraId="2EB51A60" w14:textId="77777777" w:rsidR="009134C9" w:rsidRPr="00080602" w:rsidRDefault="009134C9" w:rsidP="00645F1C">
            <w:pPr>
              <w:jc w:val="both"/>
              <w:rPr>
                <w:rFonts w:cs="Arial"/>
              </w:rPr>
            </w:pPr>
            <w:r w:rsidRPr="00080602">
              <w:rPr>
                <w:rFonts w:cs="Arial"/>
              </w:rPr>
              <w:t>0</w:t>
            </w:r>
          </w:p>
        </w:tc>
        <w:tc>
          <w:tcPr>
            <w:tcW w:w="5389" w:type="dxa"/>
            <w:vAlign w:val="center"/>
          </w:tcPr>
          <w:p w14:paraId="74C1AFD6" w14:textId="77777777" w:rsidR="009134C9" w:rsidRPr="00080602" w:rsidRDefault="00AC4EB9" w:rsidP="00645F1C">
            <w:pPr>
              <w:jc w:val="both"/>
              <w:rPr>
                <w:rFonts w:cs="Arial"/>
              </w:rPr>
            </w:pPr>
            <w:r>
              <w:rPr>
                <w:rFonts w:cs="Arial"/>
              </w:rPr>
              <w:t>Change company name and SOP number, reformat Quality System, Add CEO signature Line, clarification of record retention policy</w:t>
            </w:r>
          </w:p>
        </w:tc>
        <w:tc>
          <w:tcPr>
            <w:tcW w:w="1711" w:type="dxa"/>
            <w:vAlign w:val="center"/>
          </w:tcPr>
          <w:p w14:paraId="45839236" w14:textId="77777777" w:rsidR="009134C9" w:rsidRPr="00080602" w:rsidRDefault="009134C9" w:rsidP="00645F1C">
            <w:pPr>
              <w:jc w:val="both"/>
              <w:rPr>
                <w:rFonts w:cs="Arial"/>
              </w:rPr>
            </w:pPr>
            <w:r>
              <w:rPr>
                <w:rFonts w:cs="Arial"/>
              </w:rPr>
              <w:t>Upon Signature</w:t>
            </w:r>
            <w:r w:rsidR="00AC4EB9">
              <w:rPr>
                <w:rFonts w:cs="Arial"/>
              </w:rPr>
              <w:t>s</w:t>
            </w:r>
          </w:p>
        </w:tc>
      </w:tr>
    </w:tbl>
    <w:p w14:paraId="34C53016" w14:textId="77777777" w:rsidR="006B646F" w:rsidRPr="005D1222" w:rsidRDefault="006B646F">
      <w:pPr>
        <w:rPr>
          <w:rFonts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1"/>
        <w:gridCol w:w="2651"/>
      </w:tblGrid>
      <w:tr w:rsidR="006B646F" w:rsidRPr="005D1222" w14:paraId="469CE1CD" w14:textId="77777777" w:rsidTr="005D1222">
        <w:trPr>
          <w:trHeight w:val="341"/>
        </w:trPr>
        <w:tc>
          <w:tcPr>
            <w:tcW w:w="6019" w:type="dxa"/>
          </w:tcPr>
          <w:p w14:paraId="0BD29B87" w14:textId="77777777" w:rsidR="006B646F" w:rsidRPr="005D1222" w:rsidRDefault="006B646F">
            <w:pPr>
              <w:jc w:val="center"/>
              <w:rPr>
                <w:rFonts w:cs="Arial"/>
                <w:b/>
                <w:bCs/>
              </w:rPr>
            </w:pPr>
            <w:r w:rsidRPr="005D1222">
              <w:rPr>
                <w:rFonts w:cs="Arial"/>
                <w:b/>
                <w:bCs/>
              </w:rPr>
              <w:lastRenderedPageBreak/>
              <w:t>Reviewed by:</w:t>
            </w:r>
          </w:p>
        </w:tc>
        <w:tc>
          <w:tcPr>
            <w:tcW w:w="2713" w:type="dxa"/>
          </w:tcPr>
          <w:p w14:paraId="29A55439" w14:textId="77777777" w:rsidR="006B646F" w:rsidRPr="005D1222" w:rsidRDefault="006B646F">
            <w:pPr>
              <w:jc w:val="center"/>
              <w:rPr>
                <w:rFonts w:cs="Arial"/>
                <w:b/>
                <w:bCs/>
              </w:rPr>
            </w:pPr>
            <w:r w:rsidRPr="005D1222">
              <w:rPr>
                <w:rFonts w:cs="Arial"/>
                <w:b/>
                <w:bCs/>
              </w:rPr>
              <w:t>Date</w:t>
            </w:r>
          </w:p>
        </w:tc>
      </w:tr>
      <w:tr w:rsidR="006B646F" w:rsidRPr="005D1222" w14:paraId="5F7AF415" w14:textId="77777777" w:rsidTr="005D1222">
        <w:trPr>
          <w:trHeight w:val="341"/>
        </w:trPr>
        <w:tc>
          <w:tcPr>
            <w:tcW w:w="6019" w:type="dxa"/>
          </w:tcPr>
          <w:p w14:paraId="0B8F602D" w14:textId="77777777" w:rsidR="006B646F" w:rsidRPr="005D1222" w:rsidRDefault="006B646F">
            <w:pPr>
              <w:rPr>
                <w:rFonts w:cs="Arial"/>
                <w:b/>
                <w:bCs/>
              </w:rPr>
            </w:pPr>
          </w:p>
        </w:tc>
        <w:tc>
          <w:tcPr>
            <w:tcW w:w="2713" w:type="dxa"/>
          </w:tcPr>
          <w:p w14:paraId="166944A4" w14:textId="77777777" w:rsidR="006B646F" w:rsidRPr="005D1222" w:rsidRDefault="006B646F">
            <w:pPr>
              <w:rPr>
                <w:rFonts w:cs="Arial"/>
                <w:b/>
                <w:bCs/>
              </w:rPr>
            </w:pPr>
          </w:p>
        </w:tc>
      </w:tr>
      <w:tr w:rsidR="006B646F" w:rsidRPr="005D1222" w14:paraId="2987F005" w14:textId="77777777" w:rsidTr="005D1222">
        <w:trPr>
          <w:trHeight w:val="341"/>
        </w:trPr>
        <w:tc>
          <w:tcPr>
            <w:tcW w:w="6019" w:type="dxa"/>
          </w:tcPr>
          <w:p w14:paraId="0AF2C5CA" w14:textId="77777777" w:rsidR="006B646F" w:rsidRPr="005D1222" w:rsidRDefault="006B646F">
            <w:pPr>
              <w:rPr>
                <w:rFonts w:cs="Arial"/>
                <w:b/>
                <w:bCs/>
              </w:rPr>
            </w:pPr>
          </w:p>
        </w:tc>
        <w:tc>
          <w:tcPr>
            <w:tcW w:w="2713" w:type="dxa"/>
          </w:tcPr>
          <w:p w14:paraId="1E9A8909" w14:textId="77777777" w:rsidR="006B646F" w:rsidRPr="005D1222" w:rsidRDefault="006B646F">
            <w:pPr>
              <w:rPr>
                <w:rFonts w:cs="Arial"/>
                <w:b/>
                <w:bCs/>
              </w:rPr>
            </w:pPr>
          </w:p>
        </w:tc>
      </w:tr>
      <w:tr w:rsidR="006B646F" w:rsidRPr="005D1222" w14:paraId="4A8D1E3F" w14:textId="77777777" w:rsidTr="005D1222">
        <w:trPr>
          <w:trHeight w:val="341"/>
        </w:trPr>
        <w:tc>
          <w:tcPr>
            <w:tcW w:w="6019" w:type="dxa"/>
          </w:tcPr>
          <w:p w14:paraId="5F0FA9CF" w14:textId="77777777" w:rsidR="006B646F" w:rsidRPr="005D1222" w:rsidRDefault="006B646F">
            <w:pPr>
              <w:rPr>
                <w:rFonts w:cs="Arial"/>
                <w:b/>
                <w:bCs/>
              </w:rPr>
            </w:pPr>
          </w:p>
        </w:tc>
        <w:tc>
          <w:tcPr>
            <w:tcW w:w="2713" w:type="dxa"/>
          </w:tcPr>
          <w:p w14:paraId="76F25AAA" w14:textId="77777777" w:rsidR="006B646F" w:rsidRPr="005D1222" w:rsidRDefault="006B646F">
            <w:pPr>
              <w:rPr>
                <w:rFonts w:cs="Arial"/>
                <w:b/>
                <w:bCs/>
              </w:rPr>
            </w:pPr>
          </w:p>
        </w:tc>
      </w:tr>
      <w:tr w:rsidR="006B646F" w:rsidRPr="005D1222" w14:paraId="7D7BF24C" w14:textId="77777777" w:rsidTr="005D1222">
        <w:trPr>
          <w:trHeight w:val="341"/>
        </w:trPr>
        <w:tc>
          <w:tcPr>
            <w:tcW w:w="6019" w:type="dxa"/>
          </w:tcPr>
          <w:p w14:paraId="22CE45B5" w14:textId="77777777" w:rsidR="006B646F" w:rsidRPr="005D1222" w:rsidRDefault="006B646F">
            <w:pPr>
              <w:rPr>
                <w:rFonts w:cs="Arial"/>
                <w:b/>
                <w:bCs/>
              </w:rPr>
            </w:pPr>
          </w:p>
        </w:tc>
        <w:tc>
          <w:tcPr>
            <w:tcW w:w="2713" w:type="dxa"/>
          </w:tcPr>
          <w:p w14:paraId="5E54FD08" w14:textId="77777777" w:rsidR="006B646F" w:rsidRPr="005D1222" w:rsidRDefault="006B646F">
            <w:pPr>
              <w:rPr>
                <w:rFonts w:cs="Arial"/>
                <w:b/>
                <w:bCs/>
              </w:rPr>
            </w:pPr>
          </w:p>
        </w:tc>
      </w:tr>
      <w:tr w:rsidR="006B646F" w:rsidRPr="005D1222" w14:paraId="0A4CD702" w14:textId="77777777" w:rsidTr="005D1222">
        <w:trPr>
          <w:trHeight w:val="341"/>
        </w:trPr>
        <w:tc>
          <w:tcPr>
            <w:tcW w:w="6019" w:type="dxa"/>
          </w:tcPr>
          <w:p w14:paraId="170B3803" w14:textId="77777777" w:rsidR="006B646F" w:rsidRPr="005D1222" w:rsidRDefault="006B646F">
            <w:pPr>
              <w:rPr>
                <w:rFonts w:cs="Arial"/>
                <w:b/>
                <w:bCs/>
              </w:rPr>
            </w:pPr>
          </w:p>
        </w:tc>
        <w:tc>
          <w:tcPr>
            <w:tcW w:w="2713" w:type="dxa"/>
          </w:tcPr>
          <w:p w14:paraId="24707BDF" w14:textId="77777777" w:rsidR="006B646F" w:rsidRPr="005D1222" w:rsidRDefault="006B646F">
            <w:pPr>
              <w:rPr>
                <w:rFonts w:cs="Arial"/>
                <w:b/>
                <w:bCs/>
              </w:rPr>
            </w:pPr>
          </w:p>
        </w:tc>
      </w:tr>
      <w:tr w:rsidR="005D1222" w:rsidRPr="005D1222" w14:paraId="6719B0CA" w14:textId="77777777" w:rsidTr="005D1222">
        <w:trPr>
          <w:trHeight w:val="341"/>
        </w:trPr>
        <w:tc>
          <w:tcPr>
            <w:tcW w:w="6019" w:type="dxa"/>
          </w:tcPr>
          <w:p w14:paraId="40E115A8" w14:textId="77777777" w:rsidR="005D1222" w:rsidRPr="005D1222" w:rsidRDefault="005D1222">
            <w:pPr>
              <w:rPr>
                <w:rFonts w:cs="Arial"/>
                <w:b/>
                <w:bCs/>
              </w:rPr>
            </w:pPr>
          </w:p>
        </w:tc>
        <w:tc>
          <w:tcPr>
            <w:tcW w:w="2713" w:type="dxa"/>
          </w:tcPr>
          <w:p w14:paraId="1608B523" w14:textId="77777777" w:rsidR="005D1222" w:rsidRPr="005D1222" w:rsidRDefault="005D1222">
            <w:pPr>
              <w:rPr>
                <w:rFonts w:cs="Arial"/>
                <w:b/>
                <w:bCs/>
              </w:rPr>
            </w:pPr>
          </w:p>
        </w:tc>
      </w:tr>
      <w:tr w:rsidR="005D1222" w:rsidRPr="005D1222" w14:paraId="0184FD13" w14:textId="77777777" w:rsidTr="005D1222">
        <w:trPr>
          <w:trHeight w:val="359"/>
        </w:trPr>
        <w:tc>
          <w:tcPr>
            <w:tcW w:w="6019" w:type="dxa"/>
          </w:tcPr>
          <w:p w14:paraId="5FA0349C" w14:textId="77777777" w:rsidR="005D1222" w:rsidRPr="005D1222" w:rsidRDefault="005D1222">
            <w:pPr>
              <w:rPr>
                <w:rFonts w:cs="Arial"/>
                <w:b/>
                <w:bCs/>
              </w:rPr>
            </w:pPr>
          </w:p>
        </w:tc>
        <w:tc>
          <w:tcPr>
            <w:tcW w:w="2713" w:type="dxa"/>
          </w:tcPr>
          <w:p w14:paraId="200F2ED9" w14:textId="77777777" w:rsidR="005D1222" w:rsidRPr="005D1222" w:rsidRDefault="005D1222">
            <w:pPr>
              <w:rPr>
                <w:rFonts w:cs="Arial"/>
                <w:b/>
                <w:bCs/>
              </w:rPr>
            </w:pPr>
          </w:p>
        </w:tc>
      </w:tr>
    </w:tbl>
    <w:p w14:paraId="65ED64E4" w14:textId="77777777" w:rsidR="006B646F" w:rsidRPr="005D1222" w:rsidRDefault="006B646F">
      <w:pPr>
        <w:rPr>
          <w:rFonts w:cs="Arial"/>
          <w:b/>
          <w:bCs/>
        </w:rPr>
      </w:pPr>
    </w:p>
    <w:p w14:paraId="5F44785D" w14:textId="77777777" w:rsidR="006B646F" w:rsidRPr="005D1222" w:rsidRDefault="006B646F">
      <w:pPr>
        <w:rPr>
          <w:rFonts w:cs="Arial"/>
          <w:color w:val="FF0000"/>
        </w:rPr>
      </w:pPr>
    </w:p>
    <w:sectPr w:rsidR="006B646F" w:rsidRPr="005D1222" w:rsidSect="008A5E19">
      <w:headerReference w:type="default" r:id="rId10"/>
      <w:footerReference w:type="default" r:id="rId11"/>
      <w:headerReference w:type="first" r:id="rId12"/>
      <w:pgSz w:w="12240" w:h="15840"/>
      <w:pgMar w:top="446" w:right="1800" w:bottom="1440" w:left="180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arah Jacobs-Helber" w:date="2016-12-06T11:02:00Z" w:initials="SJ">
    <w:p w14:paraId="0132D855" w14:textId="77777777" w:rsidR="007A6C73" w:rsidRDefault="007A6C73">
      <w:pPr>
        <w:pStyle w:val="CommentText"/>
      </w:pPr>
      <w:r>
        <w:rPr>
          <w:rStyle w:val="CommentReference"/>
        </w:rPr>
        <w:annotationRef/>
      </w:r>
      <w:r>
        <w:t>Get Confidentiality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32D855"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51A1A" w14:textId="77777777" w:rsidR="00645F1C" w:rsidRDefault="00645F1C" w:rsidP="006B646F">
      <w:r>
        <w:separator/>
      </w:r>
    </w:p>
  </w:endnote>
  <w:endnote w:type="continuationSeparator" w:id="0">
    <w:p w14:paraId="466CC72C" w14:textId="77777777" w:rsidR="00645F1C" w:rsidRDefault="00645F1C" w:rsidP="006B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705460"/>
      <w:docPartObj>
        <w:docPartGallery w:val="Page Numbers (Bottom of Page)"/>
        <w:docPartUnique/>
      </w:docPartObj>
    </w:sdtPr>
    <w:sdtEndPr/>
    <w:sdtContent>
      <w:sdt>
        <w:sdtPr>
          <w:id w:val="-1769616900"/>
          <w:docPartObj>
            <w:docPartGallery w:val="Page Numbers (Top of Page)"/>
            <w:docPartUnique/>
          </w:docPartObj>
        </w:sdtPr>
        <w:sdtEndPr/>
        <w:sdtContent>
          <w:p w14:paraId="385D6F34" w14:textId="7AEF572F" w:rsidR="00645F1C" w:rsidRDefault="00645F1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8407D">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8407D">
              <w:rPr>
                <w:b/>
                <w:bCs/>
                <w:noProof/>
              </w:rPr>
              <w:t>6</w:t>
            </w:r>
            <w:r>
              <w:rPr>
                <w:b/>
                <w:bCs/>
                <w:szCs w:val="24"/>
              </w:rPr>
              <w:fldChar w:fldCharType="end"/>
            </w:r>
          </w:p>
        </w:sdtContent>
      </w:sdt>
    </w:sdtContent>
  </w:sdt>
  <w:p w14:paraId="737FE705" w14:textId="77777777" w:rsidR="00645F1C" w:rsidRDefault="0064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88BFE" w14:textId="77777777" w:rsidR="00645F1C" w:rsidRDefault="00645F1C" w:rsidP="006B646F">
      <w:r>
        <w:separator/>
      </w:r>
    </w:p>
  </w:footnote>
  <w:footnote w:type="continuationSeparator" w:id="0">
    <w:p w14:paraId="086B21A4" w14:textId="77777777" w:rsidR="00645F1C" w:rsidRDefault="00645F1C" w:rsidP="006B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7"/>
      <w:gridCol w:w="2403"/>
    </w:tblGrid>
    <w:tr w:rsidR="00645F1C" w:rsidRPr="00F81877" w14:paraId="4EC8A0A0" w14:textId="77777777" w:rsidTr="00645F1C">
      <w:trPr>
        <w:trHeight w:val="559"/>
      </w:trPr>
      <w:tc>
        <w:tcPr>
          <w:tcW w:w="6408" w:type="dxa"/>
        </w:tcPr>
        <w:p w14:paraId="6938A698" w14:textId="77777777" w:rsidR="00645F1C" w:rsidRPr="00F81877" w:rsidRDefault="00645F1C" w:rsidP="005D1222">
          <w:pPr>
            <w:rPr>
              <w:rFonts w:cs="Arial"/>
            </w:rPr>
          </w:pPr>
          <w:bookmarkStart w:id="5" w:name="OLE_LINK1"/>
          <w:r w:rsidRPr="00F81877">
            <w:rPr>
              <w:rFonts w:cs="Arial"/>
              <w:b/>
            </w:rPr>
            <w:t>Procedure name</w:t>
          </w:r>
          <w:r w:rsidRPr="00F81877">
            <w:rPr>
              <w:rFonts w:cs="Arial"/>
            </w:rPr>
            <w:t>:</w:t>
          </w:r>
        </w:p>
        <w:p w14:paraId="3D5C132C" w14:textId="77777777" w:rsidR="00645F1C" w:rsidRPr="00F81877" w:rsidRDefault="00F3364B" w:rsidP="005D1222">
          <w:pPr>
            <w:rPr>
              <w:rFonts w:cs="Arial"/>
            </w:rPr>
          </w:pPr>
          <w:r>
            <w:rPr>
              <w:rFonts w:cs="Arial"/>
            </w:rPr>
            <w:t>Quality Assurance for Clinical Trials</w:t>
          </w:r>
        </w:p>
      </w:tc>
      <w:tc>
        <w:tcPr>
          <w:tcW w:w="2448" w:type="dxa"/>
        </w:tcPr>
        <w:p w14:paraId="105865CA" w14:textId="77777777" w:rsidR="00645F1C" w:rsidRPr="00F81877" w:rsidRDefault="00645F1C" w:rsidP="005D1222">
          <w:pPr>
            <w:rPr>
              <w:rFonts w:cs="Arial"/>
            </w:rPr>
          </w:pPr>
          <w:r w:rsidRPr="00F81877">
            <w:rPr>
              <w:rFonts w:cs="Arial"/>
              <w:b/>
            </w:rPr>
            <w:t>Number</w:t>
          </w:r>
          <w:r w:rsidRPr="00F81877">
            <w:rPr>
              <w:rFonts w:cs="Arial"/>
            </w:rPr>
            <w:t>:</w:t>
          </w:r>
        </w:p>
        <w:p w14:paraId="2A45B1F4" w14:textId="77777777" w:rsidR="00645F1C" w:rsidRPr="00F81877" w:rsidRDefault="00F3364B" w:rsidP="005D1222">
          <w:pPr>
            <w:rPr>
              <w:rFonts w:cs="Arial"/>
            </w:rPr>
          </w:pPr>
          <w:r>
            <w:rPr>
              <w:rFonts w:cs="Arial"/>
            </w:rPr>
            <w:t>QP 8</w:t>
          </w:r>
          <w:r w:rsidR="00645F1C" w:rsidRPr="00F81877">
            <w:rPr>
              <w:rFonts w:cs="Arial"/>
            </w:rPr>
            <w:t>00.</w:t>
          </w:r>
          <w:r w:rsidR="008279E5">
            <w:rPr>
              <w:rFonts w:cs="Arial"/>
            </w:rPr>
            <w:t>0</w:t>
          </w:r>
        </w:p>
      </w:tc>
    </w:tr>
    <w:tr w:rsidR="00645F1C" w:rsidRPr="005D1222" w14:paraId="03441694" w14:textId="77777777" w:rsidTr="00645F1C">
      <w:trPr>
        <w:trHeight w:val="559"/>
      </w:trPr>
      <w:tc>
        <w:tcPr>
          <w:tcW w:w="6408" w:type="dxa"/>
          <w:tcBorders>
            <w:bottom w:val="single" w:sz="4" w:space="0" w:color="auto"/>
          </w:tcBorders>
        </w:tcPr>
        <w:p w14:paraId="01C702CE" w14:textId="77777777" w:rsidR="00645F1C" w:rsidRPr="00F81877" w:rsidRDefault="00645F1C" w:rsidP="005D1222">
          <w:pPr>
            <w:rPr>
              <w:rFonts w:cs="Arial"/>
            </w:rPr>
          </w:pPr>
          <w:r w:rsidRPr="00F81877">
            <w:rPr>
              <w:rFonts w:cs="Arial"/>
              <w:b/>
            </w:rPr>
            <w:t>Effective Date</w:t>
          </w:r>
          <w:r w:rsidRPr="00F81877">
            <w:rPr>
              <w:rFonts w:cs="Arial"/>
            </w:rPr>
            <w:t>:</w:t>
          </w:r>
        </w:p>
        <w:p w14:paraId="4AC342CC" w14:textId="77777777" w:rsidR="00645F1C" w:rsidRPr="00F81877" w:rsidRDefault="00645F1C" w:rsidP="005D1222">
          <w:pPr>
            <w:rPr>
              <w:rFonts w:cs="Arial"/>
            </w:rPr>
          </w:pPr>
          <w:r w:rsidRPr="00F81877">
            <w:rPr>
              <w:rFonts w:cs="Arial"/>
            </w:rPr>
            <w:t>Upon approval signature</w:t>
          </w:r>
        </w:p>
      </w:tc>
      <w:tc>
        <w:tcPr>
          <w:tcW w:w="2448" w:type="dxa"/>
          <w:tcBorders>
            <w:bottom w:val="single" w:sz="4" w:space="0" w:color="auto"/>
          </w:tcBorders>
        </w:tcPr>
        <w:p w14:paraId="3FE65B29" w14:textId="77777777" w:rsidR="00645F1C" w:rsidRPr="005D1222" w:rsidRDefault="00645F1C" w:rsidP="005D1222">
          <w:pPr>
            <w:rPr>
              <w:rFonts w:cs="Arial"/>
            </w:rPr>
          </w:pPr>
        </w:p>
      </w:tc>
    </w:tr>
  </w:tbl>
  <w:bookmarkEnd w:id="5"/>
  <w:p w14:paraId="6622E7B5" w14:textId="77777777" w:rsidR="00645F1C" w:rsidRPr="005D1222" w:rsidRDefault="00645F1C" w:rsidP="005D1222">
    <w:pPr>
      <w:pStyle w:val="Header"/>
      <w:tabs>
        <w:tab w:val="clear" w:pos="4320"/>
        <w:tab w:val="clear" w:pos="8640"/>
        <w:tab w:val="left" w:pos="4905"/>
      </w:tabs>
      <w:rPr>
        <w:rFonts w:cs="Arial"/>
      </w:rPr>
    </w:pPr>
    <w:r w:rsidRPr="005D1222">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E027" w14:textId="77777777" w:rsidR="00645F1C" w:rsidRDefault="00FD2357" w:rsidP="005D1222">
    <w:pPr>
      <w:pStyle w:val="Header"/>
      <w:jc w:val="center"/>
    </w:pPr>
    <w:r w:rsidRPr="004D66CF">
      <w:rPr>
        <w:rFonts w:cs="Arial"/>
        <w:noProof/>
      </w:rPr>
      <w:drawing>
        <wp:inline distT="0" distB="0" distL="0" distR="0" wp14:anchorId="270E9B71" wp14:editId="766E1364">
          <wp:extent cx="2190750" cy="914400"/>
          <wp:effectExtent l="0" t="0" r="0" b="0"/>
          <wp:docPr id="1" name="Picture 1" descr="R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91440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1133"/>
      <w:gridCol w:w="2361"/>
    </w:tblGrid>
    <w:tr w:rsidR="00645F1C" w:rsidRPr="00F81877" w14:paraId="0DBF35F3" w14:textId="77777777" w:rsidTr="00F81877">
      <w:trPr>
        <w:trHeight w:val="377"/>
        <w:jc w:val="center"/>
      </w:trPr>
      <w:tc>
        <w:tcPr>
          <w:tcW w:w="6269" w:type="dxa"/>
          <w:gridSpan w:val="2"/>
          <w:tcBorders>
            <w:bottom w:val="single" w:sz="4" w:space="0" w:color="auto"/>
          </w:tcBorders>
        </w:tcPr>
        <w:p w14:paraId="24E12CE9" w14:textId="77777777" w:rsidR="00645F1C" w:rsidRPr="00F81877" w:rsidRDefault="00645F1C" w:rsidP="005D1222">
          <w:pPr>
            <w:rPr>
              <w:rFonts w:cs="Arial"/>
              <w:b/>
            </w:rPr>
          </w:pPr>
          <w:r w:rsidRPr="00F81877">
            <w:rPr>
              <w:rFonts w:cs="Arial"/>
              <w:b/>
            </w:rPr>
            <w:t>Procedure name:</w:t>
          </w:r>
        </w:p>
        <w:p w14:paraId="6D849A1E" w14:textId="77777777" w:rsidR="00645F1C" w:rsidRPr="00F81877" w:rsidRDefault="007A6C73" w:rsidP="005D1222">
          <w:pPr>
            <w:rPr>
              <w:rFonts w:cs="Arial"/>
            </w:rPr>
          </w:pPr>
          <w:r>
            <w:rPr>
              <w:rFonts w:cs="Arial"/>
            </w:rPr>
            <w:t>Quality Assurance for Clinical Trials</w:t>
          </w:r>
        </w:p>
      </w:tc>
      <w:tc>
        <w:tcPr>
          <w:tcW w:w="2361" w:type="dxa"/>
          <w:tcBorders>
            <w:bottom w:val="single" w:sz="4" w:space="0" w:color="auto"/>
          </w:tcBorders>
        </w:tcPr>
        <w:p w14:paraId="131968F0" w14:textId="77777777" w:rsidR="00645F1C" w:rsidRPr="00F81877" w:rsidRDefault="00645F1C" w:rsidP="005D1222">
          <w:pPr>
            <w:rPr>
              <w:rFonts w:cs="Arial"/>
              <w:b/>
            </w:rPr>
          </w:pPr>
          <w:r w:rsidRPr="00F81877">
            <w:rPr>
              <w:rFonts w:cs="Arial"/>
              <w:b/>
            </w:rPr>
            <w:t>Number:</w:t>
          </w:r>
        </w:p>
        <w:p w14:paraId="50DB725D" w14:textId="77777777" w:rsidR="00645F1C" w:rsidRPr="00F81877" w:rsidRDefault="007A6C73" w:rsidP="005D1222">
          <w:pPr>
            <w:rPr>
              <w:rFonts w:cs="Arial"/>
            </w:rPr>
          </w:pPr>
          <w:r>
            <w:rPr>
              <w:rFonts w:cs="Arial"/>
            </w:rPr>
            <w:t>QP 8</w:t>
          </w:r>
          <w:r w:rsidR="00645F1C" w:rsidRPr="00F81877">
            <w:rPr>
              <w:rFonts w:cs="Arial"/>
            </w:rPr>
            <w:t>00.</w:t>
          </w:r>
          <w:r w:rsidR="006759C5">
            <w:rPr>
              <w:rFonts w:cs="Arial"/>
            </w:rPr>
            <w:t>0</w:t>
          </w:r>
        </w:p>
      </w:tc>
    </w:tr>
    <w:tr w:rsidR="00645F1C" w:rsidRPr="00F81877" w14:paraId="6E5BF402" w14:textId="77777777" w:rsidTr="00F81877">
      <w:trPr>
        <w:jc w:val="center"/>
      </w:trPr>
      <w:tc>
        <w:tcPr>
          <w:tcW w:w="5136" w:type="dxa"/>
          <w:shd w:val="clear" w:color="auto" w:fill="E6E6E6"/>
        </w:tcPr>
        <w:p w14:paraId="7B856EC9" w14:textId="77777777" w:rsidR="00645F1C" w:rsidRPr="00F81877" w:rsidRDefault="00645F1C" w:rsidP="005D1222">
          <w:pPr>
            <w:rPr>
              <w:rFonts w:cs="Arial"/>
            </w:rPr>
          </w:pPr>
          <w:r w:rsidRPr="00F81877">
            <w:rPr>
              <w:rFonts w:cs="Arial"/>
            </w:rPr>
            <w:t>Written by:</w:t>
          </w:r>
        </w:p>
      </w:tc>
      <w:tc>
        <w:tcPr>
          <w:tcW w:w="3494" w:type="dxa"/>
          <w:gridSpan w:val="2"/>
          <w:shd w:val="clear" w:color="auto" w:fill="E6E6E6"/>
        </w:tcPr>
        <w:p w14:paraId="48F8081C" w14:textId="77777777" w:rsidR="00645F1C" w:rsidRPr="00F81877" w:rsidRDefault="00645F1C" w:rsidP="005D1222">
          <w:pPr>
            <w:rPr>
              <w:rFonts w:cs="Arial"/>
            </w:rPr>
          </w:pPr>
          <w:r w:rsidRPr="00F81877">
            <w:rPr>
              <w:rFonts w:cs="Arial"/>
            </w:rPr>
            <w:t>Date:</w:t>
          </w:r>
        </w:p>
      </w:tc>
    </w:tr>
    <w:tr w:rsidR="00645F1C" w:rsidRPr="00F81877" w14:paraId="171A1767" w14:textId="77777777" w:rsidTr="00F81877">
      <w:trPr>
        <w:jc w:val="center"/>
      </w:trPr>
      <w:tc>
        <w:tcPr>
          <w:tcW w:w="5136" w:type="dxa"/>
          <w:tcBorders>
            <w:bottom w:val="single" w:sz="4" w:space="0" w:color="auto"/>
          </w:tcBorders>
        </w:tcPr>
        <w:p w14:paraId="58ACE8C3" w14:textId="77777777" w:rsidR="00645F1C" w:rsidRPr="00F81877" w:rsidRDefault="00645F1C" w:rsidP="005D1222">
          <w:pPr>
            <w:rPr>
              <w:rFonts w:cs="Arial"/>
            </w:rPr>
          </w:pPr>
          <w:r w:rsidRPr="00F81877">
            <w:rPr>
              <w:rFonts w:cs="Arial"/>
            </w:rPr>
            <w:t xml:space="preserve">    Bill Miller</w:t>
          </w:r>
        </w:p>
      </w:tc>
      <w:tc>
        <w:tcPr>
          <w:tcW w:w="3494" w:type="dxa"/>
          <w:gridSpan w:val="2"/>
          <w:tcBorders>
            <w:bottom w:val="single" w:sz="4" w:space="0" w:color="auto"/>
          </w:tcBorders>
        </w:tcPr>
        <w:p w14:paraId="7C6A5A60" w14:textId="77777777" w:rsidR="00645F1C" w:rsidRPr="00F81877" w:rsidRDefault="00645F1C" w:rsidP="005D1222">
          <w:pPr>
            <w:rPr>
              <w:rFonts w:cs="Arial"/>
            </w:rPr>
          </w:pPr>
          <w:r w:rsidRPr="00F81877">
            <w:rPr>
              <w:rFonts w:cs="Arial"/>
            </w:rPr>
            <w:t>07/01/2013</w:t>
          </w:r>
        </w:p>
      </w:tc>
    </w:tr>
    <w:tr w:rsidR="00645F1C" w:rsidRPr="00F81877" w14:paraId="3C6DCF0F" w14:textId="77777777" w:rsidTr="00F81877">
      <w:trPr>
        <w:trHeight w:val="209"/>
        <w:jc w:val="center"/>
      </w:trPr>
      <w:tc>
        <w:tcPr>
          <w:tcW w:w="5136" w:type="dxa"/>
          <w:shd w:val="clear" w:color="auto" w:fill="E6E6E6"/>
        </w:tcPr>
        <w:p w14:paraId="5F008E14" w14:textId="77777777" w:rsidR="00645F1C" w:rsidRPr="00F81877" w:rsidRDefault="00645F1C" w:rsidP="005D1222">
          <w:pPr>
            <w:tabs>
              <w:tab w:val="right" w:pos="4932"/>
            </w:tabs>
            <w:rPr>
              <w:rFonts w:cs="Arial"/>
            </w:rPr>
          </w:pPr>
          <w:r w:rsidRPr="00F81877">
            <w:rPr>
              <w:rFonts w:cs="Arial"/>
            </w:rPr>
            <w:t>Revised by:</w:t>
          </w:r>
          <w:r w:rsidRPr="00F81877">
            <w:rPr>
              <w:rFonts w:cs="Arial"/>
            </w:rPr>
            <w:tab/>
          </w:r>
        </w:p>
      </w:tc>
      <w:tc>
        <w:tcPr>
          <w:tcW w:w="3494" w:type="dxa"/>
          <w:gridSpan w:val="2"/>
          <w:shd w:val="clear" w:color="auto" w:fill="E6E6E6"/>
        </w:tcPr>
        <w:p w14:paraId="33576FEE" w14:textId="77777777" w:rsidR="00645F1C" w:rsidRPr="00F81877" w:rsidRDefault="00645F1C" w:rsidP="005D1222">
          <w:pPr>
            <w:rPr>
              <w:rFonts w:cs="Arial"/>
            </w:rPr>
          </w:pPr>
          <w:r w:rsidRPr="00F81877">
            <w:rPr>
              <w:rFonts w:cs="Arial"/>
            </w:rPr>
            <w:t>Date:</w:t>
          </w:r>
        </w:p>
      </w:tc>
    </w:tr>
    <w:tr w:rsidR="00645F1C" w:rsidRPr="00F81877" w14:paraId="7A3321CC" w14:textId="77777777" w:rsidTr="00F81877">
      <w:trPr>
        <w:jc w:val="center"/>
      </w:trPr>
      <w:tc>
        <w:tcPr>
          <w:tcW w:w="5136" w:type="dxa"/>
          <w:tcBorders>
            <w:bottom w:val="single" w:sz="4" w:space="0" w:color="auto"/>
          </w:tcBorders>
        </w:tcPr>
        <w:p w14:paraId="5BAD44DE" w14:textId="77777777" w:rsidR="00645F1C" w:rsidRPr="00F81877" w:rsidRDefault="00645F1C" w:rsidP="005D1222">
          <w:pPr>
            <w:rPr>
              <w:rFonts w:cs="Arial"/>
            </w:rPr>
          </w:pPr>
          <w:r w:rsidRPr="00F81877">
            <w:rPr>
              <w:rFonts w:cs="Arial"/>
            </w:rPr>
            <w:t xml:space="preserve">    Sarah Jacobs-Helber</w:t>
          </w:r>
        </w:p>
      </w:tc>
      <w:tc>
        <w:tcPr>
          <w:tcW w:w="3494" w:type="dxa"/>
          <w:gridSpan w:val="2"/>
          <w:tcBorders>
            <w:bottom w:val="single" w:sz="4" w:space="0" w:color="auto"/>
          </w:tcBorders>
        </w:tcPr>
        <w:p w14:paraId="2137F15C" w14:textId="77777777" w:rsidR="00645F1C" w:rsidRPr="00F81877" w:rsidRDefault="00645F1C" w:rsidP="005D1222">
          <w:pPr>
            <w:rPr>
              <w:rFonts w:cs="Arial"/>
            </w:rPr>
          </w:pPr>
          <w:r>
            <w:rPr>
              <w:rFonts w:cs="Arial"/>
            </w:rPr>
            <w:t>12/05/2016</w:t>
          </w:r>
        </w:p>
      </w:tc>
    </w:tr>
    <w:tr w:rsidR="00645F1C" w:rsidRPr="00F81877" w14:paraId="2594EDA6" w14:textId="77777777" w:rsidTr="00F81877">
      <w:trPr>
        <w:jc w:val="center"/>
      </w:trPr>
      <w:tc>
        <w:tcPr>
          <w:tcW w:w="5136" w:type="dxa"/>
          <w:shd w:val="clear" w:color="auto" w:fill="E0E0E0"/>
        </w:tcPr>
        <w:p w14:paraId="16A484F9" w14:textId="77777777" w:rsidR="00645F1C" w:rsidRPr="00F81877" w:rsidRDefault="00645F1C" w:rsidP="005D1222">
          <w:pPr>
            <w:rPr>
              <w:rFonts w:cs="Arial"/>
            </w:rPr>
          </w:pPr>
          <w:r>
            <w:rPr>
              <w:rFonts w:cs="Arial"/>
            </w:rPr>
            <w:t>Approved by (Chief Executive Officer):</w:t>
          </w:r>
        </w:p>
      </w:tc>
      <w:tc>
        <w:tcPr>
          <w:tcW w:w="3494" w:type="dxa"/>
          <w:gridSpan w:val="2"/>
          <w:shd w:val="clear" w:color="auto" w:fill="E0E0E0"/>
        </w:tcPr>
        <w:p w14:paraId="408E13A8" w14:textId="77777777" w:rsidR="00645F1C" w:rsidRPr="00F81877" w:rsidRDefault="00645F1C" w:rsidP="005D1222">
          <w:pPr>
            <w:rPr>
              <w:rFonts w:cs="Arial"/>
            </w:rPr>
          </w:pPr>
          <w:r>
            <w:rPr>
              <w:rFonts w:cs="Arial"/>
            </w:rPr>
            <w:t>Date</w:t>
          </w:r>
        </w:p>
      </w:tc>
    </w:tr>
    <w:tr w:rsidR="00645F1C" w:rsidRPr="00F81877" w14:paraId="64D42858" w14:textId="77777777" w:rsidTr="00F81877">
      <w:trPr>
        <w:trHeight w:val="458"/>
        <w:jc w:val="center"/>
      </w:trPr>
      <w:tc>
        <w:tcPr>
          <w:tcW w:w="5136" w:type="dxa"/>
        </w:tcPr>
        <w:p w14:paraId="5D6DB612" w14:textId="77777777" w:rsidR="00645F1C" w:rsidRPr="00F81877" w:rsidRDefault="00645F1C" w:rsidP="005D1222">
          <w:pPr>
            <w:rPr>
              <w:rFonts w:cs="Arial"/>
            </w:rPr>
          </w:pPr>
        </w:p>
      </w:tc>
      <w:tc>
        <w:tcPr>
          <w:tcW w:w="3494" w:type="dxa"/>
          <w:gridSpan w:val="2"/>
        </w:tcPr>
        <w:p w14:paraId="54EEB64A" w14:textId="77777777" w:rsidR="00645F1C" w:rsidRPr="00F81877" w:rsidRDefault="00645F1C" w:rsidP="005D1222">
          <w:pPr>
            <w:rPr>
              <w:rFonts w:cs="Arial"/>
            </w:rPr>
          </w:pPr>
        </w:p>
      </w:tc>
    </w:tr>
    <w:tr w:rsidR="00645F1C" w:rsidRPr="00F81877" w14:paraId="30403290" w14:textId="77777777" w:rsidTr="00F81877">
      <w:trPr>
        <w:trHeight w:val="227"/>
        <w:jc w:val="center"/>
      </w:trPr>
      <w:tc>
        <w:tcPr>
          <w:tcW w:w="5136" w:type="dxa"/>
          <w:shd w:val="clear" w:color="auto" w:fill="D9D9D9" w:themeFill="background1" w:themeFillShade="D9"/>
        </w:tcPr>
        <w:p w14:paraId="3A1CB4A6" w14:textId="77777777" w:rsidR="00645F1C" w:rsidRPr="00F81877" w:rsidRDefault="00645F1C" w:rsidP="00F81877">
          <w:pPr>
            <w:rPr>
              <w:rFonts w:cs="Arial"/>
            </w:rPr>
          </w:pPr>
          <w:r w:rsidRPr="00F81877">
            <w:rPr>
              <w:rFonts w:cs="Arial"/>
            </w:rPr>
            <w:t>Approved by (Laboratory Director):</w:t>
          </w:r>
        </w:p>
      </w:tc>
      <w:tc>
        <w:tcPr>
          <w:tcW w:w="3494" w:type="dxa"/>
          <w:gridSpan w:val="2"/>
          <w:shd w:val="clear" w:color="auto" w:fill="D9D9D9" w:themeFill="background1" w:themeFillShade="D9"/>
        </w:tcPr>
        <w:p w14:paraId="7A4B27BB" w14:textId="77777777" w:rsidR="00645F1C" w:rsidRPr="00F81877" w:rsidRDefault="00645F1C" w:rsidP="00F81877">
          <w:pPr>
            <w:rPr>
              <w:rFonts w:cs="Arial"/>
            </w:rPr>
          </w:pPr>
          <w:r w:rsidRPr="00F81877">
            <w:rPr>
              <w:rFonts w:cs="Arial"/>
            </w:rPr>
            <w:t>Effective Date:</w:t>
          </w:r>
        </w:p>
      </w:tc>
    </w:tr>
    <w:tr w:rsidR="00645F1C" w:rsidRPr="00F81877" w14:paraId="2CE150EB" w14:textId="77777777" w:rsidTr="00F81877">
      <w:trPr>
        <w:trHeight w:val="458"/>
        <w:jc w:val="center"/>
      </w:trPr>
      <w:tc>
        <w:tcPr>
          <w:tcW w:w="5136" w:type="dxa"/>
          <w:tcBorders>
            <w:bottom w:val="single" w:sz="4" w:space="0" w:color="auto"/>
          </w:tcBorders>
        </w:tcPr>
        <w:p w14:paraId="29E07B15" w14:textId="77777777" w:rsidR="00645F1C" w:rsidRPr="00F81877" w:rsidRDefault="00645F1C" w:rsidP="00F81877">
          <w:pPr>
            <w:rPr>
              <w:rFonts w:cs="Arial"/>
            </w:rPr>
          </w:pPr>
        </w:p>
      </w:tc>
      <w:tc>
        <w:tcPr>
          <w:tcW w:w="3494" w:type="dxa"/>
          <w:gridSpan w:val="2"/>
        </w:tcPr>
        <w:p w14:paraId="23DE9405" w14:textId="77777777" w:rsidR="00645F1C" w:rsidRPr="00F81877" w:rsidRDefault="00645F1C" w:rsidP="00F81877">
          <w:pPr>
            <w:rPr>
              <w:rFonts w:cs="Arial"/>
            </w:rPr>
          </w:pPr>
        </w:p>
      </w:tc>
    </w:tr>
  </w:tbl>
  <w:p w14:paraId="5AEA1DB0" w14:textId="77777777" w:rsidR="00645F1C" w:rsidRDefault="00645F1C" w:rsidP="005D1222">
    <w:pPr>
      <w:pStyle w:val="Header"/>
    </w:pPr>
  </w:p>
  <w:p w14:paraId="6281CC5E" w14:textId="77777777" w:rsidR="00645F1C" w:rsidRDefault="0064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710"/>
    <w:multiLevelType w:val="hybridMultilevel"/>
    <w:tmpl w:val="E8CC85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21261"/>
    <w:multiLevelType w:val="hybridMultilevel"/>
    <w:tmpl w:val="7B6EC5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DA64A1"/>
    <w:multiLevelType w:val="hybridMultilevel"/>
    <w:tmpl w:val="7B9EC5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775337"/>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621AB5"/>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0A4A3B"/>
    <w:multiLevelType w:val="hybridMultilevel"/>
    <w:tmpl w:val="987C4C86"/>
    <w:lvl w:ilvl="0" w:tplc="0409000F">
      <w:start w:val="1"/>
      <w:numFmt w:val="decimal"/>
      <w:lvlText w:val="%1."/>
      <w:lvlJc w:val="left"/>
      <w:pPr>
        <w:tabs>
          <w:tab w:val="num" w:pos="360"/>
        </w:tabs>
        <w:ind w:left="360" w:hanging="360"/>
      </w:pPr>
      <w:rPr>
        <w:rFonts w:hint="default"/>
      </w:rPr>
    </w:lvl>
    <w:lvl w:ilvl="1" w:tplc="29807E74">
      <w:start w:val="1"/>
      <w:numFmt w:val="upperRoman"/>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E7253A0"/>
    <w:multiLevelType w:val="hybridMultilevel"/>
    <w:tmpl w:val="317021E0"/>
    <w:lvl w:ilvl="0" w:tplc="C9CE6E9C">
      <w:start w:val="1"/>
      <w:numFmt w:val="decimal"/>
      <w:lvlText w:val="%1."/>
      <w:lvlJc w:val="left"/>
      <w:pPr>
        <w:tabs>
          <w:tab w:val="num" w:pos="1440"/>
        </w:tabs>
        <w:ind w:left="1440" w:hanging="360"/>
      </w:pPr>
      <w:rPr>
        <w:rFonts w:hint="default"/>
        <w:color w:val="auto"/>
      </w:rPr>
    </w:lvl>
    <w:lvl w:ilvl="1" w:tplc="1F6E12B0">
      <w:start w:val="2"/>
      <w:numFmt w:val="upp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F0D1E12"/>
    <w:multiLevelType w:val="hybridMultilevel"/>
    <w:tmpl w:val="9D8EF624"/>
    <w:lvl w:ilvl="0" w:tplc="907C5F1C">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F8C0E82"/>
    <w:multiLevelType w:val="hybridMultilevel"/>
    <w:tmpl w:val="7780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0D31D8"/>
    <w:multiLevelType w:val="hybridMultilevel"/>
    <w:tmpl w:val="B162A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D7075E"/>
    <w:multiLevelType w:val="hybridMultilevel"/>
    <w:tmpl w:val="69D2151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AED235E"/>
    <w:multiLevelType w:val="hybridMultilevel"/>
    <w:tmpl w:val="EFE6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333A6"/>
    <w:multiLevelType w:val="hybridMultilevel"/>
    <w:tmpl w:val="13ECA25A"/>
    <w:lvl w:ilvl="0" w:tplc="907C5F1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2653554"/>
    <w:multiLevelType w:val="multilevel"/>
    <w:tmpl w:val="2EF606C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710" w:firstLine="0"/>
      </w:pPr>
      <w:rPr>
        <w:b w:val="0"/>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2A6936FE"/>
    <w:multiLevelType w:val="hybridMultilevel"/>
    <w:tmpl w:val="D2AA7E50"/>
    <w:lvl w:ilvl="0" w:tplc="1884F7B0">
      <w:start w:val="1"/>
      <w:numFmt w:val="decimal"/>
      <w:lvlText w:val="%1."/>
      <w:lvlJc w:val="left"/>
      <w:pPr>
        <w:tabs>
          <w:tab w:val="num" w:pos="1080"/>
        </w:tabs>
        <w:ind w:left="1080" w:hanging="360"/>
      </w:pPr>
      <w:rPr>
        <w:rFonts w:hint="default"/>
      </w:rPr>
    </w:lvl>
    <w:lvl w:ilvl="1" w:tplc="4004656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ED4A3C"/>
    <w:multiLevelType w:val="hybridMultilevel"/>
    <w:tmpl w:val="69D2151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7C4370"/>
    <w:multiLevelType w:val="hybridMultilevel"/>
    <w:tmpl w:val="DF8CBE0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7" w15:restartNumberingAfterBreak="0">
    <w:nsid w:val="3A284DD9"/>
    <w:multiLevelType w:val="hybridMultilevel"/>
    <w:tmpl w:val="A50094F4"/>
    <w:lvl w:ilvl="0" w:tplc="11C2AED6">
      <w:start w:val="1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11C2AED6">
      <w:start w:val="1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026C86"/>
    <w:multiLevelType w:val="hybridMultilevel"/>
    <w:tmpl w:val="4F303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6603D4"/>
    <w:multiLevelType w:val="hybridMultilevel"/>
    <w:tmpl w:val="BBE4BE74"/>
    <w:lvl w:ilvl="0" w:tplc="1884F7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8A2CBE"/>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9D34333"/>
    <w:multiLevelType w:val="hybridMultilevel"/>
    <w:tmpl w:val="63149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F70B1"/>
    <w:multiLevelType w:val="hybridMultilevel"/>
    <w:tmpl w:val="5034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7185A"/>
    <w:multiLevelType w:val="hybridMultilevel"/>
    <w:tmpl w:val="E8687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650F56"/>
    <w:multiLevelType w:val="hybridMultilevel"/>
    <w:tmpl w:val="2BCEC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714DB2"/>
    <w:multiLevelType w:val="hybridMultilevel"/>
    <w:tmpl w:val="B6184A28"/>
    <w:lvl w:ilvl="0" w:tplc="EC1CA13A">
      <w:start w:val="1"/>
      <w:numFmt w:val="decimal"/>
      <w:lvlText w:val="%1."/>
      <w:lvlJc w:val="left"/>
      <w:pPr>
        <w:tabs>
          <w:tab w:val="num" w:pos="1080"/>
        </w:tabs>
        <w:ind w:left="1080" w:hanging="360"/>
      </w:pPr>
      <w:rPr>
        <w:rFonts w:hint="default"/>
      </w:rPr>
    </w:lvl>
    <w:lvl w:ilvl="1" w:tplc="11C2AED6">
      <w:start w:val="1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6DC5BE6"/>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70032E6"/>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9775258"/>
    <w:multiLevelType w:val="hybridMultilevel"/>
    <w:tmpl w:val="69D215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D174F65"/>
    <w:multiLevelType w:val="hybridMultilevel"/>
    <w:tmpl w:val="0CE65034"/>
    <w:lvl w:ilvl="0" w:tplc="2A10FF5E">
      <w:start w:val="1"/>
      <w:numFmt w:val="decimal"/>
      <w:lvlText w:val="%1."/>
      <w:lvlJc w:val="left"/>
      <w:pPr>
        <w:tabs>
          <w:tab w:val="num" w:pos="1080"/>
        </w:tabs>
        <w:ind w:left="1080" w:hanging="360"/>
      </w:pPr>
      <w:rPr>
        <w:rFonts w:hint="default"/>
      </w:rPr>
    </w:lvl>
    <w:lvl w:ilvl="1" w:tplc="59FC6B66">
      <w:numFmt w:val="none"/>
      <w:lvlText w:val=""/>
      <w:lvlJc w:val="left"/>
      <w:pPr>
        <w:tabs>
          <w:tab w:val="num" w:pos="360"/>
        </w:tabs>
      </w:pPr>
    </w:lvl>
    <w:lvl w:ilvl="2" w:tplc="CAF6C25E">
      <w:numFmt w:val="none"/>
      <w:lvlText w:val=""/>
      <w:lvlJc w:val="left"/>
      <w:pPr>
        <w:tabs>
          <w:tab w:val="num" w:pos="360"/>
        </w:tabs>
      </w:pPr>
    </w:lvl>
    <w:lvl w:ilvl="3" w:tplc="186C6D4E">
      <w:numFmt w:val="none"/>
      <w:lvlText w:val=""/>
      <w:lvlJc w:val="left"/>
      <w:pPr>
        <w:tabs>
          <w:tab w:val="num" w:pos="360"/>
        </w:tabs>
      </w:pPr>
    </w:lvl>
    <w:lvl w:ilvl="4" w:tplc="B2D89832">
      <w:numFmt w:val="none"/>
      <w:lvlText w:val=""/>
      <w:lvlJc w:val="left"/>
      <w:pPr>
        <w:tabs>
          <w:tab w:val="num" w:pos="360"/>
        </w:tabs>
      </w:pPr>
    </w:lvl>
    <w:lvl w:ilvl="5" w:tplc="4636F30A">
      <w:numFmt w:val="none"/>
      <w:lvlText w:val=""/>
      <w:lvlJc w:val="left"/>
      <w:pPr>
        <w:tabs>
          <w:tab w:val="num" w:pos="360"/>
        </w:tabs>
      </w:pPr>
    </w:lvl>
    <w:lvl w:ilvl="6" w:tplc="6502801A">
      <w:numFmt w:val="none"/>
      <w:lvlText w:val=""/>
      <w:lvlJc w:val="left"/>
      <w:pPr>
        <w:tabs>
          <w:tab w:val="num" w:pos="360"/>
        </w:tabs>
      </w:pPr>
    </w:lvl>
    <w:lvl w:ilvl="7" w:tplc="F4C4BCC0">
      <w:numFmt w:val="none"/>
      <w:lvlText w:val=""/>
      <w:lvlJc w:val="left"/>
      <w:pPr>
        <w:tabs>
          <w:tab w:val="num" w:pos="360"/>
        </w:tabs>
      </w:pPr>
    </w:lvl>
    <w:lvl w:ilvl="8" w:tplc="B45A6770">
      <w:numFmt w:val="none"/>
      <w:lvlText w:val=""/>
      <w:lvlJc w:val="left"/>
      <w:pPr>
        <w:tabs>
          <w:tab w:val="num" w:pos="360"/>
        </w:tabs>
      </w:pPr>
    </w:lvl>
  </w:abstractNum>
  <w:abstractNum w:abstractNumId="30" w15:restartNumberingAfterBreak="0">
    <w:nsid w:val="6D603F48"/>
    <w:multiLevelType w:val="hybridMultilevel"/>
    <w:tmpl w:val="BBE4BE74"/>
    <w:lvl w:ilvl="0" w:tplc="1884F7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6A901AB"/>
    <w:multiLevelType w:val="hybridMultilevel"/>
    <w:tmpl w:val="3666636C"/>
    <w:lvl w:ilvl="0" w:tplc="04090007">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788F4833"/>
    <w:multiLevelType w:val="hybridMultilevel"/>
    <w:tmpl w:val="35E606B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3" w15:restartNumberingAfterBreak="0">
    <w:nsid w:val="7BBE02C0"/>
    <w:multiLevelType w:val="hybridMultilevel"/>
    <w:tmpl w:val="7AF8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10"/>
  </w:num>
  <w:num w:numId="4">
    <w:abstractNumId w:val="24"/>
  </w:num>
  <w:num w:numId="5">
    <w:abstractNumId w:val="13"/>
  </w:num>
  <w:num w:numId="6">
    <w:abstractNumId w:val="16"/>
  </w:num>
  <w:num w:numId="7">
    <w:abstractNumId w:val="11"/>
  </w:num>
  <w:num w:numId="8">
    <w:abstractNumId w:val="8"/>
  </w:num>
  <w:num w:numId="9">
    <w:abstractNumId w:val="22"/>
  </w:num>
  <w:num w:numId="10">
    <w:abstractNumId w:val="32"/>
  </w:num>
  <w:num w:numId="11">
    <w:abstractNumId w:val="33"/>
  </w:num>
  <w:num w:numId="12">
    <w:abstractNumId w:val="31"/>
  </w:num>
  <w:num w:numId="13">
    <w:abstractNumId w:val="23"/>
  </w:num>
  <w:num w:numId="14">
    <w:abstractNumId w:val="27"/>
  </w:num>
  <w:num w:numId="15">
    <w:abstractNumId w:val="30"/>
  </w:num>
  <w:num w:numId="16">
    <w:abstractNumId w:val="29"/>
  </w:num>
  <w:num w:numId="17">
    <w:abstractNumId w:val="14"/>
  </w:num>
  <w:num w:numId="18">
    <w:abstractNumId w:val="20"/>
  </w:num>
  <w:num w:numId="19">
    <w:abstractNumId w:val="19"/>
  </w:num>
  <w:num w:numId="20">
    <w:abstractNumId w:val="4"/>
  </w:num>
  <w:num w:numId="21">
    <w:abstractNumId w:val="3"/>
  </w:num>
  <w:num w:numId="22">
    <w:abstractNumId w:val="26"/>
  </w:num>
  <w:num w:numId="23">
    <w:abstractNumId w:val="2"/>
  </w:num>
  <w:num w:numId="24">
    <w:abstractNumId w:val="9"/>
  </w:num>
  <w:num w:numId="25">
    <w:abstractNumId w:val="0"/>
  </w:num>
  <w:num w:numId="26">
    <w:abstractNumId w:val="1"/>
  </w:num>
  <w:num w:numId="27">
    <w:abstractNumId w:val="18"/>
  </w:num>
  <w:num w:numId="28">
    <w:abstractNumId w:val="21"/>
  </w:num>
  <w:num w:numId="29">
    <w:abstractNumId w:val="12"/>
  </w:num>
  <w:num w:numId="30">
    <w:abstractNumId w:val="25"/>
  </w:num>
  <w:num w:numId="31">
    <w:abstractNumId w:val="7"/>
  </w:num>
  <w:num w:numId="32">
    <w:abstractNumId w:val="17"/>
  </w:num>
  <w:num w:numId="33">
    <w:abstractNumId w:val="5"/>
  </w:num>
  <w:num w:numId="34">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Jacobs-Helber">
    <w15:presenceInfo w15:providerId="AD" w15:userId="S-1-5-21-424152140-3304370935-3475991122-2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20"/>
    <w:rsid w:val="00022D33"/>
    <w:rsid w:val="000840B9"/>
    <w:rsid w:val="00093591"/>
    <w:rsid w:val="0010401B"/>
    <w:rsid w:val="0012482F"/>
    <w:rsid w:val="00142601"/>
    <w:rsid w:val="001512FF"/>
    <w:rsid w:val="00176B7B"/>
    <w:rsid w:val="0018407D"/>
    <w:rsid w:val="00195F1C"/>
    <w:rsid w:val="001E389E"/>
    <w:rsid w:val="0020560D"/>
    <w:rsid w:val="002336AB"/>
    <w:rsid w:val="0025205B"/>
    <w:rsid w:val="002C1AD8"/>
    <w:rsid w:val="003224D1"/>
    <w:rsid w:val="00362103"/>
    <w:rsid w:val="0039365C"/>
    <w:rsid w:val="003E1C39"/>
    <w:rsid w:val="00485EB6"/>
    <w:rsid w:val="004E6B38"/>
    <w:rsid w:val="0053102C"/>
    <w:rsid w:val="005428BA"/>
    <w:rsid w:val="005A5F20"/>
    <w:rsid w:val="005D1222"/>
    <w:rsid w:val="0060135F"/>
    <w:rsid w:val="0060190D"/>
    <w:rsid w:val="006157D4"/>
    <w:rsid w:val="00631B38"/>
    <w:rsid w:val="0063434B"/>
    <w:rsid w:val="00635223"/>
    <w:rsid w:val="00645F1C"/>
    <w:rsid w:val="006759C5"/>
    <w:rsid w:val="00683D64"/>
    <w:rsid w:val="006B646F"/>
    <w:rsid w:val="007350B0"/>
    <w:rsid w:val="007A0973"/>
    <w:rsid w:val="007A198A"/>
    <w:rsid w:val="007A6C73"/>
    <w:rsid w:val="007C168E"/>
    <w:rsid w:val="007D08BA"/>
    <w:rsid w:val="008279E5"/>
    <w:rsid w:val="0085046A"/>
    <w:rsid w:val="008A5E19"/>
    <w:rsid w:val="008F03E0"/>
    <w:rsid w:val="009134C9"/>
    <w:rsid w:val="009E6A16"/>
    <w:rsid w:val="009F7AE2"/>
    <w:rsid w:val="00A81B05"/>
    <w:rsid w:val="00AA613A"/>
    <w:rsid w:val="00AC385F"/>
    <w:rsid w:val="00AC4EB9"/>
    <w:rsid w:val="00B6393A"/>
    <w:rsid w:val="00BB0D26"/>
    <w:rsid w:val="00BD680E"/>
    <w:rsid w:val="00BF0C6C"/>
    <w:rsid w:val="00BF66DA"/>
    <w:rsid w:val="00C0780B"/>
    <w:rsid w:val="00C938CE"/>
    <w:rsid w:val="00CB6E1A"/>
    <w:rsid w:val="00D723BB"/>
    <w:rsid w:val="00DC2676"/>
    <w:rsid w:val="00DE7A75"/>
    <w:rsid w:val="00E24577"/>
    <w:rsid w:val="00EA3AAC"/>
    <w:rsid w:val="00ED6651"/>
    <w:rsid w:val="00F3364B"/>
    <w:rsid w:val="00F81877"/>
    <w:rsid w:val="00F846B6"/>
    <w:rsid w:val="00FD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92FC55A"/>
  <w15:chartTrackingRefBased/>
  <w15:docId w15:val="{6D7E52DD-FF8B-4C68-889B-85A5AA9E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224D1"/>
    <w:rPr>
      <w:rFonts w:ascii="Arial" w:hAnsi="Arial"/>
      <w:sz w:val="24"/>
    </w:rPr>
  </w:style>
  <w:style w:type="paragraph" w:styleId="Heading1">
    <w:name w:val="heading 1"/>
    <w:basedOn w:val="Normal"/>
    <w:next w:val="Normal"/>
    <w:qFormat/>
    <w:rsid w:val="00F81877"/>
    <w:pPr>
      <w:keepNext/>
      <w:numPr>
        <w:numId w:val="5"/>
      </w:numPr>
      <w:outlineLvl w:val="0"/>
    </w:pPr>
    <w:rPr>
      <w:b/>
    </w:rPr>
  </w:style>
  <w:style w:type="paragraph" w:styleId="Heading2">
    <w:name w:val="heading 2"/>
    <w:basedOn w:val="Normal"/>
    <w:next w:val="Normal"/>
    <w:qFormat/>
    <w:rsid w:val="00F81877"/>
    <w:pPr>
      <w:keepNext/>
      <w:numPr>
        <w:ilvl w:val="1"/>
        <w:numId w:val="5"/>
      </w:numPr>
      <w:outlineLvl w:val="1"/>
    </w:pPr>
    <w:rPr>
      <w:b/>
    </w:rPr>
  </w:style>
  <w:style w:type="paragraph" w:styleId="Heading3">
    <w:name w:val="heading 3"/>
    <w:basedOn w:val="Normal"/>
    <w:next w:val="Normal"/>
    <w:qFormat/>
    <w:rsid w:val="00F81877"/>
    <w:pPr>
      <w:keepNext/>
      <w:numPr>
        <w:ilvl w:val="2"/>
        <w:numId w:val="5"/>
      </w:numPr>
      <w:outlineLvl w:val="2"/>
    </w:pPr>
  </w:style>
  <w:style w:type="paragraph" w:styleId="Heading4">
    <w:name w:val="heading 4"/>
    <w:basedOn w:val="Normal"/>
    <w:next w:val="Normal"/>
    <w:qFormat/>
    <w:rsid w:val="00F81877"/>
    <w:pPr>
      <w:keepNext/>
      <w:numPr>
        <w:ilvl w:val="3"/>
        <w:numId w:val="5"/>
      </w:numPr>
      <w:outlineLvl w:val="3"/>
    </w:pPr>
  </w:style>
  <w:style w:type="paragraph" w:styleId="Heading5">
    <w:name w:val="heading 5"/>
    <w:basedOn w:val="Normal"/>
    <w:next w:val="Normal"/>
    <w:qFormat/>
    <w:pPr>
      <w:keepNext/>
      <w:numPr>
        <w:ilvl w:val="4"/>
        <w:numId w:val="5"/>
      </w:numPr>
      <w:outlineLvl w:val="4"/>
    </w:pPr>
  </w:style>
  <w:style w:type="paragraph" w:styleId="Heading6">
    <w:name w:val="heading 6"/>
    <w:basedOn w:val="Normal"/>
    <w:next w:val="Normal"/>
    <w:link w:val="Heading6Char"/>
    <w:semiHidden/>
    <w:unhideWhenUsed/>
    <w:qFormat/>
    <w:rsid w:val="00F81877"/>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F81877"/>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F81877"/>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81877"/>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8187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F8187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sid w:val="00F818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81877"/>
    <w:rPr>
      <w:rFonts w:asciiTheme="majorHAnsi" w:eastAsiaTheme="majorEastAsia" w:hAnsiTheme="majorHAnsi" w:cstheme="majorBidi"/>
      <w:i/>
      <w:iCs/>
      <w:color w:val="272727" w:themeColor="text1" w:themeTint="D8"/>
      <w:sz w:val="21"/>
      <w:szCs w:val="21"/>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B6393A"/>
    <w:rPr>
      <w:rFonts w:ascii="Arial" w:hAnsi="Arial"/>
      <w:sz w:val="24"/>
    </w:rPr>
  </w:style>
  <w:style w:type="character" w:styleId="PageNumber">
    <w:name w:val="page number"/>
    <w:basedOn w:val="DefaultParagraphFont"/>
  </w:style>
  <w:style w:type="paragraph" w:styleId="BodyTextIndent">
    <w:name w:val="Body Text Indent"/>
    <w:basedOn w:val="Normal"/>
    <w:pPr>
      <w:ind w:left="720"/>
    </w:pPr>
  </w:style>
  <w:style w:type="paragraph" w:styleId="BodyText">
    <w:name w:val="Body Text"/>
    <w:basedOn w:val="Normal"/>
    <w:link w:val="BodyTextChar"/>
    <w:rsid w:val="00142601"/>
    <w:pPr>
      <w:spacing w:after="120"/>
    </w:pPr>
  </w:style>
  <w:style w:type="character" w:customStyle="1" w:styleId="BodyTextChar">
    <w:name w:val="Body Text Char"/>
    <w:basedOn w:val="DefaultParagraphFont"/>
    <w:link w:val="BodyText"/>
    <w:rsid w:val="00142601"/>
  </w:style>
  <w:style w:type="paragraph" w:customStyle="1" w:styleId="ArialNormal">
    <w:name w:val="Arial Normal"/>
    <w:basedOn w:val="Normal"/>
    <w:link w:val="ArialNormalChar"/>
    <w:qFormat/>
    <w:rsid w:val="0012482F"/>
    <w:pPr>
      <w:ind w:left="1440" w:hanging="1440"/>
    </w:pPr>
  </w:style>
  <w:style w:type="character" w:customStyle="1" w:styleId="ArialNormalChar">
    <w:name w:val="Arial Normal Char"/>
    <w:basedOn w:val="DefaultParagraphFont"/>
    <w:link w:val="ArialNormal"/>
    <w:rsid w:val="0012482F"/>
    <w:rPr>
      <w:rFonts w:ascii="Arial" w:hAnsi="Arial"/>
      <w:sz w:val="24"/>
    </w:rPr>
  </w:style>
  <w:style w:type="paragraph" w:styleId="BodyTextIndent3">
    <w:name w:val="Body Text Indent 3"/>
    <w:basedOn w:val="Normal"/>
    <w:link w:val="BodyTextIndent3Char"/>
    <w:rsid w:val="008A5E19"/>
    <w:pPr>
      <w:spacing w:after="120"/>
      <w:ind w:left="360"/>
    </w:pPr>
    <w:rPr>
      <w:sz w:val="16"/>
      <w:szCs w:val="16"/>
    </w:rPr>
  </w:style>
  <w:style w:type="character" w:customStyle="1" w:styleId="BodyTextIndent3Char">
    <w:name w:val="Body Text Indent 3 Char"/>
    <w:basedOn w:val="DefaultParagraphFont"/>
    <w:link w:val="BodyTextIndent3"/>
    <w:rsid w:val="008A5E19"/>
    <w:rPr>
      <w:rFonts w:ascii="Arial" w:hAnsi="Arial"/>
      <w:sz w:val="16"/>
      <w:szCs w:val="16"/>
    </w:rPr>
  </w:style>
  <w:style w:type="paragraph" w:customStyle="1" w:styleId="Default">
    <w:name w:val="Default"/>
    <w:rsid w:val="00BF66DA"/>
    <w:pPr>
      <w:autoSpaceDE w:val="0"/>
      <w:autoSpaceDN w:val="0"/>
      <w:adjustRightInd w:val="0"/>
    </w:pPr>
    <w:rPr>
      <w:rFonts w:ascii="Arial" w:hAnsi="Arial" w:cs="Arial"/>
      <w:noProof/>
      <w:color w:val="000000"/>
      <w:sz w:val="24"/>
      <w:szCs w:val="24"/>
    </w:rPr>
  </w:style>
  <w:style w:type="character" w:styleId="Hyperlink">
    <w:name w:val="Hyperlink"/>
    <w:basedOn w:val="DefaultParagraphFont"/>
    <w:uiPriority w:val="99"/>
    <w:unhideWhenUsed/>
    <w:rsid w:val="00645F1C"/>
    <w:rPr>
      <w:color w:val="0563C1" w:themeColor="hyperlink"/>
      <w:u w:val="single"/>
    </w:rPr>
  </w:style>
  <w:style w:type="paragraph" w:styleId="TOC1">
    <w:name w:val="toc 1"/>
    <w:basedOn w:val="Normal"/>
    <w:next w:val="Normal"/>
    <w:autoRedefine/>
    <w:uiPriority w:val="39"/>
    <w:rsid w:val="00645F1C"/>
    <w:pPr>
      <w:spacing w:after="100"/>
    </w:pPr>
  </w:style>
  <w:style w:type="paragraph" w:styleId="TOCHeading">
    <w:name w:val="TOC Heading"/>
    <w:basedOn w:val="Heading1"/>
    <w:next w:val="Normal"/>
    <w:uiPriority w:val="39"/>
    <w:unhideWhenUsed/>
    <w:qFormat/>
    <w:rsid w:val="00645F1C"/>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rsid w:val="00645F1C"/>
    <w:pPr>
      <w:spacing w:after="100"/>
      <w:ind w:left="240"/>
    </w:pPr>
  </w:style>
  <w:style w:type="paragraph" w:styleId="TOC3">
    <w:name w:val="toc 3"/>
    <w:basedOn w:val="Normal"/>
    <w:next w:val="Normal"/>
    <w:autoRedefine/>
    <w:uiPriority w:val="39"/>
    <w:rsid w:val="00645F1C"/>
    <w:pPr>
      <w:spacing w:after="100"/>
      <w:ind w:left="480"/>
    </w:pPr>
  </w:style>
  <w:style w:type="paragraph" w:styleId="NormalWeb">
    <w:name w:val="Normal (Web)"/>
    <w:basedOn w:val="Normal"/>
    <w:uiPriority w:val="99"/>
    <w:rsid w:val="00DC2676"/>
    <w:pPr>
      <w:spacing w:before="100" w:beforeAutospacing="1" w:after="100" w:afterAutospacing="1"/>
    </w:pPr>
    <w:rPr>
      <w:rFonts w:ascii="Times New Roman" w:hAnsi="Times New Roman"/>
      <w:szCs w:val="24"/>
    </w:rPr>
  </w:style>
  <w:style w:type="character" w:styleId="Strong">
    <w:name w:val="Strong"/>
    <w:uiPriority w:val="22"/>
    <w:qFormat/>
    <w:rsid w:val="00DC2676"/>
    <w:rPr>
      <w:b/>
      <w:bCs/>
    </w:rPr>
  </w:style>
  <w:style w:type="character" w:customStyle="1" w:styleId="copyblack1">
    <w:name w:val="copyblack1"/>
    <w:rsid w:val="00DC2676"/>
    <w:rPr>
      <w:rFonts w:ascii="Verdana" w:hAnsi="Verdana" w:hint="default"/>
      <w:color w:val="000000"/>
      <w:sz w:val="18"/>
      <w:szCs w:val="18"/>
    </w:rPr>
  </w:style>
  <w:style w:type="character" w:styleId="CommentReference">
    <w:name w:val="annotation reference"/>
    <w:basedOn w:val="DefaultParagraphFont"/>
    <w:rsid w:val="007A6C73"/>
    <w:rPr>
      <w:sz w:val="16"/>
      <w:szCs w:val="16"/>
    </w:rPr>
  </w:style>
  <w:style w:type="paragraph" w:styleId="CommentText">
    <w:name w:val="annotation text"/>
    <w:basedOn w:val="Normal"/>
    <w:link w:val="CommentTextChar"/>
    <w:rsid w:val="007A6C73"/>
    <w:rPr>
      <w:sz w:val="20"/>
    </w:rPr>
  </w:style>
  <w:style w:type="character" w:customStyle="1" w:styleId="CommentTextChar">
    <w:name w:val="Comment Text Char"/>
    <w:basedOn w:val="DefaultParagraphFont"/>
    <w:link w:val="CommentText"/>
    <w:rsid w:val="007A6C73"/>
    <w:rPr>
      <w:rFonts w:ascii="Arial" w:hAnsi="Arial"/>
    </w:rPr>
  </w:style>
  <w:style w:type="paragraph" w:styleId="CommentSubject">
    <w:name w:val="annotation subject"/>
    <w:basedOn w:val="CommentText"/>
    <w:next w:val="CommentText"/>
    <w:link w:val="CommentSubjectChar"/>
    <w:rsid w:val="007A6C73"/>
    <w:rPr>
      <w:b/>
      <w:bCs/>
    </w:rPr>
  </w:style>
  <w:style w:type="character" w:customStyle="1" w:styleId="CommentSubjectChar">
    <w:name w:val="Comment Subject Char"/>
    <w:basedOn w:val="CommentTextChar"/>
    <w:link w:val="CommentSubject"/>
    <w:rsid w:val="007A6C73"/>
    <w:rPr>
      <w:rFonts w:ascii="Arial" w:hAnsi="Arial"/>
      <w:b/>
      <w:bCs/>
    </w:rPr>
  </w:style>
  <w:style w:type="paragraph" w:styleId="BalloonText">
    <w:name w:val="Balloon Text"/>
    <w:basedOn w:val="Normal"/>
    <w:link w:val="BalloonTextChar"/>
    <w:rsid w:val="007A6C73"/>
    <w:rPr>
      <w:rFonts w:ascii="Segoe UI" w:hAnsi="Segoe UI" w:cs="Segoe UI"/>
      <w:sz w:val="18"/>
      <w:szCs w:val="18"/>
    </w:rPr>
  </w:style>
  <w:style w:type="character" w:customStyle="1" w:styleId="BalloonTextChar">
    <w:name w:val="Balloon Text Char"/>
    <w:basedOn w:val="DefaultParagraphFont"/>
    <w:link w:val="BalloonText"/>
    <w:rsid w:val="007A6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BEF4E-73FE-4103-9297-E683F177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1025</Words>
  <Characters>5979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Anne Arundel Medical Center</vt:lpstr>
    </vt:vector>
  </TitlesOfParts>
  <Company>Anne Arundel Medical Center</Company>
  <LinksUpToDate>false</LinksUpToDate>
  <CharactersWithSpaces>6991</CharactersWithSpaces>
  <SharedDoc>false</SharedDoc>
  <HLinks>
    <vt:vector size="6" baseType="variant">
      <vt:variant>
        <vt:i4>4128839</vt:i4>
      </vt:variant>
      <vt:variant>
        <vt:i4>-1</vt:i4>
      </vt:variant>
      <vt:variant>
        <vt:i4>1027</vt:i4>
      </vt:variant>
      <vt:variant>
        <vt:i4>1</vt:i4>
      </vt:variant>
      <vt:variant>
        <vt:lpwstr>Genetworx logo 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Arundel Medical Center</dc:title>
  <dc:subject/>
  <dc:creator>sleshinskie</dc:creator>
  <cp:keywords/>
  <cp:lastModifiedBy>Sarah Jacobs-Helber</cp:lastModifiedBy>
  <cp:revision>3</cp:revision>
  <cp:lastPrinted>2005-09-08T22:25:00Z</cp:lastPrinted>
  <dcterms:created xsi:type="dcterms:W3CDTF">2016-12-06T16:17:00Z</dcterms:created>
  <dcterms:modified xsi:type="dcterms:W3CDTF">2016-12-06T16:27:00Z</dcterms:modified>
</cp:coreProperties>
</file>