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BEA" w:rsidRDefault="00CA3BEA" w:rsidP="000A67EB">
      <w:pPr>
        <w:pStyle w:val="Title"/>
        <w:jc w:val="both"/>
        <w:rPr>
          <w:sz w:val="24"/>
          <w:szCs w:val="24"/>
        </w:rPr>
      </w:pPr>
      <w:r w:rsidRPr="007C01DA">
        <w:rPr>
          <w:noProof/>
        </w:rPr>
        <w:drawing>
          <wp:anchor distT="0" distB="0" distL="114300" distR="114300" simplePos="0" relativeHeight="251658752" behindDoc="0" locked="0" layoutInCell="1" allowOverlap="1">
            <wp:simplePos x="0" y="0"/>
            <wp:positionH relativeFrom="margin">
              <wp:align>left</wp:align>
            </wp:positionH>
            <wp:positionV relativeFrom="paragraph">
              <wp:posOffset>8255</wp:posOffset>
            </wp:positionV>
            <wp:extent cx="1243330" cy="1046480"/>
            <wp:effectExtent l="0" t="0" r="0" b="1270"/>
            <wp:wrapSquare wrapText="bothSides"/>
            <wp:docPr id="7" name="Picture 7" descr="cid:7df522e7-de1a-421d-acff-b3074c42741b@chickasaw.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7df522e7-de1a-421d-acff-b3074c42741b@chickasaw.net"/>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243330" cy="1046480"/>
                    </a:xfrm>
                    <a:prstGeom prst="rect">
                      <a:avLst/>
                    </a:prstGeom>
                    <a:noFill/>
                    <a:ln>
                      <a:noFill/>
                    </a:ln>
                  </pic:spPr>
                </pic:pic>
              </a:graphicData>
            </a:graphic>
            <wp14:sizeRelV relativeFrom="margin">
              <wp14:pctHeight>0</wp14:pctHeight>
            </wp14:sizeRelV>
          </wp:anchor>
        </w:drawing>
      </w:r>
    </w:p>
    <w:p w:rsidR="00F2343A" w:rsidRPr="009741AE" w:rsidRDefault="007C01DA" w:rsidP="00F2343A">
      <w:pPr>
        <w:pStyle w:val="Title"/>
        <w:jc w:val="both"/>
        <w:rPr>
          <w:sz w:val="32"/>
          <w:szCs w:val="32"/>
        </w:rPr>
      </w:pPr>
      <w:r w:rsidRPr="007C01DA">
        <w:rPr>
          <w:sz w:val="24"/>
          <w:szCs w:val="24"/>
        </w:rPr>
        <w:t>Employee Health</w:t>
      </w:r>
      <w:r w:rsidR="00F2343A">
        <w:rPr>
          <w:sz w:val="24"/>
          <w:szCs w:val="24"/>
        </w:rPr>
        <w:tab/>
      </w:r>
      <w:r w:rsidR="00F2343A">
        <w:rPr>
          <w:sz w:val="24"/>
          <w:szCs w:val="24"/>
        </w:rPr>
        <w:tab/>
      </w:r>
      <w:r w:rsidR="00F2343A">
        <w:rPr>
          <w:sz w:val="24"/>
          <w:szCs w:val="24"/>
        </w:rPr>
        <w:tab/>
      </w:r>
      <w:r w:rsidR="00F2343A">
        <w:rPr>
          <w:sz w:val="32"/>
          <w:szCs w:val="32"/>
        </w:rPr>
        <w:t>OSOM H. Pylori</w:t>
      </w:r>
    </w:p>
    <w:p w:rsidR="007C01DA" w:rsidRPr="007C01DA" w:rsidRDefault="007C01DA" w:rsidP="000A67EB">
      <w:pPr>
        <w:pStyle w:val="Title"/>
        <w:jc w:val="both"/>
        <w:rPr>
          <w:sz w:val="24"/>
          <w:szCs w:val="24"/>
        </w:rPr>
      </w:pPr>
      <w:bookmarkStart w:id="0" w:name="_GoBack"/>
      <w:bookmarkEnd w:id="0"/>
      <w:r w:rsidRPr="007C01DA">
        <w:rPr>
          <w:sz w:val="24"/>
          <w:szCs w:val="24"/>
        </w:rPr>
        <w:t>Clinic</w:t>
      </w:r>
    </w:p>
    <w:p w:rsidR="004020F8" w:rsidRPr="009741AE" w:rsidRDefault="005D1296" w:rsidP="0062211C">
      <w:pPr>
        <w:pStyle w:val="Title"/>
        <w:jc w:val="both"/>
        <w:rPr>
          <w:sz w:val="32"/>
          <w:szCs w:val="32"/>
        </w:rPr>
      </w:pPr>
      <w:r>
        <w:rPr>
          <w:sz w:val="32"/>
          <w:szCs w:val="32"/>
        </w:rPr>
        <w:t xml:space="preserve">    </w:t>
      </w:r>
      <w:r w:rsidR="00C16E91">
        <w:rPr>
          <w:sz w:val="32"/>
          <w:szCs w:val="32"/>
        </w:rPr>
        <w:tab/>
      </w:r>
      <w:r w:rsidR="0062211C">
        <w:rPr>
          <w:sz w:val="32"/>
          <w:szCs w:val="32"/>
        </w:rPr>
        <w:tab/>
      </w:r>
      <w:r w:rsidR="0062211C">
        <w:rPr>
          <w:sz w:val="32"/>
          <w:szCs w:val="32"/>
        </w:rPr>
        <w:tab/>
      </w:r>
      <w:r w:rsidR="0062211C">
        <w:rPr>
          <w:sz w:val="32"/>
          <w:szCs w:val="32"/>
        </w:rPr>
        <w:tab/>
      </w:r>
    </w:p>
    <w:p w:rsidR="004020F8" w:rsidRDefault="004020F8" w:rsidP="000A67EB">
      <w:pPr>
        <w:jc w:val="both"/>
        <w:rPr>
          <w:rFonts w:ascii="Arial" w:hAnsi="Arial"/>
        </w:rPr>
      </w:pPr>
    </w:p>
    <w:p w:rsidR="00183866" w:rsidRDefault="00183866" w:rsidP="00183866">
      <w:pPr>
        <w:framePr w:w="1169" w:h="1259" w:hRule="exact" w:hSpace="90" w:vSpace="90" w:wrap="auto" w:vAnchor="page" w:hAnchor="page" w:x="1303" w:y="1981"/>
        <w:pBdr>
          <w:top w:val="single" w:sz="6" w:space="0" w:color="FFFFFF"/>
          <w:left w:val="single" w:sz="6" w:space="0" w:color="FFFFFF"/>
          <w:bottom w:val="single" w:sz="6" w:space="0" w:color="FFFFFF"/>
          <w:right w:val="single" w:sz="6" w:space="0" w:color="FFFFFF"/>
        </w:pBdr>
      </w:pPr>
    </w:p>
    <w:p w:rsidR="00183866" w:rsidRDefault="00183866" w:rsidP="00183866">
      <w:pPr>
        <w:framePr w:w="1169" w:h="1259" w:hRule="exact" w:hSpace="90" w:vSpace="90" w:wrap="auto" w:vAnchor="page" w:hAnchor="page" w:x="1303" w:y="1981"/>
        <w:spacing w:line="120" w:lineRule="exact"/>
        <w:rPr>
          <w:rFonts w:ascii="Arial" w:hAnsi="Arial"/>
        </w:rPr>
      </w:pPr>
    </w:p>
    <w:tbl>
      <w:tblPr>
        <w:tblW w:w="0" w:type="auto"/>
        <w:tblInd w:w="120" w:type="dxa"/>
        <w:tblLayout w:type="fixed"/>
        <w:tblCellMar>
          <w:left w:w="120" w:type="dxa"/>
          <w:right w:w="120" w:type="dxa"/>
        </w:tblCellMar>
        <w:tblLook w:val="0000" w:firstRow="0" w:lastRow="0" w:firstColumn="0" w:lastColumn="0" w:noHBand="0" w:noVBand="0"/>
      </w:tblPr>
      <w:tblGrid>
        <w:gridCol w:w="4860"/>
        <w:gridCol w:w="4500"/>
      </w:tblGrid>
      <w:tr w:rsidR="004020F8" w:rsidTr="00CA3BEA">
        <w:trPr>
          <w:trHeight w:val="469"/>
        </w:trPr>
        <w:tc>
          <w:tcPr>
            <w:tcW w:w="4860" w:type="dxa"/>
            <w:tcBorders>
              <w:top w:val="single" w:sz="7" w:space="0" w:color="000000"/>
              <w:left w:val="single" w:sz="7" w:space="0" w:color="000000"/>
              <w:bottom w:val="single" w:sz="7" w:space="0" w:color="000000"/>
              <w:right w:val="single" w:sz="7" w:space="0" w:color="000000"/>
            </w:tcBorders>
            <w:vAlign w:val="center"/>
          </w:tcPr>
          <w:p w:rsidR="004020F8" w:rsidRDefault="004020F8" w:rsidP="0085692D">
            <w:pPr>
              <w:spacing w:after="58"/>
              <w:rPr>
                <w:rFonts w:ascii="Arial" w:hAnsi="Arial"/>
              </w:rPr>
            </w:pPr>
            <w:r>
              <w:rPr>
                <w:rFonts w:ascii="Arial" w:hAnsi="Arial"/>
              </w:rPr>
              <w:t xml:space="preserve">Effective Date: </w:t>
            </w:r>
            <w:r w:rsidR="0077083F">
              <w:rPr>
                <w:rFonts w:ascii="Arial" w:hAnsi="Arial"/>
              </w:rPr>
              <w:t xml:space="preserve"> </w:t>
            </w:r>
            <w:r w:rsidR="00D8373D">
              <w:rPr>
                <w:rFonts w:ascii="Arial" w:hAnsi="Arial"/>
              </w:rPr>
              <w:t>November 2021</w:t>
            </w:r>
          </w:p>
        </w:tc>
        <w:tc>
          <w:tcPr>
            <w:tcW w:w="4500" w:type="dxa"/>
            <w:tcBorders>
              <w:top w:val="single" w:sz="7" w:space="0" w:color="000000"/>
              <w:left w:val="single" w:sz="7" w:space="0" w:color="000000"/>
              <w:bottom w:val="single" w:sz="7" w:space="0" w:color="000000"/>
              <w:right w:val="single" w:sz="7" w:space="0" w:color="000000"/>
            </w:tcBorders>
            <w:vAlign w:val="center"/>
          </w:tcPr>
          <w:p w:rsidR="004020F8" w:rsidRDefault="00D8373D" w:rsidP="0077083F">
            <w:pPr>
              <w:spacing w:after="58"/>
              <w:rPr>
                <w:rFonts w:ascii="Arial" w:hAnsi="Arial"/>
              </w:rPr>
            </w:pPr>
            <w:r>
              <w:rPr>
                <w:rFonts w:ascii="Arial" w:hAnsi="Arial"/>
              </w:rPr>
              <w:t>Department: Laboratory</w:t>
            </w:r>
            <w:r w:rsidR="00715221">
              <w:rPr>
                <w:rFonts w:ascii="Arial" w:hAnsi="Arial"/>
              </w:rPr>
              <w:t xml:space="preserve"> </w:t>
            </w:r>
            <w:r w:rsidR="0077083F">
              <w:rPr>
                <w:rFonts w:ascii="Arial" w:hAnsi="Arial"/>
              </w:rPr>
              <w:t xml:space="preserve"> </w:t>
            </w:r>
          </w:p>
        </w:tc>
      </w:tr>
      <w:tr w:rsidR="00EC7896" w:rsidTr="00CA3BEA">
        <w:trPr>
          <w:trHeight w:val="550"/>
        </w:trPr>
        <w:tc>
          <w:tcPr>
            <w:tcW w:w="4860" w:type="dxa"/>
            <w:tcBorders>
              <w:top w:val="single" w:sz="7" w:space="0" w:color="000000"/>
              <w:left w:val="single" w:sz="7" w:space="0" w:color="000000"/>
              <w:bottom w:val="single" w:sz="7" w:space="0" w:color="000000"/>
              <w:right w:val="single" w:sz="7" w:space="0" w:color="000000"/>
            </w:tcBorders>
            <w:vAlign w:val="center"/>
          </w:tcPr>
          <w:p w:rsidR="009E2796" w:rsidRPr="00CA3BEA" w:rsidRDefault="00EC7896" w:rsidP="00CA3BEA">
            <w:pPr>
              <w:spacing w:after="58"/>
              <w:jc w:val="both"/>
              <w:rPr>
                <w:rFonts w:ascii="Arial" w:hAnsi="Arial"/>
                <w:color w:val="000000"/>
              </w:rPr>
            </w:pPr>
            <w:r w:rsidRPr="00D8373D">
              <w:rPr>
                <w:rFonts w:ascii="Arial" w:hAnsi="Arial"/>
                <w:color w:val="000000"/>
              </w:rPr>
              <w:t xml:space="preserve">Date of Review:  </w:t>
            </w:r>
            <w:r w:rsidR="00CA3BEA">
              <w:rPr>
                <w:rFonts w:ascii="Arial" w:hAnsi="Arial"/>
                <w:color w:val="000000"/>
              </w:rPr>
              <w:t>November 2023</w:t>
            </w:r>
          </w:p>
        </w:tc>
        <w:tc>
          <w:tcPr>
            <w:tcW w:w="4500" w:type="dxa"/>
            <w:tcBorders>
              <w:top w:val="single" w:sz="7" w:space="0" w:color="000000"/>
              <w:left w:val="single" w:sz="7" w:space="0" w:color="000000"/>
              <w:bottom w:val="single" w:sz="7" w:space="0" w:color="000000"/>
              <w:right w:val="single" w:sz="7" w:space="0" w:color="000000"/>
            </w:tcBorders>
            <w:vAlign w:val="center"/>
          </w:tcPr>
          <w:p w:rsidR="00EC7896" w:rsidRDefault="00EC7896" w:rsidP="000A67EB">
            <w:pPr>
              <w:spacing w:after="58"/>
              <w:jc w:val="both"/>
              <w:rPr>
                <w:rFonts w:ascii="Arial" w:hAnsi="Arial"/>
              </w:rPr>
            </w:pPr>
            <w:r>
              <w:rPr>
                <w:rFonts w:ascii="Arial" w:hAnsi="Arial"/>
              </w:rPr>
              <w:t>Approval:</w:t>
            </w:r>
            <w:r w:rsidR="00CA3BEA">
              <w:rPr>
                <w:rFonts w:ascii="Arial" w:hAnsi="Arial"/>
              </w:rPr>
              <w:t xml:space="preserve"> Laboratory Management</w:t>
            </w:r>
          </w:p>
          <w:p w:rsidR="00EC7896" w:rsidRPr="00DB69AC" w:rsidRDefault="00EC7896" w:rsidP="009F61EA">
            <w:pPr>
              <w:spacing w:after="58"/>
              <w:rPr>
                <w:rFonts w:ascii="Arial" w:hAnsi="Arial"/>
              </w:rPr>
            </w:pPr>
          </w:p>
        </w:tc>
      </w:tr>
    </w:tbl>
    <w:p w:rsidR="004020F8" w:rsidRPr="004E267A" w:rsidRDefault="004020F8" w:rsidP="000A67EB">
      <w:pPr>
        <w:jc w:val="both"/>
        <w:rPr>
          <w:rFonts w:ascii="Arial" w:hAnsi="Arial"/>
        </w:rPr>
      </w:pPr>
    </w:p>
    <w:p w:rsidR="00EC7896" w:rsidRDefault="00EC7896" w:rsidP="000A67EB">
      <w:pPr>
        <w:jc w:val="both"/>
        <w:rPr>
          <w:rFonts w:ascii="Arial" w:hAnsi="Arial" w:cs="Arial"/>
          <w:b/>
          <w:u w:val="single"/>
        </w:rPr>
      </w:pPr>
    </w:p>
    <w:p w:rsidR="00EC7896" w:rsidRPr="00694D85" w:rsidRDefault="00EC7896" w:rsidP="00694D85">
      <w:pPr>
        <w:pStyle w:val="ListParagraph"/>
        <w:numPr>
          <w:ilvl w:val="0"/>
          <w:numId w:val="41"/>
        </w:numPr>
        <w:jc w:val="both"/>
        <w:rPr>
          <w:rFonts w:ascii="Arial" w:hAnsi="Arial" w:cs="Arial"/>
          <w:b/>
          <w:u w:val="single"/>
        </w:rPr>
      </w:pPr>
      <w:r w:rsidRPr="00694D85">
        <w:rPr>
          <w:rFonts w:ascii="Arial" w:hAnsi="Arial" w:cs="Arial"/>
          <w:b/>
          <w:u w:val="single"/>
        </w:rPr>
        <w:t xml:space="preserve">INTENDED USE </w:t>
      </w:r>
    </w:p>
    <w:p w:rsidR="00EC7896" w:rsidRDefault="00EC7896" w:rsidP="00EC7896">
      <w:pPr>
        <w:ind w:left="360"/>
        <w:jc w:val="both"/>
        <w:rPr>
          <w:rFonts w:ascii="Arial" w:hAnsi="Arial" w:cs="Arial"/>
        </w:rPr>
      </w:pPr>
      <w:r w:rsidRPr="00EC7896">
        <w:rPr>
          <w:rFonts w:ascii="Arial" w:hAnsi="Arial" w:cs="Arial"/>
        </w:rPr>
        <w:t xml:space="preserve">OSOM H. pylori Test qualitatively detects anti-Helicobacter pylori IgG antibody in human whole blood, serum, or plasma specimens. This test is intended for use as an aid in the diagnosis of H. pylori infection in adult patients with symptoms of gastrointestinal disorders. </w:t>
      </w:r>
    </w:p>
    <w:p w:rsidR="00EC7896" w:rsidRDefault="00EC7896" w:rsidP="000A67EB">
      <w:pPr>
        <w:jc w:val="both"/>
        <w:rPr>
          <w:rFonts w:ascii="Arial" w:hAnsi="Arial" w:cs="Arial"/>
        </w:rPr>
      </w:pPr>
    </w:p>
    <w:p w:rsidR="00EC7896" w:rsidRPr="00694D85" w:rsidRDefault="00EC7896" w:rsidP="00694D85">
      <w:pPr>
        <w:pStyle w:val="ListParagraph"/>
        <w:numPr>
          <w:ilvl w:val="0"/>
          <w:numId w:val="41"/>
        </w:numPr>
        <w:jc w:val="both"/>
        <w:rPr>
          <w:rFonts w:ascii="Arial" w:hAnsi="Arial" w:cs="Arial"/>
          <w:b/>
          <w:u w:val="single"/>
        </w:rPr>
      </w:pPr>
      <w:r w:rsidRPr="00694D85">
        <w:rPr>
          <w:rFonts w:ascii="Arial" w:hAnsi="Arial" w:cs="Arial"/>
          <w:b/>
          <w:u w:val="single"/>
        </w:rPr>
        <w:t xml:space="preserve">SUMMARY AND EXPLANATION OF TEST </w:t>
      </w:r>
    </w:p>
    <w:p w:rsidR="00EC7896" w:rsidRDefault="00EC7896" w:rsidP="00EC7896">
      <w:pPr>
        <w:ind w:left="360"/>
        <w:jc w:val="both"/>
        <w:rPr>
          <w:rFonts w:ascii="Arial" w:hAnsi="Arial" w:cs="Arial"/>
        </w:rPr>
      </w:pPr>
      <w:r w:rsidRPr="00C23A41">
        <w:rPr>
          <w:rFonts w:ascii="Arial" w:hAnsi="Arial" w:cs="Arial"/>
          <w:i/>
        </w:rPr>
        <w:t>Helicobacter pylori</w:t>
      </w:r>
      <w:r w:rsidRPr="00EC7896">
        <w:rPr>
          <w:rFonts w:ascii="Arial" w:hAnsi="Arial" w:cs="Arial"/>
        </w:rPr>
        <w:t xml:space="preserve">, formerly known as </w:t>
      </w:r>
      <w:r w:rsidRPr="00C23A41">
        <w:rPr>
          <w:rFonts w:ascii="Arial" w:hAnsi="Arial" w:cs="Arial"/>
          <w:i/>
        </w:rPr>
        <w:t>Campylobacter pylori</w:t>
      </w:r>
      <w:r w:rsidRPr="00EC7896">
        <w:rPr>
          <w:rFonts w:ascii="Arial" w:hAnsi="Arial" w:cs="Arial"/>
        </w:rPr>
        <w:t>, are gram-negative microaerophilic spiral bacteria that have been identified and cultured since 19831. They can coloni</w:t>
      </w:r>
      <w:r w:rsidR="007C01DA">
        <w:rPr>
          <w:rFonts w:ascii="Arial" w:hAnsi="Arial" w:cs="Arial"/>
        </w:rPr>
        <w:t>ze the gastric mucosa for years</w:t>
      </w:r>
      <w:r w:rsidRPr="00EC7896">
        <w:rPr>
          <w:rFonts w:ascii="Arial" w:hAnsi="Arial" w:cs="Arial"/>
        </w:rPr>
        <w:t>, and their presence is strongly associated with chronic, diffuse, superficial gastr</w:t>
      </w:r>
      <w:r w:rsidR="007C01DA">
        <w:rPr>
          <w:rFonts w:ascii="Arial" w:hAnsi="Arial" w:cs="Arial"/>
        </w:rPr>
        <w:t>itis of the fundus and antrum</w:t>
      </w:r>
      <w:r w:rsidRPr="00EC7896">
        <w:rPr>
          <w:rFonts w:ascii="Arial" w:hAnsi="Arial" w:cs="Arial"/>
        </w:rPr>
        <w:t xml:space="preserve">. As a result, they are now believed to have an etiologic </w:t>
      </w:r>
      <w:r w:rsidR="000633A3">
        <w:rPr>
          <w:rFonts w:ascii="Arial" w:hAnsi="Arial" w:cs="Arial"/>
        </w:rPr>
        <w:t>role in gastritis</w:t>
      </w:r>
      <w:r w:rsidRPr="00EC7896">
        <w:rPr>
          <w:rFonts w:ascii="Arial" w:hAnsi="Arial" w:cs="Arial"/>
        </w:rPr>
        <w:t xml:space="preserve">. Recent evidence suggests that </w:t>
      </w:r>
      <w:r w:rsidRPr="00C23A41">
        <w:rPr>
          <w:rFonts w:ascii="Arial" w:hAnsi="Arial" w:cs="Arial"/>
          <w:i/>
        </w:rPr>
        <w:t>H. pylori</w:t>
      </w:r>
      <w:r w:rsidRPr="00EC7896">
        <w:rPr>
          <w:rFonts w:ascii="Arial" w:hAnsi="Arial" w:cs="Arial"/>
        </w:rPr>
        <w:t xml:space="preserve"> gastritis may progress over several decades to chroni</w:t>
      </w:r>
      <w:r w:rsidR="007C01DA">
        <w:rPr>
          <w:rFonts w:ascii="Arial" w:hAnsi="Arial" w:cs="Arial"/>
        </w:rPr>
        <w:t>c atrophic (type B) gastritis</w:t>
      </w:r>
      <w:r w:rsidRPr="00EC7896">
        <w:rPr>
          <w:rFonts w:ascii="Arial" w:hAnsi="Arial" w:cs="Arial"/>
        </w:rPr>
        <w:t>, a lesion that is a precursor of gastric carcinoma. The epidem</w:t>
      </w:r>
      <w:r>
        <w:rPr>
          <w:rFonts w:ascii="Arial" w:hAnsi="Arial" w:cs="Arial"/>
        </w:rPr>
        <w:t>iologic features of gastric car</w:t>
      </w:r>
      <w:r w:rsidRPr="00EC7896">
        <w:rPr>
          <w:rFonts w:ascii="Arial" w:hAnsi="Arial" w:cs="Arial"/>
        </w:rPr>
        <w:t xml:space="preserve">cinoma and </w:t>
      </w:r>
      <w:r w:rsidRPr="00C23A41">
        <w:rPr>
          <w:rFonts w:ascii="Arial" w:hAnsi="Arial" w:cs="Arial"/>
          <w:i/>
        </w:rPr>
        <w:t>H. pylori</w:t>
      </w:r>
      <w:r w:rsidR="000633A3">
        <w:rPr>
          <w:rFonts w:ascii="Arial" w:hAnsi="Arial" w:cs="Arial"/>
        </w:rPr>
        <w:t xml:space="preserve"> infection are </w:t>
      </w:r>
      <w:r w:rsidR="00F2343A">
        <w:rPr>
          <w:rFonts w:ascii="Arial" w:hAnsi="Arial" w:cs="Arial"/>
        </w:rPr>
        <w:t>similar,</w:t>
      </w:r>
      <w:r w:rsidRPr="00EC7896">
        <w:rPr>
          <w:rFonts w:ascii="Arial" w:hAnsi="Arial" w:cs="Arial"/>
        </w:rPr>
        <w:t xml:space="preserve"> and recent studies suggest that </w:t>
      </w:r>
      <w:r w:rsidRPr="00C23A41">
        <w:rPr>
          <w:rFonts w:ascii="Arial" w:hAnsi="Arial" w:cs="Arial"/>
          <w:i/>
        </w:rPr>
        <w:t>H. pylori</w:t>
      </w:r>
      <w:r w:rsidRPr="00EC7896">
        <w:rPr>
          <w:rFonts w:ascii="Arial" w:hAnsi="Arial" w:cs="Arial"/>
        </w:rPr>
        <w:t xml:space="preserve"> infection may be a risk f</w:t>
      </w:r>
      <w:r w:rsidR="000633A3">
        <w:rPr>
          <w:rFonts w:ascii="Arial" w:hAnsi="Arial" w:cs="Arial"/>
        </w:rPr>
        <w:t>actor for gastric carcinoma</w:t>
      </w:r>
      <w:r w:rsidRPr="00EC7896">
        <w:rPr>
          <w:rFonts w:ascii="Arial" w:hAnsi="Arial" w:cs="Arial"/>
        </w:rPr>
        <w:t xml:space="preserve">. </w:t>
      </w:r>
    </w:p>
    <w:p w:rsidR="00EC7896" w:rsidRDefault="00EC7896" w:rsidP="00EC7896">
      <w:pPr>
        <w:ind w:left="360"/>
        <w:jc w:val="both"/>
        <w:rPr>
          <w:rFonts w:ascii="Arial" w:hAnsi="Arial" w:cs="Arial"/>
        </w:rPr>
      </w:pPr>
    </w:p>
    <w:p w:rsidR="00EC7896" w:rsidRDefault="00EC7896" w:rsidP="00EC7896">
      <w:pPr>
        <w:ind w:left="360"/>
        <w:jc w:val="both"/>
        <w:rPr>
          <w:rFonts w:ascii="Arial" w:hAnsi="Arial" w:cs="Arial"/>
        </w:rPr>
      </w:pPr>
      <w:r w:rsidRPr="00EC7896">
        <w:rPr>
          <w:rFonts w:ascii="Arial" w:hAnsi="Arial" w:cs="Arial"/>
        </w:rPr>
        <w:t xml:space="preserve">Until recently, diagnosis of infection with </w:t>
      </w:r>
      <w:r w:rsidRPr="00C23A41">
        <w:rPr>
          <w:rFonts w:ascii="Arial" w:hAnsi="Arial" w:cs="Arial"/>
          <w:i/>
        </w:rPr>
        <w:t>H. pylori</w:t>
      </w:r>
      <w:r w:rsidRPr="00EC7896">
        <w:rPr>
          <w:rFonts w:ascii="Arial" w:hAnsi="Arial" w:cs="Arial"/>
        </w:rPr>
        <w:t xml:space="preserve"> required endoscopy and identification of the organism by means of subsequent culture of the bacteria and/or recognition of spiral organisms in histologically evaluated sections of gastric tissue. However, the expense and invasive nature of this procedure make endoscopy impractical for epidemiologic studies. Serology has become the method of choice for such studies. There is excellent correlation between a classical clinical presentation of gastritis, the presence of </w:t>
      </w:r>
      <w:r w:rsidRPr="00C23A41">
        <w:rPr>
          <w:rFonts w:ascii="Arial" w:hAnsi="Arial" w:cs="Arial"/>
          <w:i/>
        </w:rPr>
        <w:t>H. pylori</w:t>
      </w:r>
      <w:r w:rsidRPr="00EC7896">
        <w:rPr>
          <w:rFonts w:ascii="Arial" w:hAnsi="Arial" w:cs="Arial"/>
        </w:rPr>
        <w:t xml:space="preserve"> in the stomach and elevated serum levels of</w:t>
      </w:r>
      <w:r>
        <w:rPr>
          <w:rFonts w:ascii="Arial" w:hAnsi="Arial" w:cs="Arial"/>
        </w:rPr>
        <w:t xml:space="preserve"> anti-</w:t>
      </w:r>
      <w:r w:rsidRPr="00C23A41">
        <w:rPr>
          <w:rFonts w:ascii="Arial" w:hAnsi="Arial" w:cs="Arial"/>
          <w:i/>
        </w:rPr>
        <w:t xml:space="preserve">H. pylori </w:t>
      </w:r>
      <w:r w:rsidR="000633A3">
        <w:rPr>
          <w:rFonts w:ascii="Arial" w:hAnsi="Arial" w:cs="Arial"/>
        </w:rPr>
        <w:t>antibodies</w:t>
      </w:r>
      <w:r w:rsidRPr="00EC7896">
        <w:rPr>
          <w:rFonts w:ascii="Arial" w:hAnsi="Arial" w:cs="Arial"/>
        </w:rPr>
        <w:t xml:space="preserve">. Positive results can justify a short empirical trial of antimicrobial therapy in gastritis of unknown origin, and response to treatment can be serially monitored because levels of </w:t>
      </w:r>
      <w:r w:rsidRPr="00C23A41">
        <w:rPr>
          <w:rFonts w:ascii="Arial" w:hAnsi="Arial" w:cs="Arial"/>
          <w:i/>
        </w:rPr>
        <w:t>H. pylori</w:t>
      </w:r>
      <w:r w:rsidRPr="00EC7896">
        <w:rPr>
          <w:rFonts w:ascii="Arial" w:hAnsi="Arial" w:cs="Arial"/>
        </w:rPr>
        <w:t xml:space="preserve"> -specific IgA/IgG/IgM antibodies can be expected to fall significantly after successful</w:t>
      </w:r>
      <w:r w:rsidR="000633A3">
        <w:rPr>
          <w:rFonts w:ascii="Arial" w:hAnsi="Arial" w:cs="Arial"/>
        </w:rPr>
        <w:t xml:space="preserve"> antibacterial therapy</w:t>
      </w:r>
      <w:r w:rsidRPr="00EC7896">
        <w:rPr>
          <w:rFonts w:ascii="Arial" w:hAnsi="Arial" w:cs="Arial"/>
        </w:rPr>
        <w:t xml:space="preserve">. </w:t>
      </w:r>
    </w:p>
    <w:p w:rsidR="00EC7896" w:rsidRDefault="00EC7896" w:rsidP="000A67EB">
      <w:pPr>
        <w:jc w:val="both"/>
        <w:rPr>
          <w:rFonts w:ascii="Arial" w:hAnsi="Arial" w:cs="Arial"/>
        </w:rPr>
      </w:pPr>
    </w:p>
    <w:p w:rsidR="00EC7896" w:rsidRPr="00694D85" w:rsidRDefault="00EC7896" w:rsidP="00694D85">
      <w:pPr>
        <w:pStyle w:val="ListParagraph"/>
        <w:numPr>
          <w:ilvl w:val="0"/>
          <w:numId w:val="41"/>
        </w:numPr>
        <w:jc w:val="both"/>
        <w:rPr>
          <w:rFonts w:ascii="Arial" w:hAnsi="Arial" w:cs="Arial"/>
          <w:b/>
          <w:u w:val="single"/>
        </w:rPr>
      </w:pPr>
      <w:r w:rsidRPr="00694D85">
        <w:rPr>
          <w:rFonts w:ascii="Arial" w:hAnsi="Arial" w:cs="Arial"/>
          <w:b/>
          <w:u w:val="single"/>
        </w:rPr>
        <w:t xml:space="preserve">PRINCIPLE OF TEST </w:t>
      </w:r>
    </w:p>
    <w:p w:rsidR="00EC7896" w:rsidRDefault="00EC7896" w:rsidP="00EC7896">
      <w:pPr>
        <w:ind w:left="360"/>
        <w:jc w:val="both"/>
        <w:rPr>
          <w:rFonts w:ascii="Arial" w:hAnsi="Arial" w:cs="Arial"/>
        </w:rPr>
      </w:pPr>
      <w:r w:rsidRPr="00EC7896">
        <w:rPr>
          <w:rFonts w:ascii="Arial" w:hAnsi="Arial" w:cs="Arial"/>
        </w:rPr>
        <w:t xml:space="preserve">The OSOM H. pylori Test utilizes indirect solid-phase immunoassay technology for the qualitative detection of </w:t>
      </w:r>
      <w:r w:rsidRPr="00C23A41">
        <w:rPr>
          <w:rFonts w:ascii="Arial" w:hAnsi="Arial" w:cs="Arial"/>
          <w:i/>
        </w:rPr>
        <w:t>H. pylori</w:t>
      </w:r>
      <w:r w:rsidRPr="00EC7896">
        <w:rPr>
          <w:rFonts w:ascii="Arial" w:hAnsi="Arial" w:cs="Arial"/>
        </w:rPr>
        <w:t xml:space="preserve"> antibodies. OSOM H. pylori consists of </w:t>
      </w:r>
      <w:r w:rsidRPr="00C23A41">
        <w:rPr>
          <w:rFonts w:ascii="Arial" w:hAnsi="Arial" w:cs="Arial"/>
          <w:i/>
        </w:rPr>
        <w:t>H. pylori</w:t>
      </w:r>
      <w:r w:rsidRPr="00EC7896">
        <w:rPr>
          <w:rFonts w:ascii="Arial" w:hAnsi="Arial" w:cs="Arial"/>
        </w:rPr>
        <w:t xml:space="preserve"> </w:t>
      </w:r>
      <w:r w:rsidRPr="00EC7896">
        <w:rPr>
          <w:rFonts w:ascii="Arial" w:hAnsi="Arial" w:cs="Arial"/>
        </w:rPr>
        <w:lastRenderedPageBreak/>
        <w:t xml:space="preserve">antigen on the test membrane and H. pylori antigen plus anti-human immunoglobulin antibodies coated on gold particles in the dye pad. Thus, in principle, the results of OSOM H. pylori may differ from the results of assay using only anti-IgG as a detector. In the test procedure, patient specimen is added in the upper area of the Sample well (S) located below the Result window. The Developer solution is then added in the Sample well. The solution mobilizes the dye conjugated to H. pylori antigen and to anti-human immunoglobulin antibodies. If any anti-H. pylori antibody is present in the </w:t>
      </w:r>
      <w:r w:rsidR="00F2343A" w:rsidRPr="00EC7896">
        <w:rPr>
          <w:rFonts w:ascii="Arial" w:hAnsi="Arial" w:cs="Arial"/>
        </w:rPr>
        <w:t>sample;</w:t>
      </w:r>
      <w:r w:rsidRPr="00EC7896">
        <w:rPr>
          <w:rFonts w:ascii="Arial" w:hAnsi="Arial" w:cs="Arial"/>
        </w:rPr>
        <w:t xml:space="preserve"> the dye conjugate will bind to the H. pylori antigen band impregnated on the test membrane. Visualization of the antigen band at the Test position (T) will occur only when the anti-H. pylori antibody is present in the sample. As the antibody-dye conjugate continues to move along the test membrane, it will be captured by a </w:t>
      </w:r>
      <w:r w:rsidR="00F2343A" w:rsidRPr="00EC7896">
        <w:rPr>
          <w:rFonts w:ascii="Arial" w:hAnsi="Arial" w:cs="Arial"/>
        </w:rPr>
        <w:t>species-specific</w:t>
      </w:r>
      <w:r w:rsidRPr="00EC7896">
        <w:rPr>
          <w:rFonts w:ascii="Arial" w:hAnsi="Arial" w:cs="Arial"/>
        </w:rPr>
        <w:t xml:space="preserve"> antibody located at the Control position (C) to generate a colored band regardless of th</w:t>
      </w:r>
      <w:r>
        <w:rPr>
          <w:rFonts w:ascii="Arial" w:hAnsi="Arial" w:cs="Arial"/>
        </w:rPr>
        <w:t>e presence of H. pylori antibod</w:t>
      </w:r>
      <w:r w:rsidRPr="00EC7896">
        <w:rPr>
          <w:rFonts w:ascii="Arial" w:hAnsi="Arial" w:cs="Arial"/>
        </w:rPr>
        <w:t xml:space="preserve">ies in the sample. The presence of two colored bands, one at the Test position and the other at the Control position, indicates a positive result, while the absence of a colored band at the Test position indicates a negative result. </w:t>
      </w:r>
    </w:p>
    <w:p w:rsidR="00EC7896" w:rsidRDefault="00EC7896" w:rsidP="000A67EB">
      <w:pPr>
        <w:jc w:val="both"/>
        <w:rPr>
          <w:rFonts w:ascii="Arial" w:hAnsi="Arial" w:cs="Arial"/>
        </w:rPr>
      </w:pPr>
    </w:p>
    <w:p w:rsidR="00EC7896" w:rsidRPr="00694D85" w:rsidRDefault="00EC7896" w:rsidP="00694D85">
      <w:pPr>
        <w:pStyle w:val="ListParagraph"/>
        <w:numPr>
          <w:ilvl w:val="0"/>
          <w:numId w:val="41"/>
        </w:numPr>
        <w:jc w:val="both"/>
        <w:rPr>
          <w:rFonts w:ascii="Arial" w:hAnsi="Arial" w:cs="Arial"/>
          <w:b/>
          <w:u w:val="single"/>
        </w:rPr>
      </w:pPr>
      <w:r w:rsidRPr="00694D85">
        <w:rPr>
          <w:rFonts w:ascii="Arial" w:hAnsi="Arial" w:cs="Arial"/>
          <w:b/>
          <w:u w:val="single"/>
        </w:rPr>
        <w:t>REAGENTS AND MATERIALS PROVIDED</w:t>
      </w:r>
    </w:p>
    <w:p w:rsidR="00EC7896" w:rsidRDefault="00EC7896" w:rsidP="00EC7896">
      <w:pPr>
        <w:ind w:left="360"/>
        <w:jc w:val="both"/>
        <w:rPr>
          <w:rFonts w:ascii="Arial" w:hAnsi="Arial" w:cs="Arial"/>
        </w:rPr>
      </w:pPr>
      <w:r w:rsidRPr="00EC7896">
        <w:rPr>
          <w:rFonts w:ascii="Arial" w:hAnsi="Arial" w:cs="Arial"/>
        </w:rPr>
        <w:t xml:space="preserve">Each test kit contains enough reagents and materials to perform all of the tests. Each OSOM H. pylori Test device contains a membrane strip coated with H. pylori antigen and a pad with indicator conjugates in a protein matrix. </w:t>
      </w:r>
    </w:p>
    <w:p w:rsidR="00EC7896" w:rsidRDefault="00EC7896" w:rsidP="00EC7896">
      <w:pPr>
        <w:ind w:left="360"/>
        <w:jc w:val="both"/>
        <w:rPr>
          <w:rFonts w:ascii="Arial" w:hAnsi="Arial" w:cs="Arial"/>
        </w:rPr>
      </w:pPr>
    </w:p>
    <w:p w:rsidR="00EC7896" w:rsidRPr="00255DF6" w:rsidRDefault="00EC7896" w:rsidP="00255DF6">
      <w:pPr>
        <w:pStyle w:val="ListParagraph"/>
        <w:numPr>
          <w:ilvl w:val="0"/>
          <w:numId w:val="28"/>
        </w:numPr>
        <w:jc w:val="both"/>
        <w:rPr>
          <w:rFonts w:ascii="Arial" w:hAnsi="Arial" w:cs="Arial"/>
        </w:rPr>
      </w:pPr>
      <w:r w:rsidRPr="00255DF6">
        <w:rPr>
          <w:rFonts w:ascii="Arial" w:hAnsi="Arial" w:cs="Arial"/>
        </w:rPr>
        <w:t xml:space="preserve">25 Test devices individually pouched </w:t>
      </w:r>
    </w:p>
    <w:p w:rsidR="00EC7896" w:rsidRPr="00255DF6" w:rsidRDefault="00EC7896" w:rsidP="00255DF6">
      <w:pPr>
        <w:pStyle w:val="ListParagraph"/>
        <w:numPr>
          <w:ilvl w:val="0"/>
          <w:numId w:val="28"/>
        </w:numPr>
        <w:jc w:val="both"/>
        <w:rPr>
          <w:rFonts w:ascii="Arial" w:hAnsi="Arial" w:cs="Arial"/>
        </w:rPr>
      </w:pPr>
      <w:r w:rsidRPr="00255DF6">
        <w:rPr>
          <w:rFonts w:ascii="Arial" w:hAnsi="Arial" w:cs="Arial"/>
        </w:rPr>
        <w:t xml:space="preserve">25 Capillary tubes </w:t>
      </w:r>
    </w:p>
    <w:p w:rsidR="00EC7896" w:rsidRPr="00255DF6" w:rsidRDefault="00EC7896" w:rsidP="00255DF6">
      <w:pPr>
        <w:pStyle w:val="ListParagraph"/>
        <w:numPr>
          <w:ilvl w:val="0"/>
          <w:numId w:val="28"/>
        </w:numPr>
        <w:jc w:val="both"/>
        <w:rPr>
          <w:rFonts w:ascii="Arial" w:hAnsi="Arial" w:cs="Arial"/>
        </w:rPr>
      </w:pPr>
      <w:r w:rsidRPr="00255DF6">
        <w:rPr>
          <w:rFonts w:ascii="Arial" w:hAnsi="Arial" w:cs="Arial"/>
        </w:rPr>
        <w:t xml:space="preserve">Developer solution containing 0.09% sodium azide </w:t>
      </w:r>
    </w:p>
    <w:p w:rsidR="00EC7896" w:rsidRPr="00255DF6" w:rsidRDefault="00EC7896" w:rsidP="00255DF6">
      <w:pPr>
        <w:pStyle w:val="ListParagraph"/>
        <w:numPr>
          <w:ilvl w:val="0"/>
          <w:numId w:val="28"/>
        </w:numPr>
        <w:jc w:val="both"/>
        <w:rPr>
          <w:rFonts w:ascii="Arial" w:hAnsi="Arial" w:cs="Arial"/>
        </w:rPr>
      </w:pPr>
      <w:r w:rsidRPr="00255DF6">
        <w:rPr>
          <w:rFonts w:ascii="Arial" w:hAnsi="Arial" w:cs="Arial"/>
        </w:rPr>
        <w:t xml:space="preserve">1 Directional Insert </w:t>
      </w:r>
    </w:p>
    <w:p w:rsidR="00EC7896" w:rsidRDefault="00EC7896" w:rsidP="000A67EB">
      <w:pPr>
        <w:jc w:val="both"/>
        <w:rPr>
          <w:rFonts w:ascii="Arial" w:hAnsi="Arial" w:cs="Arial"/>
        </w:rPr>
      </w:pPr>
    </w:p>
    <w:p w:rsidR="00EC7896" w:rsidRPr="00694D85" w:rsidRDefault="00EC7896" w:rsidP="00694D85">
      <w:pPr>
        <w:pStyle w:val="ListParagraph"/>
        <w:numPr>
          <w:ilvl w:val="0"/>
          <w:numId w:val="41"/>
        </w:numPr>
        <w:jc w:val="both"/>
        <w:rPr>
          <w:rFonts w:ascii="Arial" w:hAnsi="Arial" w:cs="Arial"/>
          <w:b/>
          <w:u w:val="single"/>
        </w:rPr>
      </w:pPr>
      <w:r w:rsidRPr="00694D85">
        <w:rPr>
          <w:rFonts w:ascii="Arial" w:hAnsi="Arial" w:cs="Arial"/>
          <w:b/>
          <w:u w:val="single"/>
        </w:rPr>
        <w:t xml:space="preserve">MATERIALS REQUIRED BUT NOT PROVIDED </w:t>
      </w:r>
    </w:p>
    <w:p w:rsidR="00EC7896" w:rsidRPr="00255DF6" w:rsidRDefault="00EC7896" w:rsidP="00255DF6">
      <w:pPr>
        <w:pStyle w:val="ListParagraph"/>
        <w:numPr>
          <w:ilvl w:val="0"/>
          <w:numId w:val="27"/>
        </w:numPr>
        <w:jc w:val="both"/>
        <w:rPr>
          <w:rFonts w:ascii="Arial" w:hAnsi="Arial" w:cs="Arial"/>
        </w:rPr>
      </w:pPr>
      <w:r w:rsidRPr="00255DF6">
        <w:rPr>
          <w:rFonts w:ascii="Arial" w:hAnsi="Arial" w:cs="Arial"/>
        </w:rPr>
        <w:t xml:space="preserve">A clock or timer </w:t>
      </w:r>
    </w:p>
    <w:p w:rsidR="00EC7896" w:rsidRPr="00255DF6" w:rsidRDefault="00EC7896" w:rsidP="00255DF6">
      <w:pPr>
        <w:pStyle w:val="ListParagraph"/>
        <w:numPr>
          <w:ilvl w:val="0"/>
          <w:numId w:val="27"/>
        </w:numPr>
        <w:jc w:val="both"/>
        <w:rPr>
          <w:rFonts w:ascii="Arial" w:hAnsi="Arial" w:cs="Arial"/>
        </w:rPr>
      </w:pPr>
      <w:r w:rsidRPr="00255DF6">
        <w:rPr>
          <w:rFonts w:ascii="Arial" w:hAnsi="Arial" w:cs="Arial"/>
        </w:rPr>
        <w:t xml:space="preserve">Vacutainer tubes for plasma procedure </w:t>
      </w:r>
    </w:p>
    <w:p w:rsidR="00EC7896" w:rsidRPr="00255DF6" w:rsidRDefault="00EC7896" w:rsidP="00255DF6">
      <w:pPr>
        <w:pStyle w:val="ListParagraph"/>
        <w:numPr>
          <w:ilvl w:val="0"/>
          <w:numId w:val="27"/>
        </w:numPr>
        <w:jc w:val="both"/>
        <w:rPr>
          <w:rFonts w:ascii="Arial" w:hAnsi="Arial" w:cs="Arial"/>
        </w:rPr>
      </w:pPr>
      <w:r w:rsidRPr="00255DF6">
        <w:rPr>
          <w:rFonts w:ascii="Arial" w:hAnsi="Arial" w:cs="Arial"/>
        </w:rPr>
        <w:t xml:space="preserve">Anticoagulant (EDTA) for plasma </w:t>
      </w:r>
    </w:p>
    <w:p w:rsidR="00EC7896" w:rsidRPr="00255DF6" w:rsidRDefault="00EC7896" w:rsidP="00255DF6">
      <w:pPr>
        <w:pStyle w:val="ListParagraph"/>
        <w:numPr>
          <w:ilvl w:val="0"/>
          <w:numId w:val="27"/>
        </w:numPr>
        <w:jc w:val="both"/>
        <w:rPr>
          <w:rFonts w:ascii="Arial" w:hAnsi="Arial" w:cs="Arial"/>
        </w:rPr>
      </w:pPr>
      <w:r w:rsidRPr="00255DF6">
        <w:rPr>
          <w:rFonts w:ascii="Arial" w:hAnsi="Arial" w:cs="Arial"/>
        </w:rPr>
        <w:t xml:space="preserve">Centrifuge </w:t>
      </w:r>
    </w:p>
    <w:p w:rsidR="00C23A41" w:rsidRDefault="00EC7896" w:rsidP="00694F79">
      <w:pPr>
        <w:pStyle w:val="ListParagraph"/>
        <w:numPr>
          <w:ilvl w:val="0"/>
          <w:numId w:val="27"/>
        </w:numPr>
        <w:jc w:val="both"/>
        <w:rPr>
          <w:rFonts w:ascii="Arial" w:hAnsi="Arial" w:cs="Arial"/>
        </w:rPr>
      </w:pPr>
      <w:r w:rsidRPr="00255DF6">
        <w:rPr>
          <w:rFonts w:ascii="Arial" w:hAnsi="Arial" w:cs="Arial"/>
        </w:rPr>
        <w:t>Lancet</w:t>
      </w:r>
    </w:p>
    <w:p w:rsidR="00694F79" w:rsidRPr="00694F79" w:rsidRDefault="00694F79" w:rsidP="00694F79">
      <w:pPr>
        <w:jc w:val="both"/>
        <w:rPr>
          <w:rFonts w:ascii="Arial" w:hAnsi="Arial" w:cs="Arial"/>
        </w:rPr>
      </w:pPr>
    </w:p>
    <w:p w:rsidR="00694F79" w:rsidRPr="00694D85" w:rsidRDefault="00694F79" w:rsidP="00694D85">
      <w:pPr>
        <w:pStyle w:val="ListParagraph"/>
        <w:numPr>
          <w:ilvl w:val="0"/>
          <w:numId w:val="41"/>
        </w:numPr>
        <w:jc w:val="both"/>
        <w:rPr>
          <w:rFonts w:ascii="Arial" w:hAnsi="Arial" w:cs="Arial"/>
          <w:b/>
          <w:u w:val="single"/>
        </w:rPr>
      </w:pPr>
      <w:r w:rsidRPr="00694D85">
        <w:rPr>
          <w:rFonts w:ascii="Arial" w:hAnsi="Arial" w:cs="Arial"/>
          <w:b/>
          <w:u w:val="single"/>
        </w:rPr>
        <w:t>Warnings and Precautions</w:t>
      </w:r>
    </w:p>
    <w:p w:rsidR="00694F79" w:rsidRDefault="00694F79" w:rsidP="00A129FA">
      <w:pPr>
        <w:pStyle w:val="ListParagraph"/>
        <w:numPr>
          <w:ilvl w:val="0"/>
          <w:numId w:val="35"/>
        </w:numPr>
        <w:jc w:val="both"/>
        <w:rPr>
          <w:rFonts w:ascii="Arial" w:hAnsi="Arial" w:cs="Arial"/>
        </w:rPr>
      </w:pPr>
      <w:r w:rsidRPr="00694F79">
        <w:rPr>
          <w:rFonts w:ascii="Arial" w:hAnsi="Arial" w:cs="Arial"/>
        </w:rPr>
        <w:t xml:space="preserve">For in vitro diagnostic use only. </w:t>
      </w:r>
    </w:p>
    <w:p w:rsidR="00694F79" w:rsidRDefault="00694F79" w:rsidP="00A129FA">
      <w:pPr>
        <w:pStyle w:val="ListParagraph"/>
        <w:numPr>
          <w:ilvl w:val="0"/>
          <w:numId w:val="35"/>
        </w:numPr>
        <w:jc w:val="both"/>
        <w:rPr>
          <w:rFonts w:ascii="Arial" w:hAnsi="Arial" w:cs="Arial"/>
        </w:rPr>
      </w:pPr>
      <w:r w:rsidRPr="00694F79">
        <w:rPr>
          <w:rFonts w:ascii="Arial" w:hAnsi="Arial" w:cs="Arial"/>
        </w:rPr>
        <w:t xml:space="preserve">Do not interchange materials from different product lots and do not use beyond the expiration date. </w:t>
      </w:r>
    </w:p>
    <w:p w:rsidR="00694F79" w:rsidRDefault="00694F79" w:rsidP="00A129FA">
      <w:pPr>
        <w:pStyle w:val="ListParagraph"/>
        <w:numPr>
          <w:ilvl w:val="0"/>
          <w:numId w:val="35"/>
        </w:numPr>
        <w:jc w:val="both"/>
        <w:rPr>
          <w:rFonts w:ascii="Arial" w:hAnsi="Arial" w:cs="Arial"/>
        </w:rPr>
      </w:pPr>
      <w:r w:rsidRPr="00694F79">
        <w:rPr>
          <w:rFonts w:ascii="Arial" w:hAnsi="Arial" w:cs="Arial"/>
        </w:rPr>
        <w:t xml:space="preserve"> Use separate clean capillary tubes for different speci</w:t>
      </w:r>
      <w:r>
        <w:rPr>
          <w:rFonts w:ascii="Arial" w:hAnsi="Arial" w:cs="Arial"/>
        </w:rPr>
        <w:t xml:space="preserve">mens. Do not pipette by mouth. </w:t>
      </w:r>
    </w:p>
    <w:p w:rsidR="00694F79" w:rsidRDefault="00694F79" w:rsidP="00A129FA">
      <w:pPr>
        <w:pStyle w:val="ListParagraph"/>
        <w:numPr>
          <w:ilvl w:val="0"/>
          <w:numId w:val="35"/>
        </w:numPr>
        <w:jc w:val="both"/>
        <w:rPr>
          <w:rFonts w:ascii="Arial" w:hAnsi="Arial" w:cs="Arial"/>
        </w:rPr>
      </w:pPr>
      <w:r w:rsidRPr="00694F79">
        <w:rPr>
          <w:rFonts w:ascii="Arial" w:hAnsi="Arial" w:cs="Arial"/>
        </w:rPr>
        <w:t xml:space="preserve"> Do not smoke, eat or drink in areas in which specimen</w:t>
      </w:r>
      <w:r>
        <w:rPr>
          <w:rFonts w:ascii="Arial" w:hAnsi="Arial" w:cs="Arial"/>
        </w:rPr>
        <w:t xml:space="preserve">s or kit reagents are handled. </w:t>
      </w:r>
    </w:p>
    <w:p w:rsidR="00694F79" w:rsidRPr="00694F79" w:rsidRDefault="00694F79" w:rsidP="00A129FA">
      <w:pPr>
        <w:pStyle w:val="ListParagraph"/>
        <w:numPr>
          <w:ilvl w:val="0"/>
          <w:numId w:val="35"/>
        </w:numPr>
        <w:jc w:val="both"/>
        <w:rPr>
          <w:rFonts w:ascii="Arial" w:hAnsi="Arial" w:cs="Arial"/>
        </w:rPr>
      </w:pPr>
      <w:r w:rsidRPr="00694F79">
        <w:rPr>
          <w:rFonts w:ascii="Arial" w:hAnsi="Arial" w:cs="Arial"/>
        </w:rPr>
        <w:t xml:space="preserve"> Wear disposable gloves while handling kit reagents or specimens and thoroughly   wash hands afterwards. </w:t>
      </w:r>
    </w:p>
    <w:p w:rsidR="00694F79" w:rsidRDefault="000633A3" w:rsidP="00A129FA">
      <w:pPr>
        <w:pStyle w:val="ListParagraph"/>
        <w:numPr>
          <w:ilvl w:val="0"/>
          <w:numId w:val="35"/>
        </w:numPr>
        <w:jc w:val="both"/>
        <w:rPr>
          <w:rFonts w:ascii="Arial" w:hAnsi="Arial" w:cs="Arial"/>
        </w:rPr>
      </w:pPr>
      <w:r>
        <w:rPr>
          <w:rFonts w:ascii="Arial" w:hAnsi="Arial" w:cs="Arial"/>
        </w:rPr>
        <w:lastRenderedPageBreak/>
        <w:t xml:space="preserve">All patient samples should be </w:t>
      </w:r>
      <w:r w:rsidR="00694F79" w:rsidRPr="00694F79">
        <w:rPr>
          <w:rFonts w:ascii="Arial" w:hAnsi="Arial" w:cs="Arial"/>
        </w:rPr>
        <w:t xml:space="preserve">handled as if they were capable of transmitting disease. </w:t>
      </w:r>
    </w:p>
    <w:p w:rsidR="00694F79" w:rsidRDefault="00694F79" w:rsidP="00A129FA">
      <w:pPr>
        <w:pStyle w:val="ListParagraph"/>
        <w:numPr>
          <w:ilvl w:val="0"/>
          <w:numId w:val="35"/>
        </w:numPr>
        <w:jc w:val="both"/>
        <w:rPr>
          <w:rFonts w:ascii="Arial" w:hAnsi="Arial" w:cs="Arial"/>
        </w:rPr>
      </w:pPr>
      <w:r w:rsidRPr="00694F79">
        <w:rPr>
          <w:rFonts w:ascii="Arial" w:hAnsi="Arial" w:cs="Arial"/>
        </w:rPr>
        <w:t xml:space="preserve">Observe established precautions against microbiological hazard throughout all procedures and follow the standard procedures for proper disposal of specimens. </w:t>
      </w:r>
    </w:p>
    <w:p w:rsidR="00694F79" w:rsidRDefault="00694F79" w:rsidP="00A129FA">
      <w:pPr>
        <w:pStyle w:val="ListParagraph"/>
        <w:numPr>
          <w:ilvl w:val="0"/>
          <w:numId w:val="35"/>
        </w:numPr>
        <w:jc w:val="both"/>
        <w:rPr>
          <w:rFonts w:ascii="Arial" w:hAnsi="Arial" w:cs="Arial"/>
        </w:rPr>
      </w:pPr>
      <w:r w:rsidRPr="00694F79">
        <w:rPr>
          <w:rFonts w:ascii="Arial" w:hAnsi="Arial" w:cs="Arial"/>
        </w:rPr>
        <w:t>Developer solution in this kit contains sodium azide as a preservative, which may react with lead or copper in plumbing to form potentially explosive metal azides. Upon disposal, always flush with a large volume of water to prevent azide buildup in drains. • The OSOM H. pylori device should remain in its original sealed pouch until ready for use.</w:t>
      </w:r>
    </w:p>
    <w:p w:rsidR="00694F79" w:rsidRPr="00694F79" w:rsidRDefault="00694F79" w:rsidP="00A129FA">
      <w:pPr>
        <w:pStyle w:val="ListParagraph"/>
        <w:numPr>
          <w:ilvl w:val="0"/>
          <w:numId w:val="35"/>
        </w:numPr>
        <w:jc w:val="both"/>
        <w:rPr>
          <w:rFonts w:ascii="Arial" w:hAnsi="Arial" w:cs="Arial"/>
        </w:rPr>
      </w:pPr>
      <w:r w:rsidRPr="00694F79">
        <w:rPr>
          <w:rFonts w:ascii="Arial" w:hAnsi="Arial" w:cs="Arial"/>
        </w:rPr>
        <w:t>Do not use the test if the pouch is damaged</w:t>
      </w:r>
    </w:p>
    <w:p w:rsidR="00EC7896" w:rsidRPr="00694F79" w:rsidRDefault="00EC7896" w:rsidP="00EC7896">
      <w:pPr>
        <w:ind w:left="360"/>
        <w:jc w:val="both"/>
        <w:rPr>
          <w:rFonts w:ascii="Arial" w:hAnsi="Arial" w:cs="Arial"/>
        </w:rPr>
      </w:pPr>
    </w:p>
    <w:p w:rsidR="00EC7896" w:rsidRPr="00694D85" w:rsidRDefault="00EC7896" w:rsidP="00694D85">
      <w:pPr>
        <w:pStyle w:val="ListParagraph"/>
        <w:numPr>
          <w:ilvl w:val="0"/>
          <w:numId w:val="41"/>
        </w:numPr>
        <w:jc w:val="both"/>
        <w:rPr>
          <w:rFonts w:ascii="Arial" w:hAnsi="Arial" w:cs="Arial"/>
          <w:b/>
          <w:u w:val="single"/>
        </w:rPr>
      </w:pPr>
      <w:r w:rsidRPr="00694D85">
        <w:rPr>
          <w:rFonts w:ascii="Arial" w:hAnsi="Arial" w:cs="Arial"/>
          <w:b/>
          <w:u w:val="single"/>
        </w:rPr>
        <w:t xml:space="preserve">STORAGE AND STABILITY </w:t>
      </w:r>
    </w:p>
    <w:p w:rsidR="00EC7896" w:rsidRPr="00EC7896" w:rsidRDefault="00EC7896" w:rsidP="00EC7896">
      <w:pPr>
        <w:ind w:left="360"/>
        <w:jc w:val="both"/>
        <w:rPr>
          <w:rFonts w:ascii="Arial" w:hAnsi="Arial" w:cs="Arial"/>
        </w:rPr>
      </w:pPr>
      <w:r w:rsidRPr="00EC7896">
        <w:rPr>
          <w:rFonts w:ascii="Arial" w:hAnsi="Arial" w:cs="Arial"/>
        </w:rPr>
        <w:t xml:space="preserve">The OSOM H. pylori Test kit should be stored at 2–30°C (36–86°F) in the original sealed pouch. The storage conditions and stability dating given were established under these conditions. The kit is stable until the expiration date. </w:t>
      </w:r>
    </w:p>
    <w:p w:rsidR="00EC7896" w:rsidRDefault="00EC7896" w:rsidP="00EC7896">
      <w:pPr>
        <w:ind w:left="360"/>
        <w:jc w:val="both"/>
        <w:rPr>
          <w:rFonts w:ascii="Arial" w:hAnsi="Arial" w:cs="Arial"/>
        </w:rPr>
      </w:pPr>
    </w:p>
    <w:p w:rsidR="00EC7896" w:rsidRPr="00694D85" w:rsidRDefault="00EC7896" w:rsidP="00694D85">
      <w:pPr>
        <w:pStyle w:val="ListParagraph"/>
        <w:numPr>
          <w:ilvl w:val="0"/>
          <w:numId w:val="41"/>
        </w:numPr>
        <w:jc w:val="both"/>
        <w:rPr>
          <w:rFonts w:ascii="Arial" w:hAnsi="Arial" w:cs="Arial"/>
          <w:b/>
          <w:u w:val="single"/>
        </w:rPr>
      </w:pPr>
      <w:r w:rsidRPr="00694D85">
        <w:rPr>
          <w:rFonts w:ascii="Arial" w:hAnsi="Arial" w:cs="Arial"/>
          <w:b/>
          <w:u w:val="single"/>
        </w:rPr>
        <w:t xml:space="preserve">SPECIMEN COLLECTION AND PREPARATION </w:t>
      </w:r>
    </w:p>
    <w:p w:rsidR="00EC7896" w:rsidRPr="00255DF6" w:rsidRDefault="00EC7896" w:rsidP="00255DF6">
      <w:pPr>
        <w:pStyle w:val="ListParagraph"/>
        <w:numPr>
          <w:ilvl w:val="0"/>
          <w:numId w:val="29"/>
        </w:numPr>
        <w:jc w:val="both"/>
        <w:rPr>
          <w:rFonts w:ascii="Arial" w:hAnsi="Arial" w:cs="Arial"/>
        </w:rPr>
      </w:pPr>
      <w:r w:rsidRPr="00255DF6">
        <w:rPr>
          <w:rFonts w:ascii="Arial" w:hAnsi="Arial" w:cs="Arial"/>
        </w:rPr>
        <w:t xml:space="preserve">Anticoagulated Whole Blood: Whole blood collected over sodium heparin, lithium heparin, citrate or EDTA can be used. Mix whole blood by inversion and use in the test as outlined in the Test Procedure. </w:t>
      </w:r>
    </w:p>
    <w:p w:rsidR="00EC7896" w:rsidRPr="00255DF6" w:rsidRDefault="00EC7896" w:rsidP="00255DF6">
      <w:pPr>
        <w:pStyle w:val="ListParagraph"/>
        <w:numPr>
          <w:ilvl w:val="0"/>
          <w:numId w:val="29"/>
        </w:numPr>
        <w:jc w:val="both"/>
        <w:rPr>
          <w:rFonts w:ascii="Arial" w:hAnsi="Arial" w:cs="Arial"/>
        </w:rPr>
      </w:pPr>
      <w:r w:rsidRPr="00255DF6">
        <w:rPr>
          <w:rFonts w:ascii="Arial" w:hAnsi="Arial" w:cs="Arial"/>
        </w:rPr>
        <w:t xml:space="preserve">Fingertip Whole Blood: Prick the finger and collect the blood in a capillary tube to the 25 µL mark. Follow the Test Procedure. </w:t>
      </w:r>
    </w:p>
    <w:p w:rsidR="00EC7896" w:rsidRPr="00694F79" w:rsidRDefault="00EC7896" w:rsidP="00694F79">
      <w:pPr>
        <w:pStyle w:val="ListParagraph"/>
        <w:numPr>
          <w:ilvl w:val="0"/>
          <w:numId w:val="29"/>
        </w:numPr>
        <w:jc w:val="both"/>
        <w:rPr>
          <w:rFonts w:ascii="Arial" w:hAnsi="Arial" w:cs="Arial"/>
        </w:rPr>
      </w:pPr>
      <w:r w:rsidRPr="00255DF6">
        <w:rPr>
          <w:rFonts w:ascii="Arial" w:hAnsi="Arial" w:cs="Arial"/>
        </w:rPr>
        <w:t>When collecting sample hold capillary tube so that</w:t>
      </w:r>
      <w:r w:rsidR="00694F79">
        <w:rPr>
          <w:rFonts w:ascii="Arial" w:hAnsi="Arial" w:cs="Arial"/>
        </w:rPr>
        <w:t xml:space="preserve"> black line (25 uL whole blood).</w:t>
      </w:r>
    </w:p>
    <w:p w:rsidR="00694F79" w:rsidRDefault="00EC7896" w:rsidP="00A45C92">
      <w:pPr>
        <w:pStyle w:val="ListParagraph"/>
        <w:numPr>
          <w:ilvl w:val="0"/>
          <w:numId w:val="29"/>
        </w:numPr>
        <w:jc w:val="both"/>
        <w:rPr>
          <w:rFonts w:ascii="Arial" w:hAnsi="Arial" w:cs="Arial"/>
        </w:rPr>
      </w:pPr>
      <w:r w:rsidRPr="00694F79">
        <w:rPr>
          <w:rFonts w:ascii="Arial" w:hAnsi="Arial" w:cs="Arial"/>
        </w:rPr>
        <w:t xml:space="preserve">Refrigerate all specimens at 2–8°C until ready for testing. </w:t>
      </w:r>
    </w:p>
    <w:p w:rsidR="00EC7896" w:rsidRPr="00694F79" w:rsidRDefault="00EC7896" w:rsidP="00A45C92">
      <w:pPr>
        <w:pStyle w:val="ListParagraph"/>
        <w:numPr>
          <w:ilvl w:val="0"/>
          <w:numId w:val="29"/>
        </w:numPr>
        <w:jc w:val="both"/>
        <w:rPr>
          <w:rFonts w:ascii="Arial" w:hAnsi="Arial" w:cs="Arial"/>
        </w:rPr>
      </w:pPr>
      <w:r w:rsidRPr="00694F79">
        <w:rPr>
          <w:rFonts w:ascii="Arial" w:hAnsi="Arial" w:cs="Arial"/>
        </w:rPr>
        <w:t xml:space="preserve">Bring samples to room temperature (18–30°C) before testing. </w:t>
      </w:r>
    </w:p>
    <w:p w:rsidR="00EC7896" w:rsidRPr="00255DF6" w:rsidRDefault="00EC7896" w:rsidP="00255DF6">
      <w:pPr>
        <w:pStyle w:val="ListParagraph"/>
        <w:numPr>
          <w:ilvl w:val="0"/>
          <w:numId w:val="29"/>
        </w:numPr>
        <w:jc w:val="both"/>
        <w:rPr>
          <w:rFonts w:ascii="Arial" w:hAnsi="Arial" w:cs="Arial"/>
        </w:rPr>
      </w:pPr>
      <w:r w:rsidRPr="00255DF6">
        <w:rPr>
          <w:rFonts w:ascii="Arial" w:hAnsi="Arial" w:cs="Arial"/>
        </w:rPr>
        <w:t xml:space="preserve">If specimens are to be shipped, they should be packed in compliance with Federal and carrier regulations covering transportation of etiologic agents. </w:t>
      </w:r>
    </w:p>
    <w:p w:rsidR="00EC7896" w:rsidRPr="00EC7896" w:rsidRDefault="00EC7896" w:rsidP="00EC7896">
      <w:pPr>
        <w:ind w:left="360"/>
        <w:jc w:val="both"/>
        <w:rPr>
          <w:rFonts w:ascii="Arial" w:hAnsi="Arial" w:cs="Arial"/>
        </w:rPr>
      </w:pPr>
    </w:p>
    <w:p w:rsidR="00EC7896" w:rsidRPr="00694D85" w:rsidRDefault="00EC7896" w:rsidP="00694D85">
      <w:pPr>
        <w:pStyle w:val="ListParagraph"/>
        <w:numPr>
          <w:ilvl w:val="0"/>
          <w:numId w:val="41"/>
        </w:numPr>
        <w:jc w:val="both"/>
        <w:rPr>
          <w:rFonts w:ascii="Arial" w:hAnsi="Arial" w:cs="Arial"/>
          <w:b/>
          <w:u w:val="single"/>
        </w:rPr>
      </w:pPr>
      <w:r w:rsidRPr="00694D85">
        <w:rPr>
          <w:rFonts w:ascii="Arial" w:hAnsi="Arial" w:cs="Arial"/>
          <w:b/>
          <w:u w:val="single"/>
        </w:rPr>
        <w:t xml:space="preserve">PROCEDURE </w:t>
      </w:r>
    </w:p>
    <w:p w:rsidR="00EC7896" w:rsidRPr="00EC7896" w:rsidRDefault="00EC7896" w:rsidP="00EC7896">
      <w:pPr>
        <w:ind w:left="360"/>
        <w:jc w:val="both"/>
        <w:rPr>
          <w:rFonts w:ascii="Arial" w:hAnsi="Arial" w:cs="Arial"/>
        </w:rPr>
      </w:pPr>
      <w:r w:rsidRPr="00EC7896">
        <w:rPr>
          <w:rFonts w:ascii="Arial" w:hAnsi="Arial" w:cs="Arial"/>
        </w:rPr>
        <w:t xml:space="preserve">Procedural Notes </w:t>
      </w:r>
    </w:p>
    <w:p w:rsidR="00EC7896" w:rsidRPr="00255DF6" w:rsidRDefault="00EC7896" w:rsidP="000633A3">
      <w:pPr>
        <w:pStyle w:val="ListParagraph"/>
        <w:numPr>
          <w:ilvl w:val="0"/>
          <w:numId w:val="31"/>
        </w:numPr>
        <w:jc w:val="both"/>
        <w:rPr>
          <w:rFonts w:ascii="Arial" w:hAnsi="Arial" w:cs="Arial"/>
        </w:rPr>
      </w:pPr>
      <w:r w:rsidRPr="00255DF6">
        <w:rPr>
          <w:rFonts w:ascii="Arial" w:hAnsi="Arial" w:cs="Arial"/>
        </w:rPr>
        <w:t xml:space="preserve">Allow specimens and the OSOM H. pylori Test kit to warm to room temperature (18–30°C) before testing. </w:t>
      </w:r>
    </w:p>
    <w:p w:rsidR="00EC7896" w:rsidRPr="00255DF6" w:rsidRDefault="00EC7896" w:rsidP="000633A3">
      <w:pPr>
        <w:pStyle w:val="ListParagraph"/>
        <w:numPr>
          <w:ilvl w:val="0"/>
          <w:numId w:val="31"/>
        </w:numPr>
        <w:jc w:val="both"/>
        <w:rPr>
          <w:rFonts w:ascii="Arial" w:hAnsi="Arial" w:cs="Arial"/>
        </w:rPr>
      </w:pPr>
      <w:r w:rsidRPr="00255DF6">
        <w:rPr>
          <w:rFonts w:ascii="Arial" w:hAnsi="Arial" w:cs="Arial"/>
        </w:rPr>
        <w:t xml:space="preserve">Do not open the sealed pouch until you are ready to perform the test. </w:t>
      </w:r>
    </w:p>
    <w:p w:rsidR="00EC7896" w:rsidRPr="00255DF6" w:rsidRDefault="00EC7896" w:rsidP="000633A3">
      <w:pPr>
        <w:pStyle w:val="ListParagraph"/>
        <w:numPr>
          <w:ilvl w:val="0"/>
          <w:numId w:val="31"/>
        </w:numPr>
        <w:jc w:val="both"/>
        <w:rPr>
          <w:rFonts w:ascii="Arial" w:hAnsi="Arial" w:cs="Arial"/>
        </w:rPr>
      </w:pPr>
      <w:r w:rsidRPr="00255DF6">
        <w:rPr>
          <w:rFonts w:ascii="Arial" w:hAnsi="Arial" w:cs="Arial"/>
        </w:rPr>
        <w:t xml:space="preserve">Several tests may be run at one time. </w:t>
      </w:r>
    </w:p>
    <w:p w:rsidR="00EC7896" w:rsidRPr="00255DF6" w:rsidRDefault="00EC7896" w:rsidP="000633A3">
      <w:pPr>
        <w:pStyle w:val="ListParagraph"/>
        <w:numPr>
          <w:ilvl w:val="0"/>
          <w:numId w:val="31"/>
        </w:numPr>
        <w:jc w:val="both"/>
        <w:rPr>
          <w:rFonts w:ascii="Arial" w:hAnsi="Arial" w:cs="Arial"/>
        </w:rPr>
      </w:pPr>
      <w:r w:rsidRPr="00255DF6">
        <w:rPr>
          <w:rFonts w:ascii="Arial" w:hAnsi="Arial" w:cs="Arial"/>
        </w:rPr>
        <w:t xml:space="preserve">Do not reuse a lancet. </w:t>
      </w:r>
    </w:p>
    <w:p w:rsidR="00EC7896" w:rsidRPr="00255DF6" w:rsidRDefault="00EC7896" w:rsidP="000633A3">
      <w:pPr>
        <w:pStyle w:val="ListParagraph"/>
        <w:numPr>
          <w:ilvl w:val="0"/>
          <w:numId w:val="31"/>
        </w:numPr>
        <w:jc w:val="both"/>
        <w:rPr>
          <w:rFonts w:ascii="Arial" w:hAnsi="Arial" w:cs="Arial"/>
        </w:rPr>
      </w:pPr>
      <w:r w:rsidRPr="00255DF6">
        <w:rPr>
          <w:rFonts w:ascii="Arial" w:hAnsi="Arial" w:cs="Arial"/>
        </w:rPr>
        <w:t xml:space="preserve">To avoid cross-contamination, use a new capillary tube for each specimen. </w:t>
      </w:r>
    </w:p>
    <w:p w:rsidR="00EC7896" w:rsidRPr="00255DF6" w:rsidRDefault="00EC7896" w:rsidP="000633A3">
      <w:pPr>
        <w:pStyle w:val="ListParagraph"/>
        <w:numPr>
          <w:ilvl w:val="0"/>
          <w:numId w:val="31"/>
        </w:numPr>
        <w:jc w:val="both"/>
        <w:rPr>
          <w:rFonts w:ascii="Arial" w:hAnsi="Arial" w:cs="Arial"/>
        </w:rPr>
      </w:pPr>
      <w:r w:rsidRPr="00255DF6">
        <w:rPr>
          <w:rFonts w:ascii="Arial" w:hAnsi="Arial" w:cs="Arial"/>
        </w:rPr>
        <w:t xml:space="preserve">To avoid contamination, do not touch the tip of the Developer solution dropper bottle to skin or to the test device. </w:t>
      </w:r>
    </w:p>
    <w:p w:rsidR="00EC7896" w:rsidRPr="00255DF6" w:rsidRDefault="00EC7896" w:rsidP="000633A3">
      <w:pPr>
        <w:pStyle w:val="ListParagraph"/>
        <w:numPr>
          <w:ilvl w:val="0"/>
          <w:numId w:val="31"/>
        </w:numPr>
        <w:jc w:val="both"/>
        <w:rPr>
          <w:rFonts w:ascii="Arial" w:hAnsi="Arial" w:cs="Arial"/>
        </w:rPr>
      </w:pPr>
      <w:r w:rsidRPr="00255DF6">
        <w:rPr>
          <w:rFonts w:ascii="Arial" w:hAnsi="Arial" w:cs="Arial"/>
        </w:rPr>
        <w:t xml:space="preserve">Label the device with the patient’s name or control number. </w:t>
      </w:r>
    </w:p>
    <w:p w:rsidR="00EC7896" w:rsidRPr="00255DF6" w:rsidRDefault="00EC7896" w:rsidP="000633A3">
      <w:pPr>
        <w:pStyle w:val="ListParagraph"/>
        <w:numPr>
          <w:ilvl w:val="0"/>
          <w:numId w:val="31"/>
        </w:numPr>
        <w:jc w:val="both"/>
        <w:rPr>
          <w:rFonts w:ascii="Arial" w:hAnsi="Arial" w:cs="Arial"/>
        </w:rPr>
      </w:pPr>
      <w:r w:rsidRPr="00255DF6">
        <w:rPr>
          <w:rFonts w:ascii="Arial" w:hAnsi="Arial" w:cs="Arial"/>
        </w:rPr>
        <w:t xml:space="preserve">When adding the Developer solution, hold the dropper bottle in a vertical position above the lower area of the Sample well (S). </w:t>
      </w:r>
    </w:p>
    <w:p w:rsidR="00EC7896" w:rsidRPr="00255DF6" w:rsidRDefault="00EC7896" w:rsidP="000633A3">
      <w:pPr>
        <w:pStyle w:val="ListParagraph"/>
        <w:numPr>
          <w:ilvl w:val="0"/>
          <w:numId w:val="31"/>
        </w:numPr>
        <w:jc w:val="both"/>
        <w:rPr>
          <w:rFonts w:ascii="Arial" w:hAnsi="Arial" w:cs="Arial"/>
        </w:rPr>
      </w:pPr>
      <w:r w:rsidRPr="00255DF6">
        <w:rPr>
          <w:rFonts w:ascii="Arial" w:hAnsi="Arial" w:cs="Arial"/>
        </w:rPr>
        <w:lastRenderedPageBreak/>
        <w:t>After testing, dispose of the OSOM H. pylori Test and the specimen dispenser or capillary tube following good laboratory practices. Consider each material that comes in contact with the specimen to be potentially infectious</w:t>
      </w:r>
    </w:p>
    <w:p w:rsidR="00551E56" w:rsidRDefault="00551E56" w:rsidP="00EC7896">
      <w:pPr>
        <w:ind w:left="360"/>
        <w:jc w:val="both"/>
        <w:rPr>
          <w:rFonts w:ascii="Arial" w:hAnsi="Arial" w:cs="Arial"/>
        </w:rPr>
      </w:pPr>
    </w:p>
    <w:p w:rsidR="00551E56" w:rsidRPr="00694D85" w:rsidRDefault="00551E56" w:rsidP="00694D85">
      <w:pPr>
        <w:pStyle w:val="ListParagraph"/>
        <w:numPr>
          <w:ilvl w:val="0"/>
          <w:numId w:val="41"/>
        </w:numPr>
        <w:jc w:val="both"/>
        <w:rPr>
          <w:rFonts w:ascii="Arial" w:hAnsi="Arial" w:cs="Arial"/>
          <w:b/>
          <w:u w:val="single"/>
        </w:rPr>
      </w:pPr>
      <w:r w:rsidRPr="00694D85">
        <w:rPr>
          <w:rFonts w:ascii="Arial" w:hAnsi="Arial" w:cs="Arial"/>
          <w:b/>
          <w:u w:val="single"/>
        </w:rPr>
        <w:t xml:space="preserve">TEST PROCEDURE </w:t>
      </w:r>
    </w:p>
    <w:p w:rsidR="00551E56" w:rsidRPr="00255DF6" w:rsidRDefault="00551E56" w:rsidP="000633A3">
      <w:pPr>
        <w:pStyle w:val="ListParagraph"/>
        <w:numPr>
          <w:ilvl w:val="1"/>
          <w:numId w:val="25"/>
        </w:numPr>
        <w:jc w:val="both"/>
        <w:rPr>
          <w:rFonts w:ascii="Arial" w:hAnsi="Arial" w:cs="Arial"/>
        </w:rPr>
      </w:pPr>
      <w:r w:rsidRPr="00255DF6">
        <w:rPr>
          <w:rFonts w:ascii="Arial" w:hAnsi="Arial" w:cs="Arial"/>
        </w:rPr>
        <w:t xml:space="preserve">Remove device from pouch and place on flat surface. </w:t>
      </w:r>
    </w:p>
    <w:p w:rsidR="00694F79" w:rsidRDefault="00551E56" w:rsidP="000633A3">
      <w:pPr>
        <w:pStyle w:val="ListParagraph"/>
        <w:numPr>
          <w:ilvl w:val="1"/>
          <w:numId w:val="25"/>
        </w:numPr>
        <w:jc w:val="both"/>
        <w:rPr>
          <w:rFonts w:ascii="Arial" w:hAnsi="Arial" w:cs="Arial"/>
        </w:rPr>
      </w:pPr>
      <w:r w:rsidRPr="00255DF6">
        <w:rPr>
          <w:rFonts w:ascii="Arial" w:hAnsi="Arial" w:cs="Arial"/>
        </w:rPr>
        <w:t xml:space="preserve">For whole blood fill a capillary tube to the black line (25 µl). </w:t>
      </w:r>
    </w:p>
    <w:p w:rsidR="00551E56" w:rsidRPr="00255DF6" w:rsidRDefault="00551E56" w:rsidP="000633A3">
      <w:pPr>
        <w:pStyle w:val="ListParagraph"/>
        <w:numPr>
          <w:ilvl w:val="1"/>
          <w:numId w:val="25"/>
        </w:numPr>
        <w:jc w:val="both"/>
        <w:rPr>
          <w:rFonts w:ascii="Arial" w:hAnsi="Arial" w:cs="Arial"/>
        </w:rPr>
      </w:pPr>
      <w:r w:rsidRPr="00255DF6">
        <w:rPr>
          <w:rFonts w:ascii="Arial" w:hAnsi="Arial" w:cs="Arial"/>
        </w:rPr>
        <w:t xml:space="preserve">Apply sample by lightly tapping the capillary tube on the pad of the UPPER AREA of the Sample well (S). </w:t>
      </w:r>
    </w:p>
    <w:p w:rsidR="00551E56" w:rsidRPr="00255DF6" w:rsidRDefault="00551E56" w:rsidP="000633A3">
      <w:pPr>
        <w:pStyle w:val="ListParagraph"/>
        <w:numPr>
          <w:ilvl w:val="1"/>
          <w:numId w:val="25"/>
        </w:numPr>
        <w:jc w:val="both"/>
        <w:rPr>
          <w:rFonts w:ascii="Arial" w:hAnsi="Arial" w:cs="Arial"/>
        </w:rPr>
      </w:pPr>
      <w:r w:rsidRPr="00255DF6">
        <w:rPr>
          <w:rFonts w:ascii="Arial" w:hAnsi="Arial" w:cs="Arial"/>
        </w:rPr>
        <w:t xml:space="preserve">Holding the bottle vertically, add 3 drops of Developer Solution onto the LOWER AREA of the Sample Well (S). </w:t>
      </w:r>
    </w:p>
    <w:p w:rsidR="00694D85" w:rsidRDefault="00551E56" w:rsidP="00694D85">
      <w:pPr>
        <w:pStyle w:val="ListParagraph"/>
        <w:numPr>
          <w:ilvl w:val="1"/>
          <w:numId w:val="25"/>
        </w:numPr>
        <w:jc w:val="both"/>
        <w:rPr>
          <w:rFonts w:ascii="Arial" w:hAnsi="Arial" w:cs="Arial"/>
        </w:rPr>
      </w:pPr>
      <w:r w:rsidRPr="00255DF6">
        <w:rPr>
          <w:rFonts w:ascii="Arial" w:hAnsi="Arial" w:cs="Arial"/>
        </w:rPr>
        <w:t xml:space="preserve">Read result at 10 minutes. (Do not read after 15 minutes). </w:t>
      </w:r>
    </w:p>
    <w:p w:rsidR="00694D85" w:rsidRDefault="00694D85" w:rsidP="00694D85">
      <w:pPr>
        <w:pStyle w:val="ListParagraph"/>
        <w:ind w:left="1800"/>
        <w:jc w:val="both"/>
        <w:rPr>
          <w:rFonts w:ascii="Arial" w:hAnsi="Arial" w:cs="Arial"/>
        </w:rPr>
      </w:pPr>
    </w:p>
    <w:p w:rsidR="00694D85" w:rsidRPr="00694D85" w:rsidRDefault="00694D85" w:rsidP="00694D85">
      <w:pPr>
        <w:pStyle w:val="ListParagraph"/>
        <w:numPr>
          <w:ilvl w:val="0"/>
          <w:numId w:val="41"/>
        </w:numPr>
        <w:jc w:val="both"/>
        <w:rPr>
          <w:rFonts w:ascii="Arial" w:hAnsi="Arial" w:cs="Arial"/>
          <w:b/>
          <w:u w:val="single"/>
        </w:rPr>
      </w:pPr>
      <w:r w:rsidRPr="00694D85">
        <w:rPr>
          <w:rFonts w:ascii="Arial" w:hAnsi="Arial" w:cs="Arial"/>
          <w:b/>
          <w:u w:val="single"/>
        </w:rPr>
        <w:t>Reporting of results:</w:t>
      </w:r>
    </w:p>
    <w:p w:rsidR="00694D85" w:rsidRDefault="00694D85" w:rsidP="00694D85">
      <w:pPr>
        <w:pStyle w:val="ListParagraph"/>
        <w:numPr>
          <w:ilvl w:val="0"/>
          <w:numId w:val="39"/>
        </w:numPr>
        <w:jc w:val="both"/>
        <w:rPr>
          <w:rFonts w:ascii="Arial" w:hAnsi="Arial" w:cs="Arial"/>
        </w:rPr>
      </w:pPr>
      <w:r>
        <w:rPr>
          <w:rFonts w:ascii="Arial" w:hAnsi="Arial" w:cs="Arial"/>
        </w:rPr>
        <w:t xml:space="preserve">Patient results are documented in Labdaq software. </w:t>
      </w:r>
    </w:p>
    <w:p w:rsidR="00694D85" w:rsidRDefault="00694D85" w:rsidP="00694D85">
      <w:pPr>
        <w:pStyle w:val="ListParagraph"/>
        <w:numPr>
          <w:ilvl w:val="0"/>
          <w:numId w:val="39"/>
        </w:numPr>
        <w:jc w:val="both"/>
        <w:rPr>
          <w:rFonts w:ascii="Arial" w:hAnsi="Arial" w:cs="Arial"/>
        </w:rPr>
      </w:pPr>
      <w:r>
        <w:rPr>
          <w:rFonts w:ascii="Arial" w:hAnsi="Arial" w:cs="Arial"/>
        </w:rPr>
        <w:t xml:space="preserve">Upon documenting result, lot number and expiration </w:t>
      </w:r>
      <w:r w:rsidR="00A129FA">
        <w:rPr>
          <w:rFonts w:ascii="Arial" w:hAnsi="Arial" w:cs="Arial"/>
        </w:rPr>
        <w:t xml:space="preserve">date will be indicated </w:t>
      </w:r>
      <w:r>
        <w:rPr>
          <w:rFonts w:ascii="Arial" w:hAnsi="Arial" w:cs="Arial"/>
        </w:rPr>
        <w:t xml:space="preserve">according to test site utilization. </w:t>
      </w:r>
    </w:p>
    <w:p w:rsidR="00694D85" w:rsidRDefault="00694D85" w:rsidP="00694D85">
      <w:pPr>
        <w:pStyle w:val="ListParagraph"/>
        <w:numPr>
          <w:ilvl w:val="0"/>
          <w:numId w:val="39"/>
        </w:numPr>
        <w:jc w:val="both"/>
        <w:rPr>
          <w:rFonts w:ascii="Arial" w:hAnsi="Arial" w:cs="Arial"/>
        </w:rPr>
      </w:pPr>
      <w:r>
        <w:rPr>
          <w:rFonts w:ascii="Arial" w:hAnsi="Arial" w:cs="Arial"/>
        </w:rPr>
        <w:t xml:space="preserve">Testing personnel will verify information prior to acceptance . </w:t>
      </w:r>
    </w:p>
    <w:p w:rsidR="00551E56" w:rsidRDefault="00551E56" w:rsidP="00EC7896">
      <w:pPr>
        <w:ind w:left="360"/>
        <w:jc w:val="both"/>
        <w:rPr>
          <w:rFonts w:ascii="Arial" w:hAnsi="Arial" w:cs="Arial"/>
        </w:rPr>
      </w:pPr>
    </w:p>
    <w:p w:rsidR="00551E56" w:rsidRPr="00694D85" w:rsidRDefault="00D42C8F" w:rsidP="00694D85">
      <w:pPr>
        <w:pStyle w:val="ListParagraph"/>
        <w:numPr>
          <w:ilvl w:val="0"/>
          <w:numId w:val="41"/>
        </w:numPr>
        <w:jc w:val="both"/>
        <w:rPr>
          <w:rFonts w:ascii="Arial" w:hAnsi="Arial" w:cs="Arial"/>
          <w:b/>
          <w:u w:val="single"/>
        </w:rPr>
      </w:pPr>
      <w:r w:rsidRPr="00694D85">
        <w:rPr>
          <w:rFonts w:ascii="Arial" w:hAnsi="Arial" w:cs="Arial"/>
          <w:b/>
          <w:u w:val="single"/>
        </w:rPr>
        <w:t>INTERPRETATION OF TEST RESU</w:t>
      </w:r>
      <w:r w:rsidR="00551E56" w:rsidRPr="00694D85">
        <w:rPr>
          <w:rFonts w:ascii="Arial" w:hAnsi="Arial" w:cs="Arial"/>
          <w:b/>
          <w:u w:val="single"/>
        </w:rPr>
        <w:t xml:space="preserve">TS </w:t>
      </w:r>
    </w:p>
    <w:p w:rsidR="00CA3BEA" w:rsidRDefault="00CA3BEA" w:rsidP="00EC7896">
      <w:pPr>
        <w:ind w:left="360"/>
        <w:jc w:val="both"/>
        <w:rPr>
          <w:rFonts w:ascii="Arial" w:hAnsi="Arial" w:cs="Arial"/>
          <w:i/>
        </w:rPr>
      </w:pPr>
    </w:p>
    <w:p w:rsidR="00551E56" w:rsidRPr="00255DF6" w:rsidRDefault="00551E56" w:rsidP="00EC7896">
      <w:pPr>
        <w:ind w:left="360"/>
        <w:jc w:val="both"/>
        <w:rPr>
          <w:rFonts w:ascii="Arial" w:hAnsi="Arial" w:cs="Arial"/>
          <w:i/>
        </w:rPr>
      </w:pPr>
      <w:r w:rsidRPr="00255DF6">
        <w:rPr>
          <w:rFonts w:ascii="Arial" w:hAnsi="Arial" w:cs="Arial"/>
          <w:i/>
        </w:rPr>
        <w:t xml:space="preserve">Positive </w:t>
      </w:r>
    </w:p>
    <w:p w:rsidR="00551E56" w:rsidRDefault="00551E56" w:rsidP="00EC7896">
      <w:pPr>
        <w:ind w:left="360"/>
        <w:jc w:val="both"/>
        <w:rPr>
          <w:rFonts w:ascii="Arial" w:hAnsi="Arial" w:cs="Arial"/>
        </w:rPr>
      </w:pPr>
      <w:r w:rsidRPr="00551E56">
        <w:rPr>
          <w:rFonts w:ascii="Arial" w:hAnsi="Arial" w:cs="Arial"/>
        </w:rPr>
        <w:t xml:space="preserve">One colored band each at the Test position (T) and at the Control position (C) indicates that antibodies against H. pylori have been detected. </w:t>
      </w:r>
    </w:p>
    <w:p w:rsidR="00551E56" w:rsidRDefault="00551E56" w:rsidP="00EC7896">
      <w:pPr>
        <w:ind w:left="360"/>
        <w:jc w:val="both"/>
        <w:rPr>
          <w:rFonts w:ascii="Arial" w:hAnsi="Arial" w:cs="Arial"/>
        </w:rPr>
      </w:pPr>
    </w:p>
    <w:p w:rsidR="00551E56" w:rsidRDefault="00551E56" w:rsidP="00EC7896">
      <w:pPr>
        <w:ind w:left="360"/>
        <w:jc w:val="both"/>
        <w:rPr>
          <w:rFonts w:ascii="Arial" w:hAnsi="Arial" w:cs="Arial"/>
        </w:rPr>
      </w:pPr>
      <w:r w:rsidRPr="00551E56">
        <w:rPr>
          <w:rFonts w:ascii="Arial" w:hAnsi="Arial" w:cs="Arial"/>
        </w:rPr>
        <w:t xml:space="preserve">Note: The test result can be read as soon as a distinct pink-purple colored Test line (T) and a colored Control line (C) appear. Any shade of pink-purple colored Test line should be reported as a positive result. </w:t>
      </w:r>
    </w:p>
    <w:p w:rsidR="00551E56" w:rsidRDefault="00551E56" w:rsidP="00EC7896">
      <w:pPr>
        <w:ind w:left="360"/>
        <w:jc w:val="both"/>
        <w:rPr>
          <w:rFonts w:ascii="Arial" w:hAnsi="Arial" w:cs="Arial"/>
        </w:rPr>
      </w:pPr>
    </w:p>
    <w:p w:rsidR="00551E56" w:rsidRDefault="00551E56" w:rsidP="00EC7896">
      <w:pPr>
        <w:ind w:left="360"/>
        <w:jc w:val="both"/>
        <w:rPr>
          <w:rFonts w:ascii="Arial" w:hAnsi="Arial" w:cs="Arial"/>
        </w:rPr>
      </w:pPr>
      <w:r w:rsidRPr="00551E56">
        <w:rPr>
          <w:rFonts w:ascii="Arial" w:hAnsi="Arial" w:cs="Arial"/>
        </w:rPr>
        <w:t xml:space="preserve">Possible positive </w:t>
      </w:r>
      <w:r w:rsidR="00F2343A" w:rsidRPr="00551E56">
        <w:rPr>
          <w:rFonts w:ascii="Arial" w:hAnsi="Arial" w:cs="Arial"/>
        </w:rPr>
        <w:t>results:</w:t>
      </w:r>
      <w:r w:rsidRPr="00551E56">
        <w:rPr>
          <w:rFonts w:ascii="Arial" w:hAnsi="Arial" w:cs="Arial"/>
        </w:rPr>
        <w:t xml:space="preserve"> </w:t>
      </w:r>
    </w:p>
    <w:p w:rsidR="00551E56" w:rsidRDefault="00551E56" w:rsidP="00EC7896">
      <w:pPr>
        <w:ind w:left="360"/>
        <w:jc w:val="both"/>
        <w:rPr>
          <w:rFonts w:ascii="Arial" w:hAnsi="Arial" w:cs="Arial"/>
        </w:rPr>
      </w:pPr>
      <w:r w:rsidRPr="00551E56">
        <w:rPr>
          <w:rFonts w:ascii="Arial" w:hAnsi="Arial" w:cs="Arial"/>
        </w:rPr>
        <w:t xml:space="preserve">• Two strong colored lines at both the Test (T) and Control (C) position or </w:t>
      </w:r>
    </w:p>
    <w:p w:rsidR="00551E56" w:rsidRDefault="00551E56" w:rsidP="00EC7896">
      <w:pPr>
        <w:ind w:left="360"/>
        <w:jc w:val="both"/>
        <w:rPr>
          <w:rFonts w:ascii="Arial" w:hAnsi="Arial" w:cs="Arial"/>
        </w:rPr>
      </w:pPr>
      <w:r w:rsidRPr="00551E56">
        <w:rPr>
          <w:rFonts w:ascii="Arial" w:hAnsi="Arial" w:cs="Arial"/>
        </w:rPr>
        <w:t xml:space="preserve">• One strong Test line (T) and one light colored Control line(C) or </w:t>
      </w:r>
    </w:p>
    <w:p w:rsidR="00551E56" w:rsidRDefault="00551E56" w:rsidP="00EC7896">
      <w:pPr>
        <w:ind w:left="360"/>
        <w:jc w:val="both"/>
        <w:rPr>
          <w:rFonts w:ascii="Arial" w:hAnsi="Arial" w:cs="Arial"/>
        </w:rPr>
      </w:pPr>
      <w:r w:rsidRPr="00551E56">
        <w:rPr>
          <w:rFonts w:ascii="Arial" w:hAnsi="Arial" w:cs="Arial"/>
        </w:rPr>
        <w:t xml:space="preserve">• One light colored Test line (T) and one strong colored Control line (C). </w:t>
      </w:r>
    </w:p>
    <w:p w:rsidR="00551E56" w:rsidRDefault="00551E56" w:rsidP="00EC7896">
      <w:pPr>
        <w:ind w:left="360"/>
        <w:jc w:val="both"/>
        <w:rPr>
          <w:rFonts w:ascii="Arial" w:hAnsi="Arial" w:cs="Arial"/>
        </w:rPr>
      </w:pPr>
    </w:p>
    <w:p w:rsidR="00551E56" w:rsidRPr="00255DF6" w:rsidRDefault="00551E56" w:rsidP="00EC7896">
      <w:pPr>
        <w:ind w:left="360"/>
        <w:jc w:val="both"/>
        <w:rPr>
          <w:rFonts w:ascii="Arial" w:hAnsi="Arial" w:cs="Arial"/>
          <w:i/>
        </w:rPr>
      </w:pPr>
      <w:r w:rsidRPr="00255DF6">
        <w:rPr>
          <w:rFonts w:ascii="Arial" w:hAnsi="Arial" w:cs="Arial"/>
          <w:i/>
        </w:rPr>
        <w:t xml:space="preserve">Negative </w:t>
      </w:r>
    </w:p>
    <w:p w:rsidR="00551E56" w:rsidRDefault="00551E56" w:rsidP="00EC7896">
      <w:pPr>
        <w:ind w:left="360"/>
        <w:jc w:val="both"/>
        <w:rPr>
          <w:rFonts w:ascii="Arial" w:hAnsi="Arial" w:cs="Arial"/>
        </w:rPr>
      </w:pPr>
      <w:r w:rsidRPr="00551E56">
        <w:rPr>
          <w:rFonts w:ascii="Arial" w:hAnsi="Arial" w:cs="Arial"/>
        </w:rPr>
        <w:t xml:space="preserve">Only one colored Control line (C), with no colored Test line (T) indicates that antibodies against H. pylori have not been detected. </w:t>
      </w:r>
    </w:p>
    <w:p w:rsidR="00551E56" w:rsidRDefault="00551E56" w:rsidP="00EC7896">
      <w:pPr>
        <w:ind w:left="360"/>
        <w:jc w:val="both"/>
        <w:rPr>
          <w:rFonts w:ascii="Arial" w:hAnsi="Arial" w:cs="Arial"/>
        </w:rPr>
      </w:pPr>
    </w:p>
    <w:p w:rsidR="00551E56" w:rsidRPr="00255DF6" w:rsidRDefault="00551E56" w:rsidP="00EC7896">
      <w:pPr>
        <w:ind w:left="360"/>
        <w:jc w:val="both"/>
        <w:rPr>
          <w:rFonts w:ascii="Arial" w:hAnsi="Arial" w:cs="Arial"/>
          <w:i/>
        </w:rPr>
      </w:pPr>
      <w:r w:rsidRPr="00255DF6">
        <w:rPr>
          <w:rFonts w:ascii="Arial" w:hAnsi="Arial" w:cs="Arial"/>
          <w:i/>
        </w:rPr>
        <w:t xml:space="preserve">Invalid </w:t>
      </w:r>
    </w:p>
    <w:p w:rsidR="00551E56" w:rsidRDefault="00551E56" w:rsidP="00EC7896">
      <w:pPr>
        <w:ind w:left="360"/>
        <w:jc w:val="both"/>
        <w:rPr>
          <w:rFonts w:ascii="Arial" w:hAnsi="Arial" w:cs="Arial"/>
        </w:rPr>
      </w:pPr>
      <w:r w:rsidRPr="00551E56">
        <w:rPr>
          <w:rFonts w:ascii="Arial" w:hAnsi="Arial" w:cs="Arial"/>
        </w:rPr>
        <w:t xml:space="preserve">A distinctive colored Control line (C) should always appear. The test is invalid if no Control line forms. Repeat the test with a new OSOM H. pylori Test. </w:t>
      </w:r>
    </w:p>
    <w:p w:rsidR="00A129FA" w:rsidRDefault="00A129FA" w:rsidP="00EC7896">
      <w:pPr>
        <w:ind w:left="360"/>
        <w:jc w:val="both"/>
        <w:rPr>
          <w:rFonts w:ascii="Arial" w:hAnsi="Arial" w:cs="Arial"/>
        </w:rPr>
      </w:pPr>
    </w:p>
    <w:p w:rsidR="00A129FA" w:rsidRDefault="00A129FA" w:rsidP="00EC7896">
      <w:pPr>
        <w:ind w:left="360"/>
        <w:jc w:val="both"/>
        <w:rPr>
          <w:rFonts w:ascii="Arial" w:hAnsi="Arial" w:cs="Arial"/>
        </w:rPr>
      </w:pPr>
    </w:p>
    <w:p w:rsidR="00551E56" w:rsidRDefault="00551E56" w:rsidP="00EC7896">
      <w:pPr>
        <w:ind w:left="360"/>
        <w:jc w:val="both"/>
        <w:rPr>
          <w:rFonts w:ascii="Arial" w:hAnsi="Arial" w:cs="Arial"/>
        </w:rPr>
      </w:pPr>
    </w:p>
    <w:p w:rsidR="00551E56" w:rsidRPr="00A129FA" w:rsidRDefault="00551E56" w:rsidP="00A129FA">
      <w:pPr>
        <w:pStyle w:val="ListParagraph"/>
        <w:numPr>
          <w:ilvl w:val="0"/>
          <w:numId w:val="41"/>
        </w:numPr>
        <w:jc w:val="both"/>
        <w:rPr>
          <w:rFonts w:ascii="Arial" w:hAnsi="Arial" w:cs="Arial"/>
          <w:b/>
          <w:u w:val="single"/>
        </w:rPr>
      </w:pPr>
      <w:r w:rsidRPr="00A129FA">
        <w:rPr>
          <w:rFonts w:ascii="Arial" w:hAnsi="Arial" w:cs="Arial"/>
          <w:b/>
          <w:u w:val="single"/>
        </w:rPr>
        <w:lastRenderedPageBreak/>
        <w:t xml:space="preserve">USER QUALITY CONTROL </w:t>
      </w:r>
    </w:p>
    <w:p w:rsidR="00A129FA" w:rsidRDefault="00551E56" w:rsidP="00A129FA">
      <w:pPr>
        <w:ind w:left="360"/>
        <w:jc w:val="both"/>
        <w:rPr>
          <w:rFonts w:ascii="Arial" w:hAnsi="Arial" w:cs="Arial"/>
        </w:rPr>
      </w:pPr>
      <w:r w:rsidRPr="00D8373D">
        <w:rPr>
          <w:rFonts w:ascii="Arial" w:hAnsi="Arial" w:cs="Arial"/>
        </w:rPr>
        <w:t>A quality control check is recommended using H. pylori controls from Sekisui Diagnostics. T</w:t>
      </w:r>
      <w:r w:rsidR="00F2343A">
        <w:rPr>
          <w:rFonts w:ascii="Arial" w:hAnsi="Arial" w:cs="Arial"/>
        </w:rPr>
        <w:t>he frequency of Q.C. testing i</w:t>
      </w:r>
      <w:r w:rsidR="00D8373D">
        <w:rPr>
          <w:rFonts w:ascii="Arial" w:hAnsi="Arial" w:cs="Arial"/>
        </w:rPr>
        <w:t>s performed as follows</w:t>
      </w:r>
      <w:r w:rsidR="00D8373D" w:rsidRPr="00D8373D">
        <w:rPr>
          <w:rFonts w:ascii="Arial" w:hAnsi="Arial" w:cs="Arial"/>
        </w:rPr>
        <w:t>:</w:t>
      </w:r>
    </w:p>
    <w:p w:rsidR="00D8373D" w:rsidRPr="00A129FA" w:rsidRDefault="00D24815" w:rsidP="00A129FA">
      <w:pPr>
        <w:pStyle w:val="ListParagraph"/>
        <w:numPr>
          <w:ilvl w:val="0"/>
          <w:numId w:val="42"/>
        </w:numPr>
        <w:jc w:val="both"/>
        <w:rPr>
          <w:rFonts w:ascii="Arial" w:hAnsi="Arial" w:cs="Arial"/>
        </w:rPr>
      </w:pPr>
      <w:r w:rsidRPr="00A129FA">
        <w:rPr>
          <w:rFonts w:ascii="Arial" w:hAnsi="Arial" w:cs="Arial"/>
        </w:rPr>
        <w:t>each new shipment,</w:t>
      </w:r>
    </w:p>
    <w:p w:rsidR="00D8373D" w:rsidRPr="00D8373D" w:rsidRDefault="00694D85" w:rsidP="00D8373D">
      <w:pPr>
        <w:pStyle w:val="ListParagraph"/>
        <w:numPr>
          <w:ilvl w:val="0"/>
          <w:numId w:val="42"/>
        </w:numPr>
        <w:jc w:val="both"/>
        <w:rPr>
          <w:rFonts w:ascii="Arial" w:hAnsi="Arial" w:cs="Arial"/>
        </w:rPr>
      </w:pPr>
      <w:r w:rsidRPr="00D8373D">
        <w:rPr>
          <w:rFonts w:ascii="Arial" w:hAnsi="Arial" w:cs="Arial"/>
        </w:rPr>
        <w:t xml:space="preserve">when opening </w:t>
      </w:r>
      <w:r w:rsidR="00D24815" w:rsidRPr="00D8373D">
        <w:rPr>
          <w:rFonts w:ascii="Arial" w:hAnsi="Arial" w:cs="Arial"/>
        </w:rPr>
        <w:t>a new lot</w:t>
      </w:r>
    </w:p>
    <w:p w:rsidR="00D8373D" w:rsidRPr="00D8373D" w:rsidRDefault="00D8373D" w:rsidP="00D8373D">
      <w:pPr>
        <w:pStyle w:val="ListParagraph"/>
        <w:numPr>
          <w:ilvl w:val="0"/>
          <w:numId w:val="42"/>
        </w:numPr>
        <w:jc w:val="both"/>
        <w:rPr>
          <w:rFonts w:ascii="Arial" w:hAnsi="Arial" w:cs="Arial"/>
        </w:rPr>
      </w:pPr>
      <w:r w:rsidRPr="00D8373D">
        <w:rPr>
          <w:rFonts w:ascii="Arial" w:hAnsi="Arial" w:cs="Arial"/>
        </w:rPr>
        <w:t>every 30 days</w:t>
      </w:r>
    </w:p>
    <w:p w:rsidR="00D8373D" w:rsidRPr="00D8373D" w:rsidRDefault="00D8373D" w:rsidP="00D8373D">
      <w:pPr>
        <w:pStyle w:val="ListParagraph"/>
        <w:numPr>
          <w:ilvl w:val="0"/>
          <w:numId w:val="42"/>
        </w:numPr>
        <w:jc w:val="both"/>
        <w:rPr>
          <w:rFonts w:ascii="Arial" w:hAnsi="Arial" w:cs="Arial"/>
        </w:rPr>
      </w:pPr>
      <w:r w:rsidRPr="00D8373D">
        <w:rPr>
          <w:rFonts w:ascii="Arial" w:hAnsi="Arial" w:cs="Arial"/>
        </w:rPr>
        <w:t>p</w:t>
      </w:r>
      <w:r w:rsidR="00D24815" w:rsidRPr="00D8373D">
        <w:rPr>
          <w:rFonts w:ascii="Arial" w:hAnsi="Arial" w:cs="Arial"/>
        </w:rPr>
        <w:t xml:space="preserve">rior to new operator performing testing. </w:t>
      </w:r>
    </w:p>
    <w:p w:rsidR="00D8373D" w:rsidRDefault="00D8373D" w:rsidP="00D8373D">
      <w:pPr>
        <w:ind w:left="360"/>
        <w:jc w:val="both"/>
        <w:rPr>
          <w:rFonts w:ascii="Arial" w:hAnsi="Arial" w:cs="Arial"/>
        </w:rPr>
      </w:pPr>
    </w:p>
    <w:p w:rsidR="00551E56" w:rsidRDefault="00551E56" w:rsidP="00D8373D">
      <w:pPr>
        <w:ind w:left="360"/>
        <w:jc w:val="both"/>
        <w:rPr>
          <w:rFonts w:ascii="Arial" w:hAnsi="Arial" w:cs="Arial"/>
        </w:rPr>
      </w:pPr>
      <w:r w:rsidRPr="00D8373D">
        <w:rPr>
          <w:rFonts w:ascii="Arial" w:hAnsi="Arial" w:cs="Arial"/>
        </w:rPr>
        <w:t>Upon confirmation of the expected results, the kit is ready for use with patient specimens. If external controls do not perform as expected, do not use the test kits. Repeat the test or contact Sekisui D</w:t>
      </w:r>
      <w:r w:rsidR="00A129FA">
        <w:rPr>
          <w:rFonts w:ascii="Arial" w:hAnsi="Arial" w:cs="Arial"/>
        </w:rPr>
        <w:t>iagnostics Technical Assistance (800) 332-1042.</w:t>
      </w:r>
      <w:r w:rsidRPr="00D8373D">
        <w:rPr>
          <w:rFonts w:ascii="Arial" w:hAnsi="Arial" w:cs="Arial"/>
        </w:rPr>
        <w:t xml:space="preserve"> </w:t>
      </w:r>
    </w:p>
    <w:p w:rsidR="00D8373D" w:rsidRPr="00D8373D" w:rsidRDefault="00D8373D" w:rsidP="00D8373D">
      <w:pPr>
        <w:ind w:left="720"/>
        <w:jc w:val="both"/>
        <w:rPr>
          <w:rFonts w:ascii="Arial" w:hAnsi="Arial" w:cs="Arial"/>
        </w:rPr>
      </w:pPr>
    </w:p>
    <w:p w:rsidR="00551E56" w:rsidRDefault="00551E56" w:rsidP="00D24815">
      <w:pPr>
        <w:pStyle w:val="ListParagraph"/>
        <w:numPr>
          <w:ilvl w:val="0"/>
          <w:numId w:val="36"/>
        </w:numPr>
        <w:jc w:val="both"/>
        <w:rPr>
          <w:rFonts w:ascii="Arial" w:hAnsi="Arial" w:cs="Arial"/>
        </w:rPr>
      </w:pPr>
      <w:r w:rsidRPr="00D24815">
        <w:rPr>
          <w:rFonts w:ascii="Arial" w:hAnsi="Arial" w:cs="Arial"/>
        </w:rPr>
        <w:t xml:space="preserve">When the test has been performed correctly and the device is working properly, a distinct colored line will always appear at the Control position (C). The colored line at the Control position (C) is considered an internal positive procedural control. If the line does not appear, a new device should be tested. If the problem persists, contact Sekisui Diagnostics Technical Assistance. </w:t>
      </w:r>
    </w:p>
    <w:p w:rsidR="00D8373D" w:rsidRPr="00D24815" w:rsidRDefault="00D8373D" w:rsidP="00D8373D">
      <w:pPr>
        <w:pStyle w:val="ListParagraph"/>
        <w:ind w:left="1080"/>
        <w:jc w:val="both"/>
        <w:rPr>
          <w:rFonts w:ascii="Arial" w:hAnsi="Arial" w:cs="Arial"/>
        </w:rPr>
      </w:pPr>
    </w:p>
    <w:p w:rsidR="00551E56" w:rsidRPr="00D24815" w:rsidRDefault="00551E56" w:rsidP="00D24815">
      <w:pPr>
        <w:pStyle w:val="ListParagraph"/>
        <w:numPr>
          <w:ilvl w:val="0"/>
          <w:numId w:val="36"/>
        </w:numPr>
        <w:jc w:val="both"/>
        <w:rPr>
          <w:rFonts w:ascii="Arial" w:hAnsi="Arial" w:cs="Arial"/>
        </w:rPr>
      </w:pPr>
      <w:r w:rsidRPr="00D24815">
        <w:rPr>
          <w:rFonts w:ascii="Arial" w:hAnsi="Arial" w:cs="Arial"/>
        </w:rPr>
        <w:t>When the test has been performed correctly and the device is working properly, the background in the Result window will clear, providing a distinct test result. This clearing background in the Result win</w:t>
      </w:r>
      <w:r w:rsidR="00C23A41" w:rsidRPr="00D24815">
        <w:rPr>
          <w:rFonts w:ascii="Arial" w:hAnsi="Arial" w:cs="Arial"/>
        </w:rPr>
        <w:t xml:space="preserve">dow is </w:t>
      </w:r>
      <w:r w:rsidRPr="00D24815">
        <w:rPr>
          <w:rFonts w:ascii="Arial" w:hAnsi="Arial" w:cs="Arial"/>
        </w:rPr>
        <w:t xml:space="preserve">considered an internal negative procedural control. </w:t>
      </w:r>
    </w:p>
    <w:p w:rsidR="00551E56" w:rsidRDefault="00551E56" w:rsidP="00EC7896">
      <w:pPr>
        <w:ind w:left="360"/>
        <w:jc w:val="both"/>
        <w:rPr>
          <w:rFonts w:ascii="Arial" w:hAnsi="Arial" w:cs="Arial"/>
        </w:rPr>
      </w:pPr>
    </w:p>
    <w:p w:rsidR="00551E56" w:rsidRPr="00A129FA" w:rsidRDefault="00551E56" w:rsidP="00A129FA">
      <w:pPr>
        <w:pStyle w:val="ListParagraph"/>
        <w:numPr>
          <w:ilvl w:val="0"/>
          <w:numId w:val="41"/>
        </w:numPr>
        <w:jc w:val="both"/>
        <w:rPr>
          <w:rFonts w:ascii="Arial" w:hAnsi="Arial" w:cs="Arial"/>
          <w:b/>
          <w:u w:val="single"/>
        </w:rPr>
      </w:pPr>
      <w:r w:rsidRPr="00A129FA">
        <w:rPr>
          <w:rFonts w:ascii="Arial" w:hAnsi="Arial" w:cs="Arial"/>
          <w:b/>
          <w:u w:val="single"/>
        </w:rPr>
        <w:t xml:space="preserve">LIMITATIONS </w:t>
      </w:r>
    </w:p>
    <w:p w:rsidR="00551E56" w:rsidRPr="00C23A41" w:rsidRDefault="00551E56" w:rsidP="00C23A41">
      <w:pPr>
        <w:pStyle w:val="ListParagraph"/>
        <w:numPr>
          <w:ilvl w:val="0"/>
          <w:numId w:val="34"/>
        </w:numPr>
        <w:jc w:val="both"/>
        <w:rPr>
          <w:rFonts w:ascii="Arial" w:hAnsi="Arial" w:cs="Arial"/>
        </w:rPr>
      </w:pPr>
      <w:r w:rsidRPr="00C23A41">
        <w:rPr>
          <w:rFonts w:ascii="Arial" w:hAnsi="Arial" w:cs="Arial"/>
        </w:rPr>
        <w:t>The results obtained by this kit should be used only to evaluate patients with other clinical symptoms of gastrointestinal disease. This assay is not intended for use with asymptomatic patients.</w:t>
      </w:r>
    </w:p>
    <w:p w:rsidR="00551E56" w:rsidRPr="00C23A41" w:rsidRDefault="00551E56" w:rsidP="00C23A41">
      <w:pPr>
        <w:pStyle w:val="ListParagraph"/>
        <w:numPr>
          <w:ilvl w:val="0"/>
          <w:numId w:val="34"/>
        </w:numPr>
        <w:jc w:val="both"/>
        <w:rPr>
          <w:rFonts w:ascii="Arial" w:hAnsi="Arial" w:cs="Arial"/>
        </w:rPr>
      </w:pPr>
      <w:r w:rsidRPr="00C23A41">
        <w:rPr>
          <w:rFonts w:ascii="Arial" w:hAnsi="Arial" w:cs="Arial"/>
        </w:rPr>
        <w:t>The performance characteristics of this test with specimens from pediatric patients have not been established.</w:t>
      </w:r>
    </w:p>
    <w:p w:rsidR="00C23A41" w:rsidRPr="00C23A41" w:rsidRDefault="00551E56" w:rsidP="00C23A41">
      <w:pPr>
        <w:pStyle w:val="ListParagraph"/>
        <w:numPr>
          <w:ilvl w:val="0"/>
          <w:numId w:val="34"/>
        </w:numPr>
        <w:jc w:val="both"/>
        <w:rPr>
          <w:rFonts w:ascii="Arial" w:hAnsi="Arial" w:cs="Arial"/>
        </w:rPr>
      </w:pPr>
      <w:r w:rsidRPr="00C23A41">
        <w:rPr>
          <w:rFonts w:ascii="Arial" w:hAnsi="Arial" w:cs="Arial"/>
        </w:rPr>
        <w:t xml:space="preserve">A positive result only means the presence of antibodies to H. pylori and does not indicate any disease status of the patient. </w:t>
      </w:r>
    </w:p>
    <w:p w:rsidR="00551E56" w:rsidRPr="00C23A41" w:rsidRDefault="00551E56" w:rsidP="00C23A41">
      <w:pPr>
        <w:pStyle w:val="ListParagraph"/>
        <w:numPr>
          <w:ilvl w:val="0"/>
          <w:numId w:val="34"/>
        </w:numPr>
        <w:jc w:val="both"/>
        <w:rPr>
          <w:rFonts w:ascii="Arial" w:hAnsi="Arial" w:cs="Arial"/>
        </w:rPr>
      </w:pPr>
      <w:r w:rsidRPr="00C23A41">
        <w:rPr>
          <w:rFonts w:ascii="Arial" w:hAnsi="Arial" w:cs="Arial"/>
        </w:rPr>
        <w:t xml:space="preserve">A positive test result does not allow one to distinguish between active infection and colonization by H. pylori. </w:t>
      </w:r>
    </w:p>
    <w:p w:rsidR="00551E56" w:rsidRPr="00C23A41" w:rsidRDefault="00551E56" w:rsidP="00C23A41">
      <w:pPr>
        <w:pStyle w:val="ListParagraph"/>
        <w:numPr>
          <w:ilvl w:val="0"/>
          <w:numId w:val="34"/>
        </w:numPr>
        <w:jc w:val="both"/>
        <w:rPr>
          <w:rFonts w:ascii="Arial" w:hAnsi="Arial" w:cs="Arial"/>
        </w:rPr>
      </w:pPr>
      <w:r w:rsidRPr="00C23A41">
        <w:rPr>
          <w:rFonts w:ascii="Arial" w:hAnsi="Arial" w:cs="Arial"/>
        </w:rPr>
        <w:t xml:space="preserve">A negative result suggests that antibodies to H. pylori are not present, or are present at a level below the detection limit. If the test result is negative and infection of H. pylori is suspected, additional testing such as culture and histological analysis is recommended. </w:t>
      </w:r>
    </w:p>
    <w:p w:rsidR="00551E56" w:rsidRDefault="00551E56" w:rsidP="00EC7896">
      <w:pPr>
        <w:ind w:left="360"/>
        <w:jc w:val="both"/>
        <w:rPr>
          <w:rFonts w:ascii="Arial" w:hAnsi="Arial" w:cs="Arial"/>
        </w:rPr>
      </w:pPr>
    </w:p>
    <w:p w:rsidR="00551E56" w:rsidRPr="00A129FA" w:rsidRDefault="00551E56" w:rsidP="00A129FA">
      <w:pPr>
        <w:pStyle w:val="ListParagraph"/>
        <w:numPr>
          <w:ilvl w:val="0"/>
          <w:numId w:val="41"/>
        </w:numPr>
        <w:jc w:val="both"/>
        <w:rPr>
          <w:rFonts w:ascii="Arial" w:hAnsi="Arial" w:cs="Arial"/>
          <w:b/>
          <w:u w:val="single"/>
        </w:rPr>
      </w:pPr>
      <w:r w:rsidRPr="00A129FA">
        <w:rPr>
          <w:rFonts w:ascii="Arial" w:hAnsi="Arial" w:cs="Arial"/>
          <w:b/>
          <w:u w:val="single"/>
        </w:rPr>
        <w:t xml:space="preserve">EXPECTED RESULTS </w:t>
      </w:r>
    </w:p>
    <w:p w:rsidR="00551E56" w:rsidRDefault="00551E56" w:rsidP="00D8373D">
      <w:pPr>
        <w:ind w:left="720"/>
        <w:jc w:val="both"/>
        <w:rPr>
          <w:rFonts w:ascii="Arial" w:hAnsi="Arial" w:cs="Arial"/>
        </w:rPr>
      </w:pPr>
      <w:r w:rsidRPr="00551E56">
        <w:rPr>
          <w:rFonts w:ascii="Arial" w:hAnsi="Arial" w:cs="Arial"/>
        </w:rPr>
        <w:t>• H. pylori is detectable in nearly 100% of adult patients with duodenal ulcer and about 80% of p</w:t>
      </w:r>
      <w:r w:rsidR="00694D85">
        <w:rPr>
          <w:rFonts w:ascii="Arial" w:hAnsi="Arial" w:cs="Arial"/>
        </w:rPr>
        <w:t>atients with gastric ulcer.</w:t>
      </w:r>
      <w:r w:rsidRPr="00551E56">
        <w:rPr>
          <w:rFonts w:ascii="Arial" w:hAnsi="Arial" w:cs="Arial"/>
        </w:rPr>
        <w:t xml:space="preserve"> OSOM H. pylori demonstrated positive results for 94% of patients with a symptom of ulcer and positive results on 80% of gastritis patients. </w:t>
      </w:r>
    </w:p>
    <w:p w:rsidR="00551E56" w:rsidRDefault="00551E56" w:rsidP="00CA3BEA">
      <w:pPr>
        <w:ind w:left="720"/>
        <w:jc w:val="both"/>
        <w:rPr>
          <w:rFonts w:ascii="Arial" w:hAnsi="Arial" w:cs="Arial"/>
        </w:rPr>
      </w:pPr>
      <w:r w:rsidRPr="00551E56">
        <w:rPr>
          <w:rFonts w:ascii="Arial" w:hAnsi="Arial" w:cs="Arial"/>
        </w:rPr>
        <w:lastRenderedPageBreak/>
        <w:t xml:space="preserve">• The prevalence of H. pylori antibody increases with age, and is detectable in 5% of children, about 33% in blood donors, and approaches 50% at age 60 in the normal population </w:t>
      </w:r>
      <w:r w:rsidR="00694D85">
        <w:rPr>
          <w:rFonts w:ascii="Arial" w:hAnsi="Arial" w:cs="Arial"/>
        </w:rPr>
        <w:t>of industrialized nations.</w:t>
      </w:r>
      <w:r w:rsidRPr="00551E56">
        <w:rPr>
          <w:rFonts w:ascii="Arial" w:hAnsi="Arial" w:cs="Arial"/>
        </w:rPr>
        <w:t xml:space="preserve"> More than 25% of these infected patients are asymptomatic. Other factors such as socioeconomic status, ethnic group, different populations, geographical location and the type of clinical symptoms associated with the infection also contribute to the observed variations in prevalence.</w:t>
      </w:r>
    </w:p>
    <w:p w:rsidR="00551E56" w:rsidRDefault="00551E56" w:rsidP="00CA3BEA">
      <w:pPr>
        <w:ind w:left="720"/>
        <w:jc w:val="both"/>
        <w:rPr>
          <w:rFonts w:ascii="Arial" w:hAnsi="Arial" w:cs="Arial"/>
        </w:rPr>
      </w:pPr>
      <w:r w:rsidRPr="00551E56">
        <w:rPr>
          <w:rFonts w:ascii="Arial" w:hAnsi="Arial" w:cs="Arial"/>
        </w:rPr>
        <w:t>• Asymptomatic and untreated patients continue to test IgG seropositive as long as the H. pylori organisms are present, even</w:t>
      </w:r>
      <w:r w:rsidR="00694D85">
        <w:rPr>
          <w:rFonts w:ascii="Arial" w:hAnsi="Arial" w:cs="Arial"/>
        </w:rPr>
        <w:t xml:space="preserve"> after histological resolution</w:t>
      </w:r>
      <w:r w:rsidRPr="00551E56">
        <w:rPr>
          <w:rFonts w:ascii="Arial" w:hAnsi="Arial" w:cs="Arial"/>
        </w:rPr>
        <w:t>. Hence, positive results are simply consistent with the diagnosis of H. pylori-associat</w:t>
      </w:r>
      <w:r w:rsidR="004C408E">
        <w:rPr>
          <w:rFonts w:ascii="Arial" w:hAnsi="Arial" w:cs="Arial"/>
        </w:rPr>
        <w:t>ed gastritis or duodenal ulcer,</w:t>
      </w:r>
      <w:r w:rsidR="004C408E" w:rsidRPr="00551E56">
        <w:rPr>
          <w:rFonts w:ascii="Arial" w:hAnsi="Arial" w:cs="Arial"/>
        </w:rPr>
        <w:t xml:space="preserve"> whereas</w:t>
      </w:r>
      <w:r w:rsidRPr="00551E56">
        <w:rPr>
          <w:rFonts w:ascii="Arial" w:hAnsi="Arial" w:cs="Arial"/>
        </w:rPr>
        <w:t xml:space="preserve">, negative results are strong evidence against these diagnoses. </w:t>
      </w:r>
    </w:p>
    <w:p w:rsidR="00D42C8F" w:rsidRDefault="00D42C8F" w:rsidP="00EC7896">
      <w:pPr>
        <w:ind w:left="360"/>
        <w:jc w:val="both"/>
        <w:rPr>
          <w:rFonts w:ascii="Arial" w:hAnsi="Arial" w:cs="Arial"/>
        </w:rPr>
      </w:pPr>
    </w:p>
    <w:p w:rsidR="00D42C8F" w:rsidRDefault="00D42C8F" w:rsidP="00EC7896">
      <w:pPr>
        <w:ind w:left="360"/>
        <w:jc w:val="both"/>
        <w:rPr>
          <w:rFonts w:ascii="Arial" w:hAnsi="Arial" w:cs="Arial"/>
        </w:rPr>
      </w:pPr>
    </w:p>
    <w:p w:rsidR="00D42C8F" w:rsidRPr="00A129FA" w:rsidRDefault="00551E56" w:rsidP="00A129FA">
      <w:pPr>
        <w:pStyle w:val="ListParagraph"/>
        <w:numPr>
          <w:ilvl w:val="0"/>
          <w:numId w:val="41"/>
        </w:numPr>
        <w:jc w:val="both"/>
        <w:rPr>
          <w:rFonts w:ascii="Arial" w:hAnsi="Arial" w:cs="Arial"/>
          <w:b/>
          <w:u w:val="single"/>
        </w:rPr>
      </w:pPr>
      <w:r w:rsidRPr="00A129FA">
        <w:rPr>
          <w:rFonts w:ascii="Arial" w:hAnsi="Arial" w:cs="Arial"/>
          <w:b/>
          <w:u w:val="single"/>
        </w:rPr>
        <w:t xml:space="preserve">INTERFERENCE STUDY </w:t>
      </w:r>
    </w:p>
    <w:p w:rsidR="00551E56" w:rsidRDefault="00551E56" w:rsidP="00EC7896">
      <w:pPr>
        <w:ind w:left="360"/>
        <w:jc w:val="both"/>
        <w:rPr>
          <w:rFonts w:ascii="Arial" w:hAnsi="Arial" w:cs="Arial"/>
        </w:rPr>
      </w:pPr>
      <w:r w:rsidRPr="00D42C8F">
        <w:rPr>
          <w:rFonts w:ascii="Arial" w:hAnsi="Arial" w:cs="Arial"/>
        </w:rPr>
        <w:t>Possible interference materials found in blood, such as, bilirubin, hemoglobin, triglycerides, or albumin, were tested in the OSOM H. pylori Test at approximately 10-fold higher than normal physiological concentrations. These substances did not alter the test results of OSOM H. pylori</w:t>
      </w:r>
    </w:p>
    <w:p w:rsidR="00A129FA" w:rsidRDefault="00A129FA" w:rsidP="00EC7896">
      <w:pPr>
        <w:ind w:left="360"/>
        <w:jc w:val="both"/>
        <w:rPr>
          <w:rFonts w:ascii="Arial" w:hAnsi="Arial" w:cs="Arial"/>
        </w:rPr>
      </w:pPr>
    </w:p>
    <w:p w:rsidR="00A129FA" w:rsidRPr="00A129FA" w:rsidRDefault="00A129FA" w:rsidP="00A129FA">
      <w:pPr>
        <w:pStyle w:val="ListParagraph"/>
        <w:numPr>
          <w:ilvl w:val="0"/>
          <w:numId w:val="41"/>
        </w:numPr>
        <w:jc w:val="both"/>
        <w:rPr>
          <w:rFonts w:ascii="Arial" w:hAnsi="Arial" w:cs="Arial"/>
          <w:b/>
          <w:u w:val="single"/>
        </w:rPr>
      </w:pPr>
      <w:r w:rsidRPr="00A129FA">
        <w:rPr>
          <w:rFonts w:ascii="Arial" w:hAnsi="Arial" w:cs="Arial"/>
          <w:b/>
          <w:u w:val="single"/>
        </w:rPr>
        <w:t>References</w:t>
      </w:r>
    </w:p>
    <w:p w:rsidR="00A129FA" w:rsidRDefault="00A129FA" w:rsidP="00A129FA">
      <w:pPr>
        <w:jc w:val="both"/>
        <w:rPr>
          <w:rFonts w:ascii="Arial" w:hAnsi="Arial" w:cs="Arial"/>
          <w:b/>
          <w:u w:val="single"/>
        </w:rPr>
      </w:pPr>
    </w:p>
    <w:p w:rsidR="00A129FA" w:rsidRPr="00A129FA" w:rsidRDefault="00A129FA" w:rsidP="00A129FA">
      <w:pPr>
        <w:jc w:val="both"/>
        <w:rPr>
          <w:rFonts w:ascii="Arial" w:hAnsi="Arial" w:cs="Arial"/>
        </w:rPr>
      </w:pPr>
      <w:r>
        <w:rPr>
          <w:rFonts w:ascii="Arial" w:hAnsi="Arial" w:cs="Arial"/>
        </w:rPr>
        <w:tab/>
      </w:r>
      <w:r w:rsidR="00CA3BEA">
        <w:rPr>
          <w:rFonts w:ascii="Arial" w:hAnsi="Arial" w:cs="Arial"/>
        </w:rPr>
        <w:t>OSOM H.p</w:t>
      </w:r>
      <w:r>
        <w:rPr>
          <w:rFonts w:ascii="Arial" w:hAnsi="Arial" w:cs="Arial"/>
        </w:rPr>
        <w:t>ylori</w:t>
      </w:r>
      <w:r w:rsidR="00CA3BEA">
        <w:rPr>
          <w:rFonts w:ascii="Arial" w:hAnsi="Arial" w:cs="Arial"/>
        </w:rPr>
        <w:t xml:space="preserve"> test-</w:t>
      </w:r>
      <w:r>
        <w:rPr>
          <w:rFonts w:ascii="Arial" w:hAnsi="Arial" w:cs="Arial"/>
        </w:rPr>
        <w:t xml:space="preserve"> CLSI </w:t>
      </w:r>
    </w:p>
    <w:sectPr w:rsidR="00A129FA" w:rsidRPr="00A129FA" w:rsidSect="00E47DEB">
      <w:headerReference w:type="default" r:id="rId9"/>
      <w:footerReference w:type="default" r:id="rId10"/>
      <w:pgSz w:w="12240" w:h="15840" w:code="1"/>
      <w:pgMar w:top="1152" w:right="1440" w:bottom="1152" w:left="1440" w:header="1440" w:footer="6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B9E" w:rsidRDefault="00373B9E">
      <w:r>
        <w:separator/>
      </w:r>
    </w:p>
  </w:endnote>
  <w:endnote w:type="continuationSeparator" w:id="0">
    <w:p w:rsidR="00373B9E" w:rsidRDefault="0037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746" w:rsidRDefault="00CF2746">
    <w:pPr>
      <w:spacing w:line="240" w:lineRule="exact"/>
    </w:pPr>
  </w:p>
  <w:p w:rsidR="00CF2746" w:rsidRPr="009838F9" w:rsidRDefault="00AD18BE" w:rsidP="00F2343A">
    <w:pPr>
      <w:spacing w:line="19" w:lineRule="exact"/>
      <w:rPr>
        <w:rFonts w:ascii="Arial" w:hAnsi="Arial" w:cs="Arial"/>
        <w:color w:val="000000"/>
        <w:sz w:val="16"/>
        <w:szCs w:val="16"/>
      </w:rPr>
    </w:pPr>
    <w:r>
      <w:rPr>
        <w:noProof/>
      </w:rPr>
      <mc:AlternateContent>
        <mc:Choice Requires="wps">
          <w:drawing>
            <wp:anchor distT="0" distB="0" distL="114300" distR="114300" simplePos="0" relativeHeight="251658240" behindDoc="1" locked="1" layoutInCell="0" allowOverlap="1" wp14:anchorId="59D984B9" wp14:editId="08C5A2B3">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50470" id="Rectangle 2"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8S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OrKfEn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CF2746" w:rsidRPr="00E95578" w:rsidRDefault="00CF2746">
    <w:pPr>
      <w:tabs>
        <w:tab w:val="left" w:pos="-1440"/>
      </w:tabs>
      <w:ind w:left="7920" w:hanging="7920"/>
      <w:jc w:val="center"/>
      <w:rPr>
        <w:rFonts w:ascii="Arial" w:hAnsi="Arial" w:cs="Arial"/>
        <w:sz w:val="16"/>
        <w:szCs w:val="16"/>
      </w:rPr>
    </w:pPr>
    <w:r w:rsidRPr="005E63FD">
      <w:rPr>
        <w:rFonts w:ascii="Arial" w:hAnsi="Arial" w:cs="Arial"/>
        <w:sz w:val="16"/>
        <w:szCs w:val="16"/>
      </w:rPr>
      <w:t xml:space="preserve">Page </w:t>
    </w:r>
    <w:r w:rsidRPr="005E63FD">
      <w:rPr>
        <w:rFonts w:ascii="Arial" w:hAnsi="Arial" w:cs="Arial"/>
        <w:sz w:val="16"/>
        <w:szCs w:val="16"/>
      </w:rPr>
      <w:fldChar w:fldCharType="begin"/>
    </w:r>
    <w:r w:rsidRPr="005E63FD">
      <w:rPr>
        <w:rFonts w:ascii="Arial" w:hAnsi="Arial" w:cs="Arial"/>
        <w:sz w:val="16"/>
        <w:szCs w:val="16"/>
      </w:rPr>
      <w:instrText xml:space="preserve"> PAGE </w:instrText>
    </w:r>
    <w:r w:rsidRPr="005E63FD">
      <w:rPr>
        <w:rFonts w:ascii="Arial" w:hAnsi="Arial" w:cs="Arial"/>
        <w:sz w:val="16"/>
        <w:szCs w:val="16"/>
      </w:rPr>
      <w:fldChar w:fldCharType="separate"/>
    </w:r>
    <w:r w:rsidR="00F2343A">
      <w:rPr>
        <w:rFonts w:ascii="Arial" w:hAnsi="Arial" w:cs="Arial"/>
        <w:noProof/>
        <w:sz w:val="16"/>
        <w:szCs w:val="16"/>
      </w:rPr>
      <w:t>1</w:t>
    </w:r>
    <w:r w:rsidRPr="005E63FD">
      <w:rPr>
        <w:rFonts w:ascii="Arial" w:hAnsi="Arial" w:cs="Arial"/>
        <w:sz w:val="16"/>
        <w:szCs w:val="16"/>
      </w:rPr>
      <w:fldChar w:fldCharType="end"/>
    </w:r>
    <w:r w:rsidRPr="005E63FD">
      <w:rPr>
        <w:rFonts w:ascii="Arial" w:hAnsi="Arial" w:cs="Arial"/>
        <w:sz w:val="16"/>
        <w:szCs w:val="16"/>
      </w:rPr>
      <w:t xml:space="preserve"> </w:t>
    </w:r>
    <w:proofErr w:type="gramStart"/>
    <w:r w:rsidRPr="005E63FD">
      <w:rPr>
        <w:rFonts w:ascii="Arial" w:hAnsi="Arial" w:cs="Arial"/>
        <w:sz w:val="16"/>
        <w:szCs w:val="16"/>
      </w:rPr>
      <w:t>of</w:t>
    </w:r>
    <w:r>
      <w:rPr>
        <w:rFonts w:ascii="Arial" w:hAnsi="Arial" w:cs="Arial"/>
        <w:sz w:val="16"/>
        <w:szCs w:val="16"/>
      </w:rPr>
      <w:t xml:space="preserve"> </w:t>
    </w:r>
    <w:r w:rsidRPr="005E63FD">
      <w:rPr>
        <w:rFonts w:ascii="Arial" w:hAnsi="Arial" w:cs="Arial"/>
        <w:sz w:val="16"/>
        <w:szCs w:val="16"/>
      </w:rPr>
      <w:t xml:space="preserve"> </w:t>
    </w:r>
    <w:proofErr w:type="gramEnd"/>
    <w:r w:rsidRPr="005E63FD">
      <w:rPr>
        <w:rFonts w:ascii="Arial" w:hAnsi="Arial" w:cs="Arial"/>
        <w:sz w:val="16"/>
        <w:szCs w:val="16"/>
      </w:rPr>
      <w:fldChar w:fldCharType="begin"/>
    </w:r>
    <w:r w:rsidRPr="005E63FD">
      <w:rPr>
        <w:rFonts w:ascii="Arial" w:hAnsi="Arial" w:cs="Arial"/>
        <w:sz w:val="16"/>
        <w:szCs w:val="16"/>
      </w:rPr>
      <w:instrText xml:space="preserve"> NUMPAGES </w:instrText>
    </w:r>
    <w:r w:rsidRPr="005E63FD">
      <w:rPr>
        <w:rFonts w:ascii="Arial" w:hAnsi="Arial" w:cs="Arial"/>
        <w:sz w:val="16"/>
        <w:szCs w:val="16"/>
      </w:rPr>
      <w:fldChar w:fldCharType="separate"/>
    </w:r>
    <w:r w:rsidR="00F2343A">
      <w:rPr>
        <w:rFonts w:ascii="Arial" w:hAnsi="Arial" w:cs="Arial"/>
        <w:noProof/>
        <w:sz w:val="16"/>
        <w:szCs w:val="16"/>
      </w:rPr>
      <w:t>6</w:t>
    </w:r>
    <w:r w:rsidRPr="005E63FD">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B9E" w:rsidRDefault="00373B9E">
      <w:r>
        <w:separator/>
      </w:r>
    </w:p>
  </w:footnote>
  <w:footnote w:type="continuationSeparator" w:id="0">
    <w:p w:rsidR="00373B9E" w:rsidRDefault="00373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746" w:rsidRPr="00BB20F9" w:rsidRDefault="00CF2746">
    <w:pPr>
      <w:jc w:val="right"/>
      <w:rPr>
        <w:rFonts w:ascii="Arial" w:hAnsi="Arial" w:cs="Arial"/>
        <w:sz w:val="16"/>
        <w:szCs w:val="16"/>
      </w:rPr>
    </w:pPr>
    <w:r w:rsidRPr="005E63FD">
      <w:rPr>
        <w:rFonts w:ascii="Arial" w:hAnsi="Arial" w:cs="Arial"/>
        <w:sz w:val="16"/>
        <w:szCs w:val="16"/>
      </w:rPr>
      <w:t>The Chickasaw Nation</w:t>
    </w:r>
  </w:p>
  <w:p w:rsidR="00CF2746" w:rsidRDefault="00CF2746"/>
  <w:p w:rsidR="00CF2746" w:rsidRDefault="00AD18BE">
    <w:pPr>
      <w:spacing w:line="19" w:lineRule="exact"/>
    </w:pPr>
    <w:r>
      <w:rPr>
        <w:noProof/>
      </w:rPr>
      <mc:AlternateContent>
        <mc:Choice Requires="wps">
          <w:drawing>
            <wp:anchor distT="0" distB="0" distL="114300" distR="114300" simplePos="0" relativeHeight="251657216"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6152A" id="Rectangle 1"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" o:allowincell="f" fillcolor="black" stroked="f" strokeweight="0">
              <w10:wrap anchorx="page"/>
              <w10:anchorlock/>
            </v:rect>
          </w:pict>
        </mc:Fallback>
      </mc:AlternateContent>
    </w:r>
  </w:p>
  <w:p w:rsidR="00CF2746" w:rsidRDefault="00CF2746">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2377"/>
    <w:multiLevelType w:val="hybridMultilevel"/>
    <w:tmpl w:val="8EC6CBB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2F679F"/>
    <w:multiLevelType w:val="hybridMultilevel"/>
    <w:tmpl w:val="A2B6BCCA"/>
    <w:lvl w:ilvl="0" w:tplc="E362DAF4">
      <w:start w:val="1"/>
      <w:numFmt w:val="upperLetter"/>
      <w:lvlText w:val="%1."/>
      <w:lvlJc w:val="left"/>
      <w:pPr>
        <w:tabs>
          <w:tab w:val="num" w:pos="1440"/>
        </w:tabs>
        <w:ind w:left="1440" w:hanging="720"/>
      </w:pPr>
      <w:rPr>
        <w:rFonts w:hint="default"/>
      </w:rPr>
    </w:lvl>
    <w:lvl w:ilvl="1" w:tplc="DC02C088">
      <w:start w:val="1"/>
      <w:numFmt w:val="decimal"/>
      <w:lvlText w:val="%2."/>
      <w:lvlJc w:val="left"/>
      <w:pPr>
        <w:tabs>
          <w:tab w:val="num" w:pos="1800"/>
        </w:tabs>
        <w:ind w:left="1800" w:hanging="360"/>
      </w:pPr>
      <w:rPr>
        <w:rFonts w:hint="default"/>
      </w:rPr>
    </w:lvl>
    <w:lvl w:ilvl="2" w:tplc="0A94104E">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FC3607F"/>
    <w:multiLevelType w:val="hybridMultilevel"/>
    <w:tmpl w:val="5374DA7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9B04EF"/>
    <w:multiLevelType w:val="hybridMultilevel"/>
    <w:tmpl w:val="0A7C73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072FC3"/>
    <w:multiLevelType w:val="hybridMultilevel"/>
    <w:tmpl w:val="32FEAAB0"/>
    <w:lvl w:ilvl="0" w:tplc="0864593E">
      <w:start w:val="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0318A5"/>
    <w:multiLevelType w:val="hybridMultilevel"/>
    <w:tmpl w:val="6FA6B8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B2533C"/>
    <w:multiLevelType w:val="hybridMultilevel"/>
    <w:tmpl w:val="BA48F0B6"/>
    <w:lvl w:ilvl="0" w:tplc="04090013">
      <w:start w:val="1"/>
      <w:numFmt w:val="upperRoman"/>
      <w:lvlText w:val="%1."/>
      <w:lvlJc w:val="right"/>
      <w:pPr>
        <w:ind w:left="720" w:hanging="360"/>
      </w:pPr>
    </w:lvl>
    <w:lvl w:ilvl="1" w:tplc="16A062D6">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007F2"/>
    <w:multiLevelType w:val="multilevel"/>
    <w:tmpl w:val="D9EE05D6"/>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980"/>
        </w:tabs>
        <w:ind w:left="1980" w:hanging="54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15:restartNumberingAfterBreak="0">
    <w:nsid w:val="17EE2EB4"/>
    <w:multiLevelType w:val="hybridMultilevel"/>
    <w:tmpl w:val="FAD2CF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02D1342"/>
    <w:multiLevelType w:val="hybridMultilevel"/>
    <w:tmpl w:val="D26CFF7E"/>
    <w:lvl w:ilvl="0" w:tplc="9DA09BBA">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2BE0CFB"/>
    <w:multiLevelType w:val="hybridMultilevel"/>
    <w:tmpl w:val="4148B7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E25F8E"/>
    <w:multiLevelType w:val="hybridMultilevel"/>
    <w:tmpl w:val="065E80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EB6215"/>
    <w:multiLevelType w:val="hybridMultilevel"/>
    <w:tmpl w:val="6BC009A8"/>
    <w:lvl w:ilvl="0" w:tplc="81BC8218">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31B6471F"/>
    <w:multiLevelType w:val="hybridMultilevel"/>
    <w:tmpl w:val="09FC7C74"/>
    <w:lvl w:ilvl="0" w:tplc="87AAFB86">
      <w:start w:val="4"/>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29F2E24"/>
    <w:multiLevelType w:val="hybridMultilevel"/>
    <w:tmpl w:val="8BB2AE8A"/>
    <w:lvl w:ilvl="0" w:tplc="865033AE">
      <w:start w:val="5"/>
      <w:numFmt w:val="upperLetter"/>
      <w:lvlText w:val="%1."/>
      <w:lvlJc w:val="left"/>
      <w:pPr>
        <w:tabs>
          <w:tab w:val="num" w:pos="1080"/>
        </w:tabs>
        <w:ind w:left="1080" w:hanging="360"/>
      </w:pPr>
      <w:rPr>
        <w:rFonts w:hint="default"/>
        <w:strike/>
        <w:color w:val="auto"/>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5" w15:restartNumberingAfterBreak="0">
    <w:nsid w:val="32A10260"/>
    <w:multiLevelType w:val="hybridMultilevel"/>
    <w:tmpl w:val="5CC2EC98"/>
    <w:lvl w:ilvl="0" w:tplc="CDC22F70">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5F10E90"/>
    <w:multiLevelType w:val="hybridMultilevel"/>
    <w:tmpl w:val="091E0074"/>
    <w:lvl w:ilvl="0" w:tplc="4972298A">
      <w:start w:val="3"/>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E4A674F"/>
    <w:multiLevelType w:val="hybridMultilevel"/>
    <w:tmpl w:val="D1369D38"/>
    <w:lvl w:ilvl="0" w:tplc="04090013">
      <w:start w:val="1"/>
      <w:numFmt w:val="upperRoman"/>
      <w:lvlText w:val="%1."/>
      <w:lvlJc w:val="right"/>
      <w:pPr>
        <w:ind w:left="360" w:hanging="360"/>
      </w:pPr>
      <w:rPr>
        <w:b/>
      </w:rPr>
    </w:lvl>
    <w:lvl w:ilvl="1" w:tplc="0409000F">
      <w:start w:val="1"/>
      <w:numFmt w:val="decimal"/>
      <w:lvlText w:val="%2."/>
      <w:lvlJc w:val="left"/>
      <w:pPr>
        <w:ind w:left="1080" w:hanging="360"/>
      </w:pPr>
      <w:rPr>
        <w:rFonts w:hint="default"/>
      </w:rPr>
    </w:lvl>
    <w:lvl w:ilvl="2" w:tplc="9A40FFAC">
      <w:start w:val="1"/>
      <w:numFmt w:val="decimal"/>
      <w:lvlText w:val="%3."/>
      <w:lvlJc w:val="left"/>
      <w:pPr>
        <w:ind w:left="1980" w:hanging="360"/>
      </w:pPr>
      <w:rPr>
        <w:rFonts w:hint="default"/>
      </w:rPr>
    </w:lvl>
    <w:lvl w:ilvl="3" w:tplc="C2F6EBB8">
      <w:numFmt w:val="bullet"/>
      <w:lvlText w:val="•"/>
      <w:lvlJc w:val="left"/>
      <w:pPr>
        <w:ind w:left="2520" w:hanging="360"/>
      </w:pPr>
      <w:rPr>
        <w:rFonts w:ascii="Arial" w:eastAsia="Times New Roman" w:hAnsi="Arial" w:cs="Aria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8534BF"/>
    <w:multiLevelType w:val="hybridMultilevel"/>
    <w:tmpl w:val="7C9A86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A32144"/>
    <w:multiLevelType w:val="hybridMultilevel"/>
    <w:tmpl w:val="EA067F34"/>
    <w:lvl w:ilvl="0" w:tplc="C8C262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A0CA3"/>
    <w:multiLevelType w:val="hybridMultilevel"/>
    <w:tmpl w:val="11E4B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3E6458"/>
    <w:multiLevelType w:val="hybridMultilevel"/>
    <w:tmpl w:val="BB205F3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3D108A"/>
    <w:multiLevelType w:val="hybridMultilevel"/>
    <w:tmpl w:val="42EA9E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362CDC"/>
    <w:multiLevelType w:val="hybridMultilevel"/>
    <w:tmpl w:val="B8F88B4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794BDC"/>
    <w:multiLevelType w:val="hybridMultilevel"/>
    <w:tmpl w:val="B69E786E"/>
    <w:lvl w:ilvl="0" w:tplc="BA943960">
      <w:start w:val="1"/>
      <w:numFmt w:val="upperLetter"/>
      <w:lvlText w:val="%1."/>
      <w:lvlJc w:val="left"/>
      <w:pPr>
        <w:ind w:left="1080" w:hanging="360"/>
      </w:pPr>
      <w:rPr>
        <w:rFonts w:hint="default"/>
        <w:strike/>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2550B4"/>
    <w:multiLevelType w:val="hybridMultilevel"/>
    <w:tmpl w:val="E7C4CBF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0CC69DF"/>
    <w:multiLevelType w:val="multilevel"/>
    <w:tmpl w:val="4F70E376"/>
    <w:lvl w:ilvl="0">
      <w:start w:val="1"/>
      <w:numFmt w:val="decimal"/>
      <w:lvlText w:val="%1."/>
      <w:lvlJc w:val="left"/>
      <w:pPr>
        <w:tabs>
          <w:tab w:val="num" w:pos="1080"/>
        </w:tabs>
        <w:ind w:left="1080" w:hanging="360"/>
      </w:pPr>
      <w:rPr>
        <w:rFonts w:ascii="Arial" w:eastAsia="Times New Roman" w:hAnsi="Arial" w:cs="Arial"/>
      </w:rPr>
    </w:lvl>
    <w:lvl w:ilvl="1">
      <w:start w:val="1"/>
      <w:numFmt w:val="decimal"/>
      <w:lvlText w:val="%2."/>
      <w:lvlJc w:val="left"/>
      <w:pPr>
        <w:tabs>
          <w:tab w:val="num" w:pos="1800"/>
        </w:tabs>
        <w:ind w:left="1800" w:hanging="360"/>
      </w:pPr>
      <w:rPr>
        <w:rFonts w:ascii="Arial" w:eastAsia="Times New Roman"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51A43F06"/>
    <w:multiLevelType w:val="hybridMultilevel"/>
    <w:tmpl w:val="43D48FBA"/>
    <w:lvl w:ilvl="0" w:tplc="DD5EFFB4">
      <w:start w:val="1"/>
      <w:numFmt w:val="upperLetter"/>
      <w:lvlText w:val="%1."/>
      <w:lvlJc w:val="left"/>
      <w:pPr>
        <w:tabs>
          <w:tab w:val="num" w:pos="1440"/>
        </w:tabs>
        <w:ind w:left="1440" w:hanging="720"/>
      </w:pPr>
      <w:rPr>
        <w:rFonts w:hint="default"/>
        <w:b/>
      </w:rPr>
    </w:lvl>
    <w:lvl w:ilvl="1" w:tplc="8E04D5F8">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700"/>
        </w:tabs>
        <w:ind w:left="2700" w:hanging="360"/>
      </w:pPr>
      <w:rPr>
        <w:rFonts w:ascii="Symbol" w:hAnsi="Symbol"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4271806"/>
    <w:multiLevelType w:val="hybridMultilevel"/>
    <w:tmpl w:val="DDD23E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62765E"/>
    <w:multiLevelType w:val="hybridMultilevel"/>
    <w:tmpl w:val="B11AA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C615E3"/>
    <w:multiLevelType w:val="hybridMultilevel"/>
    <w:tmpl w:val="B17C6DA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0159EA"/>
    <w:multiLevelType w:val="multilevel"/>
    <w:tmpl w:val="4F70E376"/>
    <w:lvl w:ilvl="0">
      <w:start w:val="1"/>
      <w:numFmt w:val="decimal"/>
      <w:lvlText w:val="%1."/>
      <w:lvlJc w:val="left"/>
      <w:pPr>
        <w:tabs>
          <w:tab w:val="num" w:pos="1080"/>
        </w:tabs>
        <w:ind w:left="1080" w:hanging="360"/>
      </w:pPr>
      <w:rPr>
        <w:rFonts w:ascii="Arial" w:eastAsia="Times New Roman" w:hAnsi="Arial" w:cs="Arial"/>
      </w:rPr>
    </w:lvl>
    <w:lvl w:ilvl="1">
      <w:start w:val="1"/>
      <w:numFmt w:val="decimal"/>
      <w:lvlText w:val="%2."/>
      <w:lvlJc w:val="left"/>
      <w:pPr>
        <w:tabs>
          <w:tab w:val="num" w:pos="1800"/>
        </w:tabs>
        <w:ind w:left="1800" w:hanging="360"/>
      </w:pPr>
      <w:rPr>
        <w:rFonts w:ascii="Arial" w:eastAsia="Times New Roman"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5CFF5B56"/>
    <w:multiLevelType w:val="hybridMultilevel"/>
    <w:tmpl w:val="4546107E"/>
    <w:lvl w:ilvl="0" w:tplc="0B2036CA">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3" w15:restartNumberingAfterBreak="0">
    <w:nsid w:val="5EA23D24"/>
    <w:multiLevelType w:val="hybridMultilevel"/>
    <w:tmpl w:val="B984A24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7880CF0"/>
    <w:multiLevelType w:val="hybridMultilevel"/>
    <w:tmpl w:val="53F45180"/>
    <w:lvl w:ilvl="0" w:tplc="A8B80DF2">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90A669A"/>
    <w:multiLevelType w:val="hybridMultilevel"/>
    <w:tmpl w:val="ACB29AEE"/>
    <w:lvl w:ilvl="0" w:tplc="127A4E3E">
      <w:start w:val="1"/>
      <w:numFmt w:val="bullet"/>
      <w:lvlText w:val=""/>
      <w:lvlJc w:val="left"/>
      <w:pPr>
        <w:tabs>
          <w:tab w:val="num" w:pos="1080"/>
        </w:tabs>
        <w:ind w:left="1080" w:hanging="360"/>
      </w:pPr>
      <w:rPr>
        <w:rFonts w:ascii="Wingdings" w:hAnsi="Wingdings" w:hint="default"/>
        <w:strike w:val="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93A2205"/>
    <w:multiLevelType w:val="hybridMultilevel"/>
    <w:tmpl w:val="833ACD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FC3740"/>
    <w:multiLevelType w:val="hybridMultilevel"/>
    <w:tmpl w:val="B2E0ED10"/>
    <w:lvl w:ilvl="0" w:tplc="C904144C">
      <w:start w:val="1"/>
      <w:numFmt w:val="upperLetter"/>
      <w:lvlText w:val="%1."/>
      <w:lvlJc w:val="left"/>
      <w:pPr>
        <w:tabs>
          <w:tab w:val="num" w:pos="1080"/>
        </w:tabs>
        <w:ind w:left="1080" w:hanging="360"/>
      </w:pPr>
      <w:rPr>
        <w:rFonts w:hint="default"/>
      </w:rPr>
    </w:lvl>
    <w:lvl w:ilvl="1" w:tplc="196CA6FA">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D580E83"/>
    <w:multiLevelType w:val="hybridMultilevel"/>
    <w:tmpl w:val="C6E6EE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DD3FF2"/>
    <w:multiLevelType w:val="hybridMultilevel"/>
    <w:tmpl w:val="C18A851E"/>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A2E1A97"/>
    <w:multiLevelType w:val="hybridMultilevel"/>
    <w:tmpl w:val="4F70E376"/>
    <w:lvl w:ilvl="0" w:tplc="CA363652">
      <w:start w:val="1"/>
      <w:numFmt w:val="decimal"/>
      <w:lvlText w:val="%1."/>
      <w:lvlJc w:val="left"/>
      <w:pPr>
        <w:tabs>
          <w:tab w:val="num" w:pos="1440"/>
        </w:tabs>
        <w:ind w:left="1440" w:hanging="360"/>
      </w:pPr>
      <w:rPr>
        <w:rFonts w:ascii="Arial" w:eastAsia="Times New Roman" w:hAnsi="Arial" w:cs="Arial"/>
      </w:rPr>
    </w:lvl>
    <w:lvl w:ilvl="1" w:tplc="0AD4A0D2">
      <w:start w:val="1"/>
      <w:numFmt w:val="decimal"/>
      <w:lvlText w:val="%2."/>
      <w:lvlJc w:val="left"/>
      <w:pPr>
        <w:tabs>
          <w:tab w:val="num" w:pos="2160"/>
        </w:tabs>
        <w:ind w:left="2160" w:hanging="360"/>
      </w:pPr>
      <w:rPr>
        <w:rFonts w:ascii="Arial" w:eastAsia="Times New Roman" w:hAnsi="Arial" w:cs="Aria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7E432C18"/>
    <w:multiLevelType w:val="hybridMultilevel"/>
    <w:tmpl w:val="6ACECD28"/>
    <w:lvl w:ilvl="0" w:tplc="6A884B7E">
      <w:start w:val="1"/>
      <w:numFmt w:val="upperLetter"/>
      <w:lvlText w:val="%1."/>
      <w:lvlJc w:val="left"/>
      <w:pPr>
        <w:tabs>
          <w:tab w:val="num" w:pos="1080"/>
        </w:tabs>
        <w:ind w:left="1080" w:hanging="360"/>
      </w:pPr>
      <w:rPr>
        <w:rFonts w:hint="default"/>
      </w:rPr>
    </w:lvl>
    <w:lvl w:ilvl="1" w:tplc="EE98EF8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6"/>
  </w:num>
  <w:num w:numId="3">
    <w:abstractNumId w:val="35"/>
  </w:num>
  <w:num w:numId="4">
    <w:abstractNumId w:val="32"/>
  </w:num>
  <w:num w:numId="5">
    <w:abstractNumId w:val="34"/>
  </w:num>
  <w:num w:numId="6">
    <w:abstractNumId w:val="27"/>
  </w:num>
  <w:num w:numId="7">
    <w:abstractNumId w:val="7"/>
  </w:num>
  <w:num w:numId="8">
    <w:abstractNumId w:val="41"/>
  </w:num>
  <w:num w:numId="9">
    <w:abstractNumId w:val="40"/>
  </w:num>
  <w:num w:numId="10">
    <w:abstractNumId w:val="26"/>
  </w:num>
  <w:num w:numId="11">
    <w:abstractNumId w:val="31"/>
  </w:num>
  <w:num w:numId="12">
    <w:abstractNumId w:val="9"/>
  </w:num>
  <w:num w:numId="13">
    <w:abstractNumId w:val="15"/>
  </w:num>
  <w:num w:numId="14">
    <w:abstractNumId w:val="12"/>
  </w:num>
  <w:num w:numId="15">
    <w:abstractNumId w:val="37"/>
  </w:num>
  <w:num w:numId="16">
    <w:abstractNumId w:val="13"/>
  </w:num>
  <w:num w:numId="17">
    <w:abstractNumId w:val="14"/>
  </w:num>
  <w:num w:numId="18">
    <w:abstractNumId w:val="24"/>
  </w:num>
  <w:num w:numId="19">
    <w:abstractNumId w:val="4"/>
  </w:num>
  <w:num w:numId="20">
    <w:abstractNumId w:val="6"/>
  </w:num>
  <w:num w:numId="21">
    <w:abstractNumId w:val="19"/>
  </w:num>
  <w:num w:numId="22">
    <w:abstractNumId w:val="39"/>
  </w:num>
  <w:num w:numId="23">
    <w:abstractNumId w:val="8"/>
  </w:num>
  <w:num w:numId="24">
    <w:abstractNumId w:val="29"/>
  </w:num>
  <w:num w:numId="25">
    <w:abstractNumId w:val="17"/>
  </w:num>
  <w:num w:numId="26">
    <w:abstractNumId w:val="11"/>
  </w:num>
  <w:num w:numId="27">
    <w:abstractNumId w:val="10"/>
  </w:num>
  <w:num w:numId="28">
    <w:abstractNumId w:val="5"/>
  </w:num>
  <w:num w:numId="29">
    <w:abstractNumId w:val="18"/>
  </w:num>
  <w:num w:numId="30">
    <w:abstractNumId w:val="22"/>
  </w:num>
  <w:num w:numId="31">
    <w:abstractNumId w:val="23"/>
  </w:num>
  <w:num w:numId="32">
    <w:abstractNumId w:val="36"/>
  </w:num>
  <w:num w:numId="33">
    <w:abstractNumId w:val="30"/>
  </w:num>
  <w:num w:numId="34">
    <w:abstractNumId w:val="3"/>
  </w:num>
  <w:num w:numId="35">
    <w:abstractNumId w:val="28"/>
  </w:num>
  <w:num w:numId="36">
    <w:abstractNumId w:val="0"/>
  </w:num>
  <w:num w:numId="37">
    <w:abstractNumId w:val="2"/>
  </w:num>
  <w:num w:numId="38">
    <w:abstractNumId w:val="33"/>
  </w:num>
  <w:num w:numId="39">
    <w:abstractNumId w:val="38"/>
  </w:num>
  <w:num w:numId="40">
    <w:abstractNumId w:val="21"/>
  </w:num>
  <w:num w:numId="41">
    <w:abstractNumId w:val="25"/>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66"/>
    <w:rsid w:val="000006E0"/>
    <w:rsid w:val="00013B2E"/>
    <w:rsid w:val="000149E6"/>
    <w:rsid w:val="00044F92"/>
    <w:rsid w:val="00050E1F"/>
    <w:rsid w:val="000633A3"/>
    <w:rsid w:val="00073A85"/>
    <w:rsid w:val="00077D3E"/>
    <w:rsid w:val="0008078F"/>
    <w:rsid w:val="00081857"/>
    <w:rsid w:val="000962E0"/>
    <w:rsid w:val="000A67EB"/>
    <w:rsid w:val="000C765E"/>
    <w:rsid w:val="000E5F51"/>
    <w:rsid w:val="00100310"/>
    <w:rsid w:val="0010740F"/>
    <w:rsid w:val="00151B0C"/>
    <w:rsid w:val="00157743"/>
    <w:rsid w:val="001743A0"/>
    <w:rsid w:val="00183866"/>
    <w:rsid w:val="001B4002"/>
    <w:rsid w:val="001C4CC4"/>
    <w:rsid w:val="001D229C"/>
    <w:rsid w:val="001D6375"/>
    <w:rsid w:val="00222B94"/>
    <w:rsid w:val="00223574"/>
    <w:rsid w:val="00225AEB"/>
    <w:rsid w:val="0024383F"/>
    <w:rsid w:val="00245121"/>
    <w:rsid w:val="00255774"/>
    <w:rsid w:val="00255DF6"/>
    <w:rsid w:val="00257CC5"/>
    <w:rsid w:val="0028069F"/>
    <w:rsid w:val="00297E57"/>
    <w:rsid w:val="002A054D"/>
    <w:rsid w:val="002B064A"/>
    <w:rsid w:val="002B75E2"/>
    <w:rsid w:val="002C339D"/>
    <w:rsid w:val="002D5B8F"/>
    <w:rsid w:val="00315C14"/>
    <w:rsid w:val="00326558"/>
    <w:rsid w:val="00341025"/>
    <w:rsid w:val="00366008"/>
    <w:rsid w:val="00373B9E"/>
    <w:rsid w:val="00380FC9"/>
    <w:rsid w:val="003A1C5C"/>
    <w:rsid w:val="003C241D"/>
    <w:rsid w:val="003C7C33"/>
    <w:rsid w:val="003E226E"/>
    <w:rsid w:val="004020F8"/>
    <w:rsid w:val="00415B74"/>
    <w:rsid w:val="004214E2"/>
    <w:rsid w:val="00462B95"/>
    <w:rsid w:val="00477373"/>
    <w:rsid w:val="004937A8"/>
    <w:rsid w:val="004C408E"/>
    <w:rsid w:val="004C64DA"/>
    <w:rsid w:val="004E2045"/>
    <w:rsid w:val="004E267A"/>
    <w:rsid w:val="004F10D2"/>
    <w:rsid w:val="004F45F3"/>
    <w:rsid w:val="00535573"/>
    <w:rsid w:val="0054110A"/>
    <w:rsid w:val="00551E56"/>
    <w:rsid w:val="00591425"/>
    <w:rsid w:val="00596FE2"/>
    <w:rsid w:val="005A463E"/>
    <w:rsid w:val="005C7BF6"/>
    <w:rsid w:val="005D1296"/>
    <w:rsid w:val="005D6CA6"/>
    <w:rsid w:val="005E0F49"/>
    <w:rsid w:val="005E63FD"/>
    <w:rsid w:val="005F10BC"/>
    <w:rsid w:val="006178CB"/>
    <w:rsid w:val="0062211C"/>
    <w:rsid w:val="00622E3C"/>
    <w:rsid w:val="00627F06"/>
    <w:rsid w:val="0063029F"/>
    <w:rsid w:val="00645840"/>
    <w:rsid w:val="00646309"/>
    <w:rsid w:val="00660A84"/>
    <w:rsid w:val="00691DB8"/>
    <w:rsid w:val="00693CE4"/>
    <w:rsid w:val="00694D85"/>
    <w:rsid w:val="00694F79"/>
    <w:rsid w:val="006A03B3"/>
    <w:rsid w:val="006B2BA3"/>
    <w:rsid w:val="006D5A14"/>
    <w:rsid w:val="0071084C"/>
    <w:rsid w:val="00715221"/>
    <w:rsid w:val="00723585"/>
    <w:rsid w:val="00753371"/>
    <w:rsid w:val="00760706"/>
    <w:rsid w:val="00761C15"/>
    <w:rsid w:val="0077083F"/>
    <w:rsid w:val="00774FBD"/>
    <w:rsid w:val="00777CA8"/>
    <w:rsid w:val="00786E5D"/>
    <w:rsid w:val="007C01DA"/>
    <w:rsid w:val="007C7A6F"/>
    <w:rsid w:val="007E1294"/>
    <w:rsid w:val="007E46E7"/>
    <w:rsid w:val="007F49E5"/>
    <w:rsid w:val="00830FEE"/>
    <w:rsid w:val="00845B73"/>
    <w:rsid w:val="0085692D"/>
    <w:rsid w:val="0085724B"/>
    <w:rsid w:val="008C20A7"/>
    <w:rsid w:val="008D1ADB"/>
    <w:rsid w:val="008E3430"/>
    <w:rsid w:val="008E6CA1"/>
    <w:rsid w:val="008F3F15"/>
    <w:rsid w:val="00916939"/>
    <w:rsid w:val="00927D08"/>
    <w:rsid w:val="0094211C"/>
    <w:rsid w:val="00951302"/>
    <w:rsid w:val="00956943"/>
    <w:rsid w:val="009741AE"/>
    <w:rsid w:val="0098098D"/>
    <w:rsid w:val="009838F9"/>
    <w:rsid w:val="009A6179"/>
    <w:rsid w:val="009B3BC9"/>
    <w:rsid w:val="009C4C4B"/>
    <w:rsid w:val="009E2796"/>
    <w:rsid w:val="009E489C"/>
    <w:rsid w:val="009F61EA"/>
    <w:rsid w:val="009F7F4E"/>
    <w:rsid w:val="00A03169"/>
    <w:rsid w:val="00A05224"/>
    <w:rsid w:val="00A074F5"/>
    <w:rsid w:val="00A07736"/>
    <w:rsid w:val="00A129FA"/>
    <w:rsid w:val="00A16B71"/>
    <w:rsid w:val="00A20E99"/>
    <w:rsid w:val="00A261C9"/>
    <w:rsid w:val="00A30BE6"/>
    <w:rsid w:val="00A30C4E"/>
    <w:rsid w:val="00A52EA0"/>
    <w:rsid w:val="00A56464"/>
    <w:rsid w:val="00A6113D"/>
    <w:rsid w:val="00A619AE"/>
    <w:rsid w:val="00A6248D"/>
    <w:rsid w:val="00A70BD0"/>
    <w:rsid w:val="00A773C8"/>
    <w:rsid w:val="00A808F3"/>
    <w:rsid w:val="00A80D71"/>
    <w:rsid w:val="00A86D6A"/>
    <w:rsid w:val="00A902C2"/>
    <w:rsid w:val="00A90865"/>
    <w:rsid w:val="00A9157C"/>
    <w:rsid w:val="00AA2F87"/>
    <w:rsid w:val="00AD18BE"/>
    <w:rsid w:val="00AD30BC"/>
    <w:rsid w:val="00AF0361"/>
    <w:rsid w:val="00AF1938"/>
    <w:rsid w:val="00B4192B"/>
    <w:rsid w:val="00B62E69"/>
    <w:rsid w:val="00B9108B"/>
    <w:rsid w:val="00BB20F9"/>
    <w:rsid w:val="00BB7530"/>
    <w:rsid w:val="00BF7375"/>
    <w:rsid w:val="00C009F6"/>
    <w:rsid w:val="00C16E91"/>
    <w:rsid w:val="00C23A41"/>
    <w:rsid w:val="00C73D3C"/>
    <w:rsid w:val="00C76E06"/>
    <w:rsid w:val="00CA02EF"/>
    <w:rsid w:val="00CA3BEA"/>
    <w:rsid w:val="00CE5F37"/>
    <w:rsid w:val="00CF2746"/>
    <w:rsid w:val="00D13EEC"/>
    <w:rsid w:val="00D161EA"/>
    <w:rsid w:val="00D16E81"/>
    <w:rsid w:val="00D21495"/>
    <w:rsid w:val="00D24815"/>
    <w:rsid w:val="00D252C1"/>
    <w:rsid w:val="00D27587"/>
    <w:rsid w:val="00D32319"/>
    <w:rsid w:val="00D41FE0"/>
    <w:rsid w:val="00D42C8F"/>
    <w:rsid w:val="00D53B82"/>
    <w:rsid w:val="00D56600"/>
    <w:rsid w:val="00D70E1F"/>
    <w:rsid w:val="00D82DF1"/>
    <w:rsid w:val="00D8373D"/>
    <w:rsid w:val="00D83F79"/>
    <w:rsid w:val="00D90929"/>
    <w:rsid w:val="00DA7475"/>
    <w:rsid w:val="00DB69AC"/>
    <w:rsid w:val="00DD2D34"/>
    <w:rsid w:val="00DF3D94"/>
    <w:rsid w:val="00DF4A06"/>
    <w:rsid w:val="00E06350"/>
    <w:rsid w:val="00E1060B"/>
    <w:rsid w:val="00E13FF1"/>
    <w:rsid w:val="00E14A6C"/>
    <w:rsid w:val="00E20EDC"/>
    <w:rsid w:val="00E24CD2"/>
    <w:rsid w:val="00E31A64"/>
    <w:rsid w:val="00E47DEB"/>
    <w:rsid w:val="00E65051"/>
    <w:rsid w:val="00E73714"/>
    <w:rsid w:val="00E74562"/>
    <w:rsid w:val="00E87565"/>
    <w:rsid w:val="00E95578"/>
    <w:rsid w:val="00EA766E"/>
    <w:rsid w:val="00EB22EA"/>
    <w:rsid w:val="00EC7896"/>
    <w:rsid w:val="00EF6961"/>
    <w:rsid w:val="00F05F39"/>
    <w:rsid w:val="00F11D85"/>
    <w:rsid w:val="00F2343A"/>
    <w:rsid w:val="00F52975"/>
    <w:rsid w:val="00F5445D"/>
    <w:rsid w:val="00F745CB"/>
    <w:rsid w:val="00F80794"/>
    <w:rsid w:val="00F86ADE"/>
    <w:rsid w:val="00F93896"/>
    <w:rsid w:val="00FB1B45"/>
    <w:rsid w:val="00FB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A4A590D"/>
  <w15:docId w15:val="{352A18F6-8CA5-40E5-AC77-4D094B41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autoSpaceDE w:val="0"/>
      <w:autoSpaceDN w:val="0"/>
      <w:adjustRightInd w:val="0"/>
      <w:ind w:left="720" w:hanging="720"/>
    </w:pPr>
    <w:rPr>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1440"/>
    </w:pPr>
    <w:rPr>
      <w:rFonts w:ascii="Arial" w:hAnsi="Arial"/>
    </w:rPr>
  </w:style>
  <w:style w:type="paragraph" w:styleId="Title">
    <w:name w:val="Title"/>
    <w:basedOn w:val="Normal"/>
    <w:qFormat/>
    <w:pPr>
      <w:jc w:val="center"/>
    </w:pPr>
    <w:rPr>
      <w:rFonts w:ascii="Arial" w:hAnsi="Arial"/>
      <w:b/>
      <w:bCs/>
      <w:sz w:val="36"/>
      <w:szCs w:val="36"/>
    </w:rPr>
  </w:style>
  <w:style w:type="paragraph" w:styleId="BodyTextIndent2">
    <w:name w:val="Body Text Indent 2"/>
    <w:basedOn w:val="Normal"/>
    <w:rsid w:val="005E63FD"/>
    <w:pPr>
      <w:spacing w:after="120" w:line="480" w:lineRule="auto"/>
      <w:ind w:left="360"/>
    </w:pPr>
  </w:style>
  <w:style w:type="paragraph" w:styleId="BodyTextIndent3">
    <w:name w:val="Body Text Indent 3"/>
    <w:basedOn w:val="Normal"/>
    <w:rsid w:val="004E2045"/>
    <w:pPr>
      <w:spacing w:after="120"/>
      <w:ind w:left="360"/>
    </w:pPr>
    <w:rPr>
      <w:sz w:val="16"/>
      <w:szCs w:val="16"/>
    </w:rPr>
  </w:style>
  <w:style w:type="paragraph" w:customStyle="1" w:styleId="Level4">
    <w:name w:val="Level 4"/>
    <w:rsid w:val="004E2045"/>
    <w:pPr>
      <w:autoSpaceDE w:val="0"/>
      <w:autoSpaceDN w:val="0"/>
      <w:adjustRightInd w:val="0"/>
      <w:ind w:left="2880"/>
    </w:pPr>
    <w:rPr>
      <w:szCs w:val="24"/>
    </w:rPr>
  </w:style>
  <w:style w:type="character" w:styleId="Hyperlink">
    <w:name w:val="Hyperlink"/>
    <w:rsid w:val="00D90929"/>
    <w:rPr>
      <w:rFonts w:ascii="Arial" w:hAnsi="Arial" w:cs="Arial" w:hint="default"/>
      <w:i/>
      <w:iCs/>
      <w:color w:val="0000FF"/>
      <w:u w:val="single"/>
    </w:rPr>
  </w:style>
  <w:style w:type="character" w:customStyle="1" w:styleId="SYSHYPERTEXT">
    <w:name w:val="SYS_HYPERTEXT"/>
    <w:rsid w:val="00D90929"/>
    <w:rPr>
      <w:color w:val="0000FF"/>
      <w:u w:val="single"/>
    </w:rPr>
  </w:style>
  <w:style w:type="paragraph" w:styleId="BalloonText">
    <w:name w:val="Balloon Text"/>
    <w:basedOn w:val="Normal"/>
    <w:semiHidden/>
    <w:rsid w:val="0085724B"/>
    <w:rPr>
      <w:rFonts w:ascii="Tahoma" w:hAnsi="Tahoma" w:cs="Tahoma"/>
      <w:sz w:val="16"/>
      <w:szCs w:val="16"/>
    </w:rPr>
  </w:style>
  <w:style w:type="table" w:styleId="TableGrid">
    <w:name w:val="Table Grid"/>
    <w:basedOn w:val="TableNormal"/>
    <w:rsid w:val="00D32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96FE2"/>
    <w:rPr>
      <w:color w:val="606420"/>
      <w:u w:val="single"/>
    </w:rPr>
  </w:style>
  <w:style w:type="character" w:customStyle="1" w:styleId="HeaderChar">
    <w:name w:val="Header Char"/>
    <w:link w:val="Header"/>
    <w:rsid w:val="0098098D"/>
    <w:rPr>
      <w:sz w:val="24"/>
      <w:szCs w:val="24"/>
    </w:rPr>
  </w:style>
  <w:style w:type="paragraph" w:styleId="ListParagraph">
    <w:name w:val="List Paragraph"/>
    <w:basedOn w:val="Normal"/>
    <w:uiPriority w:val="34"/>
    <w:qFormat/>
    <w:rsid w:val="00EC7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7df522e7-de1a-421d-acff-b3074c42741b@chickasaw.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6</Pages>
  <Words>1971</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Chickasaw Nation Health System Policy Format</vt:lpstr>
    </vt:vector>
  </TitlesOfParts>
  <Company>Chickasaw Nation Health System</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Chickasaw Nation Health System Policy Format</dc:title>
  <dc:creator>Regina Klupenger</dc:creator>
  <cp:lastModifiedBy>Melissa Washington</cp:lastModifiedBy>
  <cp:revision>5</cp:revision>
  <cp:lastPrinted>2019-02-12T21:36:00Z</cp:lastPrinted>
  <dcterms:created xsi:type="dcterms:W3CDTF">2021-11-22T21:18:00Z</dcterms:created>
  <dcterms:modified xsi:type="dcterms:W3CDTF">2021-12-07T20:23:00Z</dcterms:modified>
</cp:coreProperties>
</file>