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36" w:rsidRDefault="007D5B36" w:rsidP="0062211C">
      <w:pPr>
        <w:pStyle w:val="Title"/>
        <w:jc w:val="both"/>
        <w:rPr>
          <w:sz w:val="24"/>
          <w:szCs w:val="24"/>
        </w:rPr>
      </w:pPr>
      <w:r>
        <w:rPr>
          <w:noProof/>
        </w:rPr>
        <w:drawing>
          <wp:anchor distT="0" distB="0" distL="114300" distR="114300" simplePos="0" relativeHeight="251657728" behindDoc="1" locked="0" layoutInCell="1" allowOverlap="1">
            <wp:simplePos x="0" y="0"/>
            <wp:positionH relativeFrom="column">
              <wp:posOffset>-83820</wp:posOffset>
            </wp:positionH>
            <wp:positionV relativeFrom="paragraph">
              <wp:posOffset>-144145</wp:posOffset>
            </wp:positionV>
            <wp:extent cx="922020" cy="861695"/>
            <wp:effectExtent l="0" t="0" r="0" b="0"/>
            <wp:wrapSquare wrapText="bothSides"/>
            <wp:docPr id="6" name="Picture 6"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22020" cy="861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Employee Health</w:t>
      </w:r>
    </w:p>
    <w:p w:rsidR="004020F8" w:rsidRPr="009741AE" w:rsidRDefault="007D5B36" w:rsidP="0062211C">
      <w:pPr>
        <w:pStyle w:val="Title"/>
        <w:jc w:val="both"/>
        <w:rPr>
          <w:sz w:val="32"/>
          <w:szCs w:val="32"/>
        </w:rPr>
      </w:pPr>
      <w:r>
        <w:rPr>
          <w:sz w:val="24"/>
          <w:szCs w:val="24"/>
        </w:rPr>
        <w:t>Clinic</w:t>
      </w:r>
      <w:r w:rsidR="0062211C">
        <w:rPr>
          <w:sz w:val="32"/>
          <w:szCs w:val="32"/>
        </w:rPr>
        <w:tab/>
      </w:r>
      <w:r w:rsidR="0062211C">
        <w:rPr>
          <w:sz w:val="32"/>
          <w:szCs w:val="32"/>
        </w:rPr>
        <w:tab/>
      </w:r>
      <w:r w:rsidR="0062211C">
        <w:rPr>
          <w:sz w:val="32"/>
          <w:szCs w:val="32"/>
        </w:rPr>
        <w:tab/>
      </w:r>
      <w:r>
        <w:rPr>
          <w:sz w:val="32"/>
          <w:szCs w:val="32"/>
        </w:rPr>
        <w:tab/>
      </w:r>
      <w:r w:rsidR="00EA7A74">
        <w:rPr>
          <w:sz w:val="32"/>
          <w:szCs w:val="32"/>
        </w:rPr>
        <w:t>Alere Afinion HbA1c</w:t>
      </w:r>
    </w:p>
    <w:p w:rsidR="004020F8" w:rsidRDefault="004020F8" w:rsidP="000A67EB">
      <w:pPr>
        <w:jc w:val="both"/>
        <w:rPr>
          <w:rFonts w:ascii="Arial" w:hAnsi="Arial"/>
        </w:rPr>
      </w:pPr>
    </w:p>
    <w:p w:rsidR="00183866" w:rsidRDefault="00183866" w:rsidP="00183866">
      <w:pPr>
        <w:framePr w:w="1169" w:h="1259" w:hRule="exact" w:hSpace="90" w:vSpace="90" w:wrap="auto" w:vAnchor="page" w:hAnchor="page" w:x="1303" w:y="1981"/>
        <w:spacing w:line="120" w:lineRule="exact"/>
        <w:rPr>
          <w:rFonts w:ascii="Arial" w:hAnsi="Arial"/>
        </w:rPr>
      </w:pPr>
    </w:p>
    <w:tbl>
      <w:tblPr>
        <w:tblW w:w="0" w:type="auto"/>
        <w:tblInd w:w="120" w:type="dxa"/>
        <w:tblLayout w:type="fixed"/>
        <w:tblCellMar>
          <w:left w:w="120" w:type="dxa"/>
          <w:right w:w="120" w:type="dxa"/>
        </w:tblCellMar>
        <w:tblLook w:val="0000" w:firstRow="0" w:lastRow="0" w:firstColumn="0" w:lastColumn="0" w:noHBand="0" w:noVBand="0"/>
      </w:tblPr>
      <w:tblGrid>
        <w:gridCol w:w="4860"/>
        <w:gridCol w:w="4500"/>
      </w:tblGrid>
      <w:tr w:rsidR="004020F8">
        <w:trPr>
          <w:trHeight w:val="360"/>
        </w:trPr>
        <w:tc>
          <w:tcPr>
            <w:tcW w:w="4860" w:type="dxa"/>
            <w:tcBorders>
              <w:top w:val="single" w:sz="7" w:space="0" w:color="000000"/>
              <w:left w:val="single" w:sz="7" w:space="0" w:color="000000"/>
              <w:bottom w:val="single" w:sz="7" w:space="0" w:color="000000"/>
              <w:right w:val="single" w:sz="7" w:space="0" w:color="000000"/>
            </w:tcBorders>
            <w:vAlign w:val="center"/>
          </w:tcPr>
          <w:p w:rsidR="004020F8" w:rsidRDefault="004020F8" w:rsidP="007D5B36">
            <w:pPr>
              <w:spacing w:after="58"/>
              <w:rPr>
                <w:rFonts w:ascii="Arial" w:hAnsi="Arial"/>
              </w:rPr>
            </w:pPr>
            <w:r>
              <w:rPr>
                <w:rFonts w:ascii="Arial" w:hAnsi="Arial"/>
              </w:rPr>
              <w:t xml:space="preserve">Effective Date: </w:t>
            </w:r>
            <w:r w:rsidR="0077083F">
              <w:rPr>
                <w:rFonts w:ascii="Arial" w:hAnsi="Arial"/>
              </w:rPr>
              <w:t xml:space="preserve"> </w:t>
            </w:r>
            <w:r w:rsidR="00B31CA6">
              <w:rPr>
                <w:rFonts w:ascii="Arial" w:hAnsi="Arial"/>
              </w:rPr>
              <w:t>November 2021</w:t>
            </w:r>
          </w:p>
        </w:tc>
        <w:tc>
          <w:tcPr>
            <w:tcW w:w="4500" w:type="dxa"/>
            <w:tcBorders>
              <w:top w:val="single" w:sz="7" w:space="0" w:color="000000"/>
              <w:left w:val="single" w:sz="7" w:space="0" w:color="000000"/>
              <w:bottom w:val="single" w:sz="7" w:space="0" w:color="000000"/>
              <w:right w:val="single" w:sz="7" w:space="0" w:color="000000"/>
            </w:tcBorders>
            <w:vAlign w:val="center"/>
          </w:tcPr>
          <w:p w:rsidR="004020F8" w:rsidRDefault="00B31CA6" w:rsidP="0077083F">
            <w:pPr>
              <w:spacing w:after="58"/>
              <w:rPr>
                <w:rFonts w:ascii="Arial" w:hAnsi="Arial"/>
              </w:rPr>
            </w:pPr>
            <w:r>
              <w:rPr>
                <w:rFonts w:ascii="Arial" w:hAnsi="Arial"/>
              </w:rPr>
              <w:t>Department: Laboratory</w:t>
            </w:r>
            <w:r w:rsidR="00715221">
              <w:rPr>
                <w:rFonts w:ascii="Arial" w:hAnsi="Arial"/>
              </w:rPr>
              <w:t xml:space="preserve"> </w:t>
            </w:r>
            <w:r w:rsidR="0077083F">
              <w:rPr>
                <w:rFonts w:ascii="Arial" w:hAnsi="Arial"/>
              </w:rPr>
              <w:t xml:space="preserve"> </w:t>
            </w:r>
          </w:p>
        </w:tc>
      </w:tr>
      <w:tr w:rsidR="004020F8" w:rsidTr="00B31CA6">
        <w:trPr>
          <w:trHeight w:val="496"/>
        </w:trPr>
        <w:tc>
          <w:tcPr>
            <w:tcW w:w="4860" w:type="dxa"/>
            <w:tcBorders>
              <w:top w:val="single" w:sz="7" w:space="0" w:color="000000"/>
              <w:left w:val="single" w:sz="7" w:space="0" w:color="000000"/>
              <w:bottom w:val="single" w:sz="7" w:space="0" w:color="000000"/>
              <w:right w:val="single" w:sz="7" w:space="0" w:color="000000"/>
            </w:tcBorders>
            <w:vAlign w:val="center"/>
          </w:tcPr>
          <w:p w:rsidR="004020F8" w:rsidRPr="009838F9" w:rsidRDefault="00081857" w:rsidP="0085692D">
            <w:pPr>
              <w:spacing w:after="58"/>
              <w:jc w:val="both"/>
              <w:rPr>
                <w:rFonts w:ascii="Arial" w:hAnsi="Arial"/>
                <w:color w:val="000000"/>
              </w:rPr>
            </w:pPr>
            <w:r w:rsidRPr="009838F9">
              <w:rPr>
                <w:rFonts w:ascii="Arial" w:hAnsi="Arial"/>
                <w:color w:val="000000"/>
              </w:rPr>
              <w:t xml:space="preserve">Date of Review: </w:t>
            </w:r>
            <w:r>
              <w:rPr>
                <w:rFonts w:ascii="Arial" w:hAnsi="Arial"/>
                <w:color w:val="000000"/>
              </w:rPr>
              <w:t xml:space="preserve"> </w:t>
            </w:r>
            <w:r w:rsidR="00B31CA6">
              <w:rPr>
                <w:rFonts w:ascii="Arial" w:hAnsi="Arial"/>
                <w:color w:val="000000"/>
              </w:rPr>
              <w:t>November 2023</w:t>
            </w:r>
          </w:p>
        </w:tc>
        <w:tc>
          <w:tcPr>
            <w:tcW w:w="4500" w:type="dxa"/>
            <w:tcBorders>
              <w:top w:val="single" w:sz="7" w:space="0" w:color="000000"/>
              <w:left w:val="single" w:sz="7" w:space="0" w:color="000000"/>
              <w:bottom w:val="single" w:sz="7" w:space="0" w:color="000000"/>
              <w:right w:val="single" w:sz="7" w:space="0" w:color="000000"/>
            </w:tcBorders>
            <w:vAlign w:val="center"/>
          </w:tcPr>
          <w:p w:rsidR="007F49E5" w:rsidRDefault="004020F8" w:rsidP="00B31CA6">
            <w:pPr>
              <w:spacing w:after="58"/>
              <w:jc w:val="both"/>
              <w:rPr>
                <w:rFonts w:ascii="Arial" w:hAnsi="Arial"/>
              </w:rPr>
            </w:pPr>
            <w:r>
              <w:rPr>
                <w:rFonts w:ascii="Arial" w:hAnsi="Arial"/>
              </w:rPr>
              <w:t>Approval:</w:t>
            </w:r>
            <w:r w:rsidR="00B31CA6">
              <w:rPr>
                <w:rFonts w:ascii="Arial" w:hAnsi="Arial"/>
              </w:rPr>
              <w:t xml:space="preserve"> Laboratory Management</w:t>
            </w:r>
          </w:p>
        </w:tc>
      </w:tr>
    </w:tbl>
    <w:p w:rsidR="004020F8" w:rsidRDefault="004020F8" w:rsidP="00B31CA6">
      <w:pPr>
        <w:jc w:val="both"/>
        <w:rPr>
          <w:rFonts w:ascii="Arial" w:hAnsi="Arial"/>
        </w:rPr>
      </w:pPr>
    </w:p>
    <w:p w:rsidR="00B31CA6" w:rsidRPr="00B31CA6" w:rsidRDefault="00B31CA6" w:rsidP="00DE28EA">
      <w:pPr>
        <w:numPr>
          <w:ilvl w:val="0"/>
          <w:numId w:val="1"/>
        </w:numPr>
        <w:tabs>
          <w:tab w:val="left" w:pos="360"/>
        </w:tabs>
        <w:spacing w:after="72" w:line="200" w:lineRule="atLeast"/>
        <w:ind w:left="360"/>
        <w:rPr>
          <w:rFonts w:ascii="Arial" w:hAnsi="Arial" w:cs="Arial"/>
          <w:u w:val="single"/>
        </w:rPr>
      </w:pPr>
      <w:r w:rsidRPr="00B31CA6">
        <w:rPr>
          <w:rFonts w:ascii="Arial" w:hAnsi="Arial" w:cs="Arial"/>
          <w:b/>
          <w:u w:val="single"/>
        </w:rPr>
        <w:t>Intended Use</w:t>
      </w:r>
    </w:p>
    <w:p w:rsidR="00B31CA6" w:rsidRPr="00B31CA6" w:rsidRDefault="00B31CA6" w:rsidP="00B31CA6">
      <w:pPr>
        <w:autoSpaceDE w:val="0"/>
        <w:autoSpaceDN w:val="0"/>
        <w:adjustRightInd w:val="0"/>
        <w:ind w:left="360"/>
        <w:contextualSpacing/>
        <w:jc w:val="both"/>
        <w:rPr>
          <w:rFonts w:ascii="Arial" w:eastAsia="GillAltOneMT-Light--Identity-H" w:hAnsi="Arial" w:cs="Arial"/>
        </w:rPr>
      </w:pPr>
      <w:r w:rsidRPr="00B31CA6">
        <w:rPr>
          <w:rFonts w:ascii="Arial" w:eastAsia="GillAltOneMT-Light--Identity-H" w:hAnsi="Arial" w:cs="Arial"/>
        </w:rPr>
        <w:t xml:space="preserve">Afinion HbA1c is an </w:t>
      </w:r>
      <w:r w:rsidRPr="00B31CA6">
        <w:rPr>
          <w:rFonts w:ascii="Arial" w:eastAsia="GillAltOneMT-LightItalic--Ident" w:hAnsi="Arial" w:cs="Arial"/>
          <w:i/>
          <w:iCs/>
        </w:rPr>
        <w:t xml:space="preserve">in vitro </w:t>
      </w:r>
      <w:r w:rsidRPr="00B31CA6">
        <w:rPr>
          <w:rFonts w:ascii="Arial" w:eastAsia="GillAltOneMT-Light--Identity-H" w:hAnsi="Arial" w:cs="Arial"/>
        </w:rPr>
        <w:t xml:space="preserve">diagnostic test for quantitative determination of glycated hemoglobin (% hemoglobin A1c, HbA1c) in human capillary and venous whole blood. The measurement of </w:t>
      </w:r>
      <w:r w:rsidR="00EA7A74" w:rsidRPr="00B31CA6">
        <w:rPr>
          <w:rFonts w:ascii="Arial" w:eastAsia="GillAltOneMT-Light--Identity-H" w:hAnsi="Arial" w:cs="Arial"/>
        </w:rPr>
        <w:t>percentage</w:t>
      </w:r>
      <w:r w:rsidRPr="00B31CA6">
        <w:rPr>
          <w:rFonts w:ascii="Arial" w:eastAsia="GillAltOneMT-Light--Identity-H" w:hAnsi="Arial" w:cs="Arial"/>
        </w:rPr>
        <w:t xml:space="preserve"> HbA1c is recommended as a marker of long-term metabolic control in persons with diabetes mellitus</w:t>
      </w:r>
      <w:r w:rsidRPr="00B31CA6">
        <w:rPr>
          <w:rFonts w:ascii="Arial" w:eastAsia="GillAltOneMT-Light--Identity-H" w:hAnsi="Arial" w:cs="Arial"/>
          <w:vertAlign w:val="superscript"/>
        </w:rPr>
        <w:t>1</w:t>
      </w:r>
      <w:r w:rsidRPr="00B31CA6">
        <w:rPr>
          <w:rFonts w:ascii="Arial" w:eastAsia="GillAltOneMT-Light--Identity-H" w:hAnsi="Arial" w:cs="Arial"/>
        </w:rPr>
        <w:t>.</w:t>
      </w:r>
    </w:p>
    <w:p w:rsidR="00B31CA6" w:rsidRPr="00B31CA6" w:rsidRDefault="00B31CA6" w:rsidP="00B31CA6">
      <w:pPr>
        <w:tabs>
          <w:tab w:val="left" w:pos="360"/>
        </w:tabs>
        <w:spacing w:after="72" w:line="200" w:lineRule="atLeast"/>
        <w:ind w:left="360"/>
        <w:rPr>
          <w:rFonts w:ascii="Arial" w:hAnsi="Arial" w:cs="Arial"/>
          <w:b/>
        </w:rPr>
      </w:pPr>
    </w:p>
    <w:p w:rsidR="00B31CA6" w:rsidRPr="00B31CA6" w:rsidRDefault="00B31CA6" w:rsidP="00DE28EA">
      <w:pPr>
        <w:numPr>
          <w:ilvl w:val="0"/>
          <w:numId w:val="1"/>
        </w:numPr>
        <w:tabs>
          <w:tab w:val="left" w:pos="360"/>
        </w:tabs>
        <w:spacing w:after="72" w:line="200" w:lineRule="atLeast"/>
        <w:ind w:left="360"/>
        <w:rPr>
          <w:rFonts w:ascii="Arial" w:hAnsi="Arial" w:cs="Arial"/>
          <w:b/>
          <w:u w:val="single"/>
        </w:rPr>
      </w:pPr>
      <w:r w:rsidRPr="00B31CA6">
        <w:rPr>
          <w:rFonts w:ascii="Arial" w:hAnsi="Arial" w:cs="Arial"/>
          <w:b/>
          <w:u w:val="single"/>
        </w:rPr>
        <w:t>Summary and Explanation of the Test</w:t>
      </w:r>
    </w:p>
    <w:p w:rsidR="00B31CA6" w:rsidRPr="00B31CA6" w:rsidRDefault="00B31CA6" w:rsidP="00B31CA6">
      <w:pPr>
        <w:tabs>
          <w:tab w:val="left" w:pos="360"/>
        </w:tabs>
        <w:spacing w:line="200" w:lineRule="atLeast"/>
        <w:ind w:left="360"/>
        <w:jc w:val="both"/>
        <w:rPr>
          <w:rFonts w:ascii="Arial" w:hAnsi="Arial" w:cs="Arial"/>
        </w:rPr>
      </w:pPr>
      <w:r w:rsidRPr="00B31CA6">
        <w:rPr>
          <w:rFonts w:ascii="Arial" w:hAnsi="Arial" w:cs="Arial"/>
        </w:rPr>
        <w:t xml:space="preserve">The human erythrocyte is freely permeable to glucose. Within each </w:t>
      </w:r>
      <w:r w:rsidR="00EA7A74" w:rsidRPr="00B31CA6">
        <w:rPr>
          <w:rFonts w:ascii="Arial" w:hAnsi="Arial" w:cs="Arial"/>
        </w:rPr>
        <w:t>erythrocyte,</w:t>
      </w:r>
      <w:r w:rsidRPr="00B31CA6">
        <w:rPr>
          <w:rFonts w:ascii="Arial" w:hAnsi="Arial" w:cs="Arial"/>
        </w:rPr>
        <w:t xml:space="preserve"> a slow, continuous, non-enzymatic process between hemoglobin A and various sugars takes place. The product formed is</w:t>
      </w:r>
      <w:r>
        <w:rPr>
          <w:rFonts w:ascii="Arial" w:hAnsi="Arial" w:cs="Arial"/>
        </w:rPr>
        <w:t xml:space="preserve"> </w:t>
      </w:r>
      <w:r w:rsidRPr="00B31CA6">
        <w:rPr>
          <w:rFonts w:ascii="Arial" w:hAnsi="Arial" w:cs="Arial"/>
        </w:rPr>
        <w:t>known as glycated hemoglobin, or glyco-hemoglobin</w:t>
      </w:r>
      <w:r w:rsidRPr="00B31CA6">
        <w:rPr>
          <w:rFonts w:ascii="Arial" w:hAnsi="Arial" w:cs="Arial"/>
          <w:vertAlign w:val="superscript"/>
        </w:rPr>
        <w:t>2</w:t>
      </w:r>
      <w:r w:rsidRPr="00B31CA6">
        <w:rPr>
          <w:rFonts w:ascii="Arial" w:hAnsi="Arial" w:cs="Arial"/>
        </w:rPr>
        <w:t>.</w:t>
      </w:r>
    </w:p>
    <w:p w:rsidR="00B31CA6" w:rsidRPr="00B31CA6" w:rsidRDefault="00B31CA6" w:rsidP="00B31CA6">
      <w:pPr>
        <w:tabs>
          <w:tab w:val="left" w:pos="360"/>
        </w:tabs>
        <w:spacing w:line="200" w:lineRule="atLeast"/>
        <w:ind w:left="360"/>
        <w:jc w:val="both"/>
        <w:rPr>
          <w:rFonts w:ascii="Arial" w:hAnsi="Arial" w:cs="Arial"/>
        </w:rPr>
      </w:pPr>
    </w:p>
    <w:p w:rsidR="00B31CA6" w:rsidRPr="00B31CA6" w:rsidRDefault="00B31CA6" w:rsidP="00B31CA6">
      <w:pPr>
        <w:tabs>
          <w:tab w:val="left" w:pos="360"/>
        </w:tabs>
        <w:spacing w:line="200" w:lineRule="atLeast"/>
        <w:ind w:left="360"/>
        <w:jc w:val="both"/>
        <w:rPr>
          <w:rFonts w:ascii="Arial" w:hAnsi="Arial" w:cs="Arial"/>
        </w:rPr>
      </w:pPr>
      <w:r w:rsidRPr="00B31CA6">
        <w:rPr>
          <w:rFonts w:ascii="Arial" w:hAnsi="Arial" w:cs="Arial"/>
        </w:rPr>
        <w:t>The chronic elevated blood sugar level of persons with diabetes mellitus will over time cause damage to the small vessels of the body. This damage develops slowly over years and is known to cause late complications</w:t>
      </w:r>
      <w:r w:rsidRPr="00B31CA6">
        <w:rPr>
          <w:rFonts w:ascii="Arial" w:hAnsi="Arial" w:cs="Arial"/>
          <w:vertAlign w:val="superscript"/>
        </w:rPr>
        <w:t>3</w:t>
      </w:r>
      <w:r w:rsidRPr="00B31CA6">
        <w:rPr>
          <w:rFonts w:ascii="Arial" w:hAnsi="Arial" w:cs="Arial"/>
        </w:rPr>
        <w:t>.</w:t>
      </w:r>
    </w:p>
    <w:p w:rsidR="00B31CA6" w:rsidRPr="00B31CA6" w:rsidRDefault="00B31CA6" w:rsidP="00B31CA6">
      <w:pPr>
        <w:tabs>
          <w:tab w:val="left" w:pos="360"/>
        </w:tabs>
        <w:spacing w:line="200" w:lineRule="atLeast"/>
        <w:ind w:left="360"/>
        <w:jc w:val="both"/>
        <w:rPr>
          <w:rFonts w:ascii="Arial" w:hAnsi="Arial" w:cs="Arial"/>
        </w:rPr>
      </w:pPr>
    </w:p>
    <w:p w:rsidR="00B31CA6" w:rsidRPr="00B31CA6" w:rsidRDefault="00B31CA6" w:rsidP="00B31CA6">
      <w:pPr>
        <w:tabs>
          <w:tab w:val="left" w:pos="360"/>
        </w:tabs>
        <w:spacing w:line="200" w:lineRule="atLeast"/>
        <w:ind w:left="360"/>
        <w:jc w:val="both"/>
        <w:rPr>
          <w:rFonts w:ascii="Arial" w:hAnsi="Arial" w:cs="Arial"/>
        </w:rPr>
      </w:pPr>
      <w:r w:rsidRPr="00B31CA6">
        <w:rPr>
          <w:rFonts w:ascii="Arial" w:hAnsi="Arial" w:cs="Arial"/>
        </w:rPr>
        <w:t xml:space="preserve">Good metabolic control, i.e. lowering the </w:t>
      </w:r>
      <w:r w:rsidR="00EA7A74" w:rsidRPr="00B31CA6">
        <w:rPr>
          <w:rFonts w:ascii="Arial" w:hAnsi="Arial" w:cs="Arial"/>
        </w:rPr>
        <w:t>percentage</w:t>
      </w:r>
      <w:r w:rsidRPr="00B31CA6">
        <w:rPr>
          <w:rFonts w:ascii="Arial" w:hAnsi="Arial" w:cs="Arial"/>
        </w:rPr>
        <w:t xml:space="preserve"> HbA1c, has proven to delay the onset and slowing the progression of diabetes late complications</w:t>
      </w:r>
      <w:r w:rsidRPr="00B31CA6">
        <w:rPr>
          <w:rFonts w:ascii="Arial" w:hAnsi="Arial" w:cs="Arial"/>
          <w:vertAlign w:val="superscript"/>
        </w:rPr>
        <w:t>3</w:t>
      </w:r>
      <w:r w:rsidR="00EA7A74" w:rsidRPr="00B31CA6">
        <w:rPr>
          <w:rFonts w:ascii="Arial" w:hAnsi="Arial" w:cs="Arial"/>
          <w:vertAlign w:val="superscript"/>
        </w:rPr>
        <w:t>, 4, 5</w:t>
      </w:r>
      <w:r w:rsidRPr="00B31CA6">
        <w:rPr>
          <w:rFonts w:ascii="Arial" w:hAnsi="Arial" w:cs="Arial"/>
        </w:rPr>
        <w:t>.</w:t>
      </w:r>
    </w:p>
    <w:p w:rsidR="00B31CA6" w:rsidRPr="00B31CA6" w:rsidRDefault="00B31CA6" w:rsidP="00B31CA6">
      <w:pPr>
        <w:tabs>
          <w:tab w:val="left" w:pos="360"/>
        </w:tabs>
        <w:spacing w:line="200" w:lineRule="atLeast"/>
        <w:ind w:left="360"/>
        <w:rPr>
          <w:rFonts w:ascii="Arial" w:hAnsi="Arial" w:cs="Arial"/>
        </w:rPr>
      </w:pPr>
    </w:p>
    <w:p w:rsidR="00B31CA6" w:rsidRPr="00B31CA6" w:rsidRDefault="00B31CA6" w:rsidP="00DE28EA">
      <w:pPr>
        <w:numPr>
          <w:ilvl w:val="0"/>
          <w:numId w:val="1"/>
        </w:numPr>
        <w:tabs>
          <w:tab w:val="left" w:pos="360"/>
        </w:tabs>
        <w:spacing w:after="72" w:line="200" w:lineRule="atLeast"/>
        <w:ind w:left="360"/>
        <w:rPr>
          <w:rFonts w:ascii="Arial" w:hAnsi="Arial" w:cs="Arial"/>
          <w:b/>
          <w:u w:val="single"/>
        </w:rPr>
      </w:pPr>
      <w:r w:rsidRPr="00B31CA6">
        <w:rPr>
          <w:rFonts w:ascii="Arial" w:hAnsi="Arial" w:cs="Arial"/>
          <w:b/>
          <w:u w:val="single"/>
        </w:rPr>
        <w:t>Test Principle</w:t>
      </w:r>
    </w:p>
    <w:p w:rsidR="00B31CA6" w:rsidRPr="00B31CA6" w:rsidRDefault="00B31CA6" w:rsidP="00B31CA6">
      <w:pPr>
        <w:autoSpaceDE w:val="0"/>
        <w:autoSpaceDN w:val="0"/>
        <w:adjustRightInd w:val="0"/>
        <w:ind w:left="360"/>
        <w:contextualSpacing/>
        <w:jc w:val="both"/>
        <w:rPr>
          <w:rFonts w:ascii="Arial" w:eastAsia="GillAltOneMT-Light--Identity-H" w:hAnsi="Arial" w:cs="Arial"/>
        </w:rPr>
      </w:pPr>
      <w:r w:rsidRPr="00B31CA6">
        <w:rPr>
          <w:rFonts w:ascii="Arial" w:eastAsia="GillAltOneMT-Light--Identity-H" w:hAnsi="Arial" w:cs="Arial"/>
        </w:rPr>
        <w:t>Afinion HbA1c is a fully automated boronate affinity assay for the determination of the percentage of hemoglobin A1c in human whole blood.</w:t>
      </w:r>
    </w:p>
    <w:p w:rsidR="00B31CA6" w:rsidRPr="00B31CA6" w:rsidRDefault="00B31CA6" w:rsidP="00B31CA6">
      <w:pPr>
        <w:spacing w:line="200" w:lineRule="atLeast"/>
        <w:ind w:left="360"/>
        <w:jc w:val="both"/>
        <w:rPr>
          <w:rFonts w:ascii="Arial" w:eastAsia="GillAltOneMT-Light--Identity-H" w:hAnsi="Arial" w:cs="Arial"/>
        </w:rPr>
      </w:pPr>
    </w:p>
    <w:p w:rsidR="00B31CA6" w:rsidRPr="00B31CA6" w:rsidRDefault="00B31CA6" w:rsidP="00B31CA6">
      <w:pPr>
        <w:spacing w:line="200" w:lineRule="atLeast"/>
        <w:ind w:left="360"/>
        <w:jc w:val="both"/>
        <w:rPr>
          <w:rFonts w:ascii="Arial" w:hAnsi="Arial" w:cs="Arial"/>
          <w:b/>
        </w:rPr>
      </w:pPr>
      <w:r w:rsidRPr="00B31CA6">
        <w:rPr>
          <w:rFonts w:ascii="Arial" w:eastAsia="GillAltOneMT-Light--Identity-H" w:hAnsi="Arial" w:cs="Arial"/>
          <w:color w:val="000000"/>
        </w:rPr>
        <w:t>The Afinion HbA1c Test Cartridge contains all of the reagents necessary for the determination of % HbA1c. The sample material is collected with the integrated sampling device before the test cartridge is placed in the cartridge chamber of the Afinion Analyzer. The blood sample is then automatically diluted and mixed with a solution that releases hemoglobin from the erythrocytes. The hemoglobin precipitates. This sample mixture is transferred to a blue boronic acid conjugate, which binds to the cis-diols of glycated hemoglobin. This reaction mixture is soaked through a filter membrane and all precipitated hemoglobin, conjugate-bound and unbound (i.e. glycated and non-glycated hemoglobin) remains on the membrane. Any excess of conjugate is removed with a washing reagent.</w:t>
      </w:r>
    </w:p>
    <w:p w:rsidR="00B31CA6" w:rsidRPr="00B31CA6" w:rsidRDefault="00B31CA6" w:rsidP="00B31CA6">
      <w:pPr>
        <w:autoSpaceDE w:val="0"/>
        <w:autoSpaceDN w:val="0"/>
        <w:adjustRightInd w:val="0"/>
        <w:ind w:left="360"/>
        <w:contextualSpacing/>
        <w:jc w:val="both"/>
        <w:rPr>
          <w:rFonts w:ascii="Arial" w:hAnsi="Arial" w:cs="Arial"/>
        </w:rPr>
      </w:pPr>
    </w:p>
    <w:p w:rsidR="00B31CA6" w:rsidRPr="00B31CA6" w:rsidRDefault="00B31CA6" w:rsidP="00B31CA6">
      <w:pPr>
        <w:autoSpaceDE w:val="0"/>
        <w:autoSpaceDN w:val="0"/>
        <w:adjustRightInd w:val="0"/>
        <w:ind w:left="360"/>
        <w:contextualSpacing/>
        <w:jc w:val="both"/>
        <w:rPr>
          <w:rFonts w:ascii="Arial" w:eastAsia="GillAltOneMT-Light--Identity-H" w:hAnsi="Arial" w:cs="Arial"/>
        </w:rPr>
      </w:pPr>
      <w:r w:rsidRPr="00B31CA6">
        <w:rPr>
          <w:rFonts w:ascii="Arial" w:eastAsia="GillAltOneMT-Light--Identity-H" w:hAnsi="Arial" w:cs="Arial"/>
        </w:rPr>
        <w:lastRenderedPageBreak/>
        <w:t>The analyzer evaluates the precipitate on the membrane. By measuring the reflectance, the blue (glycated hemoglobin) and the red (total hemoglobin) color intensities are evaluated, the ratio between them being proportional to the percentage of HbA1c in the sample. The % HbA1c is displayed on the Afinion Analyzer.</w:t>
      </w:r>
    </w:p>
    <w:p w:rsidR="00B31CA6" w:rsidRPr="00B31CA6" w:rsidRDefault="00B31CA6" w:rsidP="00B31CA6">
      <w:pPr>
        <w:numPr>
          <w:ilvl w:val="12"/>
          <w:numId w:val="0"/>
        </w:numPr>
        <w:spacing w:line="200" w:lineRule="atLeast"/>
        <w:ind w:left="360"/>
        <w:rPr>
          <w:rFonts w:ascii="Arial" w:hAnsi="Arial" w:cs="Arial"/>
          <w:color w:val="000000"/>
        </w:rPr>
      </w:pPr>
    </w:p>
    <w:p w:rsidR="00B31CA6" w:rsidRPr="00B31CA6" w:rsidRDefault="00B31CA6" w:rsidP="00DE28EA">
      <w:pPr>
        <w:numPr>
          <w:ilvl w:val="0"/>
          <w:numId w:val="1"/>
        </w:numPr>
        <w:tabs>
          <w:tab w:val="left" w:pos="360"/>
        </w:tabs>
        <w:spacing w:after="72" w:line="200" w:lineRule="atLeast"/>
        <w:ind w:left="360"/>
        <w:rPr>
          <w:rFonts w:ascii="Arial" w:hAnsi="Arial" w:cs="Arial"/>
          <w:b/>
          <w:u w:val="single"/>
        </w:rPr>
      </w:pPr>
      <w:r w:rsidRPr="00B31CA6">
        <w:rPr>
          <w:rFonts w:ascii="Arial" w:hAnsi="Arial" w:cs="Arial"/>
          <w:b/>
          <w:u w:val="single"/>
        </w:rPr>
        <w:t>Standardization</w:t>
      </w:r>
    </w:p>
    <w:p w:rsidR="00B31CA6" w:rsidRPr="00B31CA6" w:rsidRDefault="00B31CA6" w:rsidP="00B31CA6">
      <w:pPr>
        <w:spacing w:line="200" w:lineRule="atLeast"/>
        <w:ind w:left="360"/>
        <w:jc w:val="both"/>
        <w:rPr>
          <w:rFonts w:ascii="Arial" w:hAnsi="Arial" w:cs="Arial"/>
        </w:rPr>
      </w:pPr>
      <w:r w:rsidRPr="00B31CA6">
        <w:rPr>
          <w:rFonts w:ascii="Arial" w:hAnsi="Arial" w:cs="Arial"/>
          <w:color w:val="000000"/>
        </w:rPr>
        <w:t>Afinion</w:t>
      </w:r>
      <w:r w:rsidRPr="00B31CA6">
        <w:rPr>
          <w:rFonts w:ascii="Arial" w:hAnsi="Arial" w:cs="Arial"/>
        </w:rPr>
        <w:t xml:space="preserve"> HbA1c is traceable to the International Federation of Clinical Chemistry and Laboratory Medicine (IFCC) Reference Method for Measurement of HbA1c. HbA1c values are reported according to the National Glycohemoglobin Standardization Program (NGSP) recommendations at DCCT (Diabetes Control and Complications Trial) level</w:t>
      </w:r>
      <w:r w:rsidRPr="00B31CA6">
        <w:rPr>
          <w:rFonts w:ascii="Arial" w:hAnsi="Arial" w:cs="Arial"/>
          <w:vertAlign w:val="superscript"/>
        </w:rPr>
        <w:t>7</w:t>
      </w:r>
      <w:r w:rsidRPr="00B31CA6">
        <w:rPr>
          <w:rFonts w:ascii="Arial" w:hAnsi="Arial" w:cs="Arial"/>
        </w:rPr>
        <w:t>.</w:t>
      </w:r>
    </w:p>
    <w:p w:rsidR="00B31CA6" w:rsidRPr="00B31CA6" w:rsidRDefault="00B31CA6" w:rsidP="00B31CA6">
      <w:pPr>
        <w:spacing w:line="200" w:lineRule="atLeast"/>
        <w:ind w:left="360"/>
        <w:jc w:val="both"/>
        <w:rPr>
          <w:rFonts w:ascii="Arial" w:hAnsi="Arial" w:cs="Arial"/>
        </w:rPr>
      </w:pPr>
    </w:p>
    <w:p w:rsidR="00B31CA6" w:rsidRPr="00B31CA6" w:rsidRDefault="00B31CA6" w:rsidP="00B31CA6">
      <w:pPr>
        <w:spacing w:line="200" w:lineRule="atLeast"/>
        <w:ind w:left="360"/>
        <w:jc w:val="both"/>
        <w:rPr>
          <w:rFonts w:ascii="Arial" w:hAnsi="Arial" w:cs="Arial"/>
        </w:rPr>
      </w:pPr>
      <w:r w:rsidRPr="00B31CA6">
        <w:rPr>
          <w:rFonts w:ascii="Arial" w:hAnsi="Arial" w:cs="Arial"/>
        </w:rPr>
        <w:t>Afinion HbA1c is certified by NGSP.</w:t>
      </w:r>
    </w:p>
    <w:p w:rsidR="00B31CA6" w:rsidRPr="00B31CA6" w:rsidRDefault="00B31CA6" w:rsidP="00B31CA6">
      <w:pPr>
        <w:spacing w:line="200" w:lineRule="atLeast"/>
        <w:ind w:left="360"/>
        <w:jc w:val="both"/>
        <w:rPr>
          <w:rFonts w:ascii="Arial" w:hAnsi="Arial" w:cs="Arial"/>
        </w:rPr>
      </w:pPr>
    </w:p>
    <w:p w:rsidR="00B31CA6" w:rsidRPr="00B31CA6" w:rsidRDefault="00B31CA6" w:rsidP="00DE28EA">
      <w:pPr>
        <w:numPr>
          <w:ilvl w:val="0"/>
          <w:numId w:val="1"/>
        </w:numPr>
        <w:spacing w:after="120" w:line="200" w:lineRule="atLeast"/>
        <w:ind w:left="360"/>
        <w:rPr>
          <w:rFonts w:ascii="Arial" w:hAnsi="Arial" w:cs="Arial"/>
          <w:b/>
        </w:rPr>
      </w:pPr>
      <w:r w:rsidRPr="00B31CA6">
        <w:rPr>
          <w:rFonts w:ascii="Arial" w:hAnsi="Arial" w:cs="Arial"/>
          <w:b/>
          <w:u w:val="single"/>
        </w:rPr>
        <w:t>Specimen Collection and Handling</w:t>
      </w:r>
      <w:r w:rsidRPr="00B31CA6">
        <w:rPr>
          <w:rFonts w:ascii="Arial" w:hAnsi="Arial" w:cs="Arial"/>
          <w:b/>
        </w:rPr>
        <w:br/>
        <w:t>Specimen Materials and Storage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048"/>
      </w:tblGrid>
      <w:tr w:rsidR="00B31CA6" w:rsidRPr="00B31CA6" w:rsidTr="00EA7A74">
        <w:tc>
          <w:tcPr>
            <w:tcW w:w="3060" w:type="dxa"/>
            <w:shd w:val="clear" w:color="auto" w:fill="auto"/>
          </w:tcPr>
          <w:p w:rsidR="00B31CA6" w:rsidRPr="00B31CA6" w:rsidRDefault="00B31CA6" w:rsidP="00DE28EA">
            <w:pPr>
              <w:numPr>
                <w:ilvl w:val="0"/>
                <w:numId w:val="7"/>
              </w:numPr>
              <w:spacing w:before="20" w:after="72" w:line="200" w:lineRule="atLeast"/>
              <w:rPr>
                <w:rFonts w:ascii="Arial" w:hAnsi="Arial" w:cs="Arial"/>
                <w:sz w:val="20"/>
                <w:szCs w:val="20"/>
              </w:rPr>
            </w:pPr>
            <w:r w:rsidRPr="00B31CA6">
              <w:rPr>
                <w:rFonts w:ascii="Arial" w:hAnsi="Arial" w:cs="Arial"/>
                <w:sz w:val="20"/>
                <w:szCs w:val="20"/>
              </w:rPr>
              <w:t>SPECIMEN:</w:t>
            </w:r>
          </w:p>
        </w:tc>
        <w:tc>
          <w:tcPr>
            <w:tcW w:w="6048" w:type="dxa"/>
            <w:shd w:val="clear" w:color="auto" w:fill="auto"/>
          </w:tcPr>
          <w:p w:rsidR="00B31CA6" w:rsidRPr="00B31CA6" w:rsidRDefault="00B31CA6" w:rsidP="00CE0F41">
            <w:pPr>
              <w:spacing w:before="20" w:after="72" w:line="200" w:lineRule="atLeast"/>
              <w:ind w:left="72"/>
              <w:jc w:val="both"/>
              <w:rPr>
                <w:rFonts w:ascii="Arial" w:hAnsi="Arial" w:cs="Arial"/>
                <w:sz w:val="20"/>
                <w:szCs w:val="20"/>
              </w:rPr>
            </w:pPr>
            <w:r w:rsidRPr="00B31CA6">
              <w:rPr>
                <w:rFonts w:ascii="Arial" w:hAnsi="Arial" w:cs="Arial"/>
                <w:sz w:val="20"/>
                <w:szCs w:val="20"/>
              </w:rPr>
              <w:t xml:space="preserve">The following sample materials can be used with the </w:t>
            </w:r>
            <w:r w:rsidRPr="00B31CA6">
              <w:rPr>
                <w:rFonts w:ascii="Arial" w:eastAsia="GillAltOneMT-Light--Identity-H" w:hAnsi="Arial" w:cs="Arial"/>
                <w:color w:val="000000"/>
                <w:sz w:val="20"/>
                <w:szCs w:val="20"/>
              </w:rPr>
              <w:t>Afinion HbA1c test:</w:t>
            </w:r>
          </w:p>
          <w:p w:rsidR="00B31CA6" w:rsidRPr="00B31CA6" w:rsidRDefault="00B31CA6" w:rsidP="00DE28EA">
            <w:pPr>
              <w:numPr>
                <w:ilvl w:val="0"/>
                <w:numId w:val="8"/>
              </w:numPr>
              <w:spacing w:before="20" w:after="72" w:line="200" w:lineRule="atLeast"/>
              <w:jc w:val="both"/>
              <w:rPr>
                <w:rFonts w:ascii="Arial" w:hAnsi="Arial" w:cs="Arial"/>
                <w:sz w:val="20"/>
                <w:szCs w:val="20"/>
              </w:rPr>
            </w:pPr>
            <w:r w:rsidRPr="00B31CA6">
              <w:rPr>
                <w:rFonts w:ascii="Arial" w:hAnsi="Arial" w:cs="Arial"/>
                <w:sz w:val="20"/>
                <w:szCs w:val="20"/>
              </w:rPr>
              <w:t xml:space="preserve">Capillary blood sample (from finger prick). </w:t>
            </w:r>
          </w:p>
          <w:p w:rsidR="00B31CA6" w:rsidRPr="00B31CA6" w:rsidRDefault="00B31CA6" w:rsidP="00DE28EA">
            <w:pPr>
              <w:numPr>
                <w:ilvl w:val="0"/>
                <w:numId w:val="8"/>
              </w:numPr>
              <w:spacing w:before="20" w:after="72" w:line="200" w:lineRule="atLeast"/>
              <w:jc w:val="both"/>
              <w:rPr>
                <w:rFonts w:ascii="Arial" w:hAnsi="Arial" w:cs="Arial"/>
                <w:sz w:val="20"/>
                <w:szCs w:val="20"/>
              </w:rPr>
            </w:pPr>
            <w:r w:rsidRPr="00B31CA6">
              <w:rPr>
                <w:rFonts w:ascii="Arial" w:hAnsi="Arial" w:cs="Arial"/>
                <w:sz w:val="20"/>
                <w:szCs w:val="20"/>
              </w:rPr>
              <w:t>Venous whole blood with anticoagulants (ethylene diamine tetra-acetic acid (EDTA), heparin or citrate).</w:t>
            </w:r>
          </w:p>
        </w:tc>
      </w:tr>
      <w:tr w:rsidR="00B31CA6" w:rsidRPr="00B31CA6" w:rsidTr="00EA7A74">
        <w:tc>
          <w:tcPr>
            <w:tcW w:w="3060" w:type="dxa"/>
            <w:shd w:val="clear" w:color="auto" w:fill="auto"/>
          </w:tcPr>
          <w:p w:rsidR="00B31CA6" w:rsidRPr="00B31CA6" w:rsidRDefault="00B31CA6" w:rsidP="00DE28EA">
            <w:pPr>
              <w:numPr>
                <w:ilvl w:val="0"/>
                <w:numId w:val="7"/>
              </w:numPr>
              <w:spacing w:before="20" w:after="72" w:line="200" w:lineRule="atLeast"/>
              <w:rPr>
                <w:rFonts w:ascii="Arial" w:hAnsi="Arial" w:cs="Arial"/>
                <w:sz w:val="20"/>
                <w:szCs w:val="20"/>
              </w:rPr>
            </w:pPr>
            <w:r w:rsidRPr="00B31CA6">
              <w:rPr>
                <w:rFonts w:ascii="Arial" w:hAnsi="Arial" w:cs="Arial"/>
                <w:sz w:val="20"/>
                <w:szCs w:val="20"/>
              </w:rPr>
              <w:t>SPECIMEN STORAGE:</w:t>
            </w:r>
          </w:p>
        </w:tc>
        <w:tc>
          <w:tcPr>
            <w:tcW w:w="6048" w:type="dxa"/>
            <w:shd w:val="clear" w:color="auto" w:fill="auto"/>
          </w:tcPr>
          <w:p w:rsidR="00B31CA6" w:rsidRPr="00B31CA6" w:rsidRDefault="00B31CA6" w:rsidP="00CE0F41">
            <w:pPr>
              <w:spacing w:before="20" w:after="72" w:line="200" w:lineRule="atLeast"/>
              <w:ind w:left="720" w:hanging="648"/>
              <w:rPr>
                <w:rFonts w:ascii="Arial" w:hAnsi="Arial" w:cs="Arial"/>
                <w:b/>
                <w:sz w:val="20"/>
                <w:szCs w:val="20"/>
              </w:rPr>
            </w:pPr>
            <w:r w:rsidRPr="00B31CA6">
              <w:rPr>
                <w:rFonts w:ascii="Arial" w:hAnsi="Arial" w:cs="Arial"/>
                <w:b/>
                <w:sz w:val="20"/>
                <w:szCs w:val="20"/>
              </w:rPr>
              <w:t>Specimen storage</w:t>
            </w:r>
          </w:p>
          <w:p w:rsidR="00B31CA6" w:rsidRPr="00B31CA6" w:rsidRDefault="00B31CA6" w:rsidP="00DE28EA">
            <w:pPr>
              <w:numPr>
                <w:ilvl w:val="0"/>
                <w:numId w:val="9"/>
              </w:numPr>
              <w:spacing w:before="20" w:after="72" w:line="200" w:lineRule="atLeast"/>
              <w:rPr>
                <w:rFonts w:ascii="Arial" w:hAnsi="Arial" w:cs="Arial"/>
                <w:sz w:val="20"/>
                <w:szCs w:val="20"/>
              </w:rPr>
            </w:pPr>
            <w:r w:rsidRPr="00B31CA6">
              <w:rPr>
                <w:rFonts w:ascii="Arial" w:hAnsi="Arial" w:cs="Arial"/>
                <w:sz w:val="20"/>
                <w:szCs w:val="20"/>
              </w:rPr>
              <w:t>Capillary blood samples cannot be stored.</w:t>
            </w:r>
          </w:p>
          <w:p w:rsidR="00B31CA6" w:rsidRPr="00B31CA6" w:rsidRDefault="00B31CA6" w:rsidP="00DE28EA">
            <w:pPr>
              <w:numPr>
                <w:ilvl w:val="0"/>
                <w:numId w:val="9"/>
              </w:numPr>
              <w:spacing w:before="20" w:after="72" w:line="200" w:lineRule="atLeast"/>
              <w:rPr>
                <w:rFonts w:ascii="Arial" w:hAnsi="Arial" w:cs="Arial"/>
                <w:sz w:val="20"/>
                <w:szCs w:val="20"/>
              </w:rPr>
            </w:pPr>
            <w:r w:rsidRPr="00B31CA6">
              <w:rPr>
                <w:rFonts w:ascii="Arial" w:hAnsi="Arial" w:cs="Arial"/>
                <w:sz w:val="20"/>
                <w:szCs w:val="20"/>
              </w:rPr>
              <w:t xml:space="preserve">Venous whole blood with anticoagulants (EDTA, heparin or citrate) can be stored refrigerated for 10 days or at room temperature </w:t>
            </w:r>
            <w:r w:rsidRPr="00B31CA6">
              <w:rPr>
                <w:rFonts w:ascii="Arial" w:hAnsi="Arial" w:cs="Arial"/>
                <w:color w:val="000000"/>
                <w:sz w:val="20"/>
                <w:szCs w:val="20"/>
              </w:rPr>
              <w:t>18-30°C (64-86°F) for 8 hours</w:t>
            </w:r>
            <w:r w:rsidRPr="00B31CA6">
              <w:rPr>
                <w:rFonts w:ascii="Arial" w:hAnsi="Arial" w:cs="Arial"/>
                <w:sz w:val="20"/>
                <w:szCs w:val="20"/>
              </w:rPr>
              <w:t>. Do not freeze.</w:t>
            </w:r>
          </w:p>
          <w:p w:rsidR="00B31CA6" w:rsidRPr="00B31CA6" w:rsidRDefault="00B31CA6" w:rsidP="00DE28EA">
            <w:pPr>
              <w:numPr>
                <w:ilvl w:val="0"/>
                <w:numId w:val="9"/>
              </w:numPr>
              <w:spacing w:before="20" w:after="72" w:line="200" w:lineRule="atLeast"/>
              <w:rPr>
                <w:rFonts w:ascii="Arial" w:hAnsi="Arial" w:cs="Arial"/>
                <w:sz w:val="20"/>
                <w:szCs w:val="20"/>
              </w:rPr>
            </w:pPr>
            <w:r w:rsidRPr="00B31CA6">
              <w:rPr>
                <w:rFonts w:ascii="Arial" w:hAnsi="Arial" w:cs="Arial"/>
                <w:sz w:val="20"/>
                <w:szCs w:val="20"/>
              </w:rPr>
              <w:t>Consult the Afinion HbA1c Control Package Insert for storage of control materials.</w:t>
            </w:r>
          </w:p>
        </w:tc>
      </w:tr>
      <w:tr w:rsidR="00B31CA6" w:rsidRPr="00B31CA6" w:rsidTr="00EA7A74">
        <w:trPr>
          <w:cantSplit/>
          <w:trHeight w:val="332"/>
        </w:trPr>
        <w:tc>
          <w:tcPr>
            <w:tcW w:w="3060" w:type="dxa"/>
            <w:tcBorders>
              <w:left w:val="single" w:sz="4" w:space="0" w:color="auto"/>
            </w:tcBorders>
            <w:shd w:val="clear" w:color="auto" w:fill="auto"/>
          </w:tcPr>
          <w:p w:rsidR="00B31CA6" w:rsidRPr="00B31CA6" w:rsidRDefault="00B31CA6" w:rsidP="00DE28EA">
            <w:pPr>
              <w:numPr>
                <w:ilvl w:val="0"/>
                <w:numId w:val="7"/>
              </w:numPr>
              <w:spacing w:before="20" w:after="72" w:line="200" w:lineRule="atLeast"/>
              <w:rPr>
                <w:rFonts w:ascii="Arial" w:hAnsi="Arial" w:cs="Arial"/>
                <w:sz w:val="20"/>
                <w:szCs w:val="20"/>
              </w:rPr>
            </w:pPr>
            <w:r w:rsidRPr="00B31CA6">
              <w:rPr>
                <w:rFonts w:ascii="Arial" w:hAnsi="Arial" w:cs="Arial"/>
                <w:sz w:val="20"/>
                <w:szCs w:val="20"/>
              </w:rPr>
              <w:t>HANDLING PRECAUTIONS:</w:t>
            </w:r>
          </w:p>
        </w:tc>
        <w:tc>
          <w:tcPr>
            <w:tcW w:w="6048" w:type="dxa"/>
            <w:shd w:val="clear" w:color="auto" w:fill="auto"/>
          </w:tcPr>
          <w:p w:rsidR="00B31CA6" w:rsidRPr="00B31CA6" w:rsidRDefault="00B31CA6" w:rsidP="00CE0F41">
            <w:pPr>
              <w:spacing w:before="20" w:after="72" w:line="200" w:lineRule="atLeast"/>
              <w:ind w:left="72"/>
              <w:jc w:val="both"/>
              <w:rPr>
                <w:rFonts w:ascii="Arial" w:hAnsi="Arial" w:cs="Arial"/>
                <w:sz w:val="20"/>
                <w:szCs w:val="20"/>
              </w:rPr>
            </w:pPr>
            <w:r w:rsidRPr="00B31CA6">
              <w:rPr>
                <w:rFonts w:ascii="Arial" w:hAnsi="Arial" w:cs="Arial"/>
                <w:b/>
                <w:sz w:val="20"/>
                <w:szCs w:val="20"/>
              </w:rPr>
              <w:t>Note!</w:t>
            </w:r>
            <w:r w:rsidRPr="00B31CA6">
              <w:rPr>
                <w:rFonts w:ascii="Arial" w:hAnsi="Arial" w:cs="Arial"/>
                <w:sz w:val="20"/>
                <w:szCs w:val="20"/>
              </w:rPr>
              <w:t xml:space="preserve">  </w:t>
            </w:r>
            <w:r w:rsidRPr="00B31CA6">
              <w:rPr>
                <w:rFonts w:ascii="Arial" w:hAnsi="Arial" w:cs="Arial"/>
                <w:sz w:val="20"/>
                <w:szCs w:val="20"/>
              </w:rPr>
              <w:br/>
              <w:t>Diluted samples cannot be used with Afinion HbA1c.</w:t>
            </w:r>
          </w:p>
          <w:p w:rsidR="00B31CA6" w:rsidRPr="00B31CA6" w:rsidRDefault="00B31CA6" w:rsidP="00CE0F41">
            <w:pPr>
              <w:spacing w:before="20" w:after="72" w:line="200" w:lineRule="atLeast"/>
              <w:ind w:left="72"/>
              <w:jc w:val="both"/>
              <w:rPr>
                <w:rFonts w:ascii="Arial" w:hAnsi="Arial" w:cs="Arial"/>
                <w:sz w:val="20"/>
                <w:szCs w:val="20"/>
              </w:rPr>
            </w:pPr>
            <w:r w:rsidRPr="00B31CA6">
              <w:rPr>
                <w:rFonts w:ascii="Arial" w:hAnsi="Arial" w:cs="Arial"/>
                <w:sz w:val="20"/>
                <w:szCs w:val="20"/>
              </w:rPr>
              <w:t>Coagulated or hemolyzed samples cannot be used with Afinion HbA1c. An information code will be displayed and no result obtained if hemolyzed or coagulated samples are analyzed.</w:t>
            </w:r>
          </w:p>
        </w:tc>
      </w:tr>
    </w:tbl>
    <w:p w:rsidR="00B31CA6" w:rsidRPr="00B31CA6" w:rsidRDefault="00B31CA6" w:rsidP="00B31CA6">
      <w:pPr>
        <w:tabs>
          <w:tab w:val="left" w:pos="180"/>
          <w:tab w:val="left" w:pos="360"/>
        </w:tabs>
        <w:rPr>
          <w:rFonts w:ascii="Arial" w:hAnsi="Arial" w:cs="Arial"/>
        </w:rPr>
      </w:pPr>
    </w:p>
    <w:p w:rsidR="00B31CA6" w:rsidRPr="00B31CA6" w:rsidRDefault="00B31CA6" w:rsidP="00DE28EA">
      <w:pPr>
        <w:numPr>
          <w:ilvl w:val="0"/>
          <w:numId w:val="1"/>
        </w:numPr>
        <w:spacing w:after="72" w:line="200" w:lineRule="atLeast"/>
        <w:jc w:val="both"/>
        <w:rPr>
          <w:rFonts w:ascii="Arial" w:hAnsi="Arial" w:cs="Arial"/>
          <w:b/>
          <w:u w:val="single"/>
        </w:rPr>
      </w:pPr>
      <w:r w:rsidRPr="00B31CA6">
        <w:rPr>
          <w:rFonts w:ascii="Arial" w:hAnsi="Arial" w:cs="Arial"/>
          <w:b/>
          <w:u w:val="single"/>
        </w:rPr>
        <w:t>Reagents And Materials</w:t>
      </w:r>
    </w:p>
    <w:p w:rsidR="00B31CA6" w:rsidRPr="00B31CA6" w:rsidRDefault="00B31CA6" w:rsidP="00DE28EA">
      <w:pPr>
        <w:numPr>
          <w:ilvl w:val="0"/>
          <w:numId w:val="2"/>
        </w:numPr>
        <w:tabs>
          <w:tab w:val="left" w:pos="720"/>
        </w:tabs>
        <w:spacing w:after="72" w:line="200" w:lineRule="atLeast"/>
        <w:rPr>
          <w:rFonts w:ascii="Arial" w:hAnsi="Arial" w:cs="Arial"/>
          <w:b/>
          <w:color w:val="000000"/>
        </w:rPr>
      </w:pPr>
      <w:r w:rsidRPr="00B31CA6">
        <w:rPr>
          <w:rFonts w:ascii="Arial" w:hAnsi="Arial" w:cs="Arial"/>
          <w:b/>
          <w:color w:val="000000"/>
        </w:rPr>
        <w:t>Materials provided (contents per 15 tests unit)</w:t>
      </w:r>
    </w:p>
    <w:p w:rsidR="00B31CA6" w:rsidRPr="00B31CA6" w:rsidRDefault="00B31CA6" w:rsidP="00B31CA6">
      <w:pPr>
        <w:tabs>
          <w:tab w:val="left" w:pos="720"/>
        </w:tabs>
        <w:spacing w:after="72" w:line="200" w:lineRule="atLeast"/>
        <w:ind w:left="720"/>
        <w:rPr>
          <w:rFonts w:ascii="Arial" w:hAnsi="Arial" w:cs="Arial"/>
        </w:rPr>
      </w:pPr>
      <w:r w:rsidRPr="00B31CA6">
        <w:rPr>
          <w:rFonts w:ascii="Arial" w:hAnsi="Arial" w:cs="Arial"/>
        </w:rPr>
        <w:t>15 Test cartridges packed separately in foil pouches with a desiccant bag</w:t>
      </w:r>
    </w:p>
    <w:p w:rsidR="00B31CA6" w:rsidRPr="00B31CA6" w:rsidRDefault="00B31CA6" w:rsidP="00B31CA6">
      <w:pPr>
        <w:tabs>
          <w:tab w:val="left" w:pos="720"/>
        </w:tabs>
        <w:spacing w:after="72" w:line="200" w:lineRule="atLeast"/>
        <w:ind w:left="720"/>
        <w:rPr>
          <w:rFonts w:ascii="Arial" w:hAnsi="Arial" w:cs="Arial"/>
          <w:i/>
        </w:rPr>
      </w:pPr>
      <w:r w:rsidRPr="00B31CA6">
        <w:rPr>
          <w:rFonts w:ascii="Arial" w:hAnsi="Arial" w:cs="Arial"/>
        </w:rPr>
        <w:t>1 Package insert</w:t>
      </w:r>
    </w:p>
    <w:p w:rsidR="00B31CA6" w:rsidRPr="00B31CA6" w:rsidRDefault="00B31CA6" w:rsidP="00DE28EA">
      <w:pPr>
        <w:numPr>
          <w:ilvl w:val="0"/>
          <w:numId w:val="1"/>
        </w:numPr>
        <w:spacing w:after="72" w:line="200" w:lineRule="atLeast"/>
        <w:jc w:val="both"/>
        <w:rPr>
          <w:rFonts w:ascii="Arial" w:hAnsi="Arial" w:cs="Arial"/>
          <w:b/>
          <w:u w:val="single"/>
        </w:rPr>
      </w:pPr>
      <w:r w:rsidRPr="00B31CA6">
        <w:rPr>
          <w:rFonts w:ascii="Arial" w:hAnsi="Arial" w:cs="Arial"/>
          <w:b/>
          <w:u w:val="single"/>
        </w:rPr>
        <w:t>Materials required, but not provided with the kit</w:t>
      </w:r>
    </w:p>
    <w:p w:rsidR="00B31CA6" w:rsidRPr="00B31CA6" w:rsidRDefault="00B31CA6" w:rsidP="00DE28EA">
      <w:pPr>
        <w:numPr>
          <w:ilvl w:val="0"/>
          <w:numId w:val="5"/>
        </w:numPr>
        <w:ind w:left="1080"/>
        <w:rPr>
          <w:rFonts w:ascii="Arial" w:hAnsi="Arial" w:cs="Arial"/>
        </w:rPr>
      </w:pPr>
      <w:r w:rsidRPr="00B31CA6">
        <w:rPr>
          <w:rFonts w:ascii="Arial" w:hAnsi="Arial" w:cs="Arial"/>
        </w:rPr>
        <w:t xml:space="preserve">Alere Afinion </w:t>
      </w:r>
      <w:r w:rsidRPr="00B31CA6">
        <w:rPr>
          <w:rFonts w:ascii="Arial" w:hAnsi="Arial" w:cs="Arial"/>
          <w:vertAlign w:val="superscript"/>
        </w:rPr>
        <w:t xml:space="preserve"> </w:t>
      </w:r>
      <w:r w:rsidRPr="00B31CA6">
        <w:rPr>
          <w:rFonts w:ascii="Arial" w:hAnsi="Arial" w:cs="Arial"/>
        </w:rPr>
        <w:t xml:space="preserve">AS100 Analyzer (REF 1115175/1115390) </w:t>
      </w:r>
    </w:p>
    <w:p w:rsidR="00B31CA6" w:rsidRPr="00B31CA6" w:rsidRDefault="00B31CA6" w:rsidP="00DE28EA">
      <w:pPr>
        <w:numPr>
          <w:ilvl w:val="0"/>
          <w:numId w:val="5"/>
        </w:numPr>
        <w:ind w:left="1080"/>
        <w:rPr>
          <w:rFonts w:ascii="Arial" w:hAnsi="Arial" w:cs="Arial"/>
        </w:rPr>
      </w:pPr>
      <w:r w:rsidRPr="00B31CA6">
        <w:rPr>
          <w:rFonts w:ascii="Arial" w:hAnsi="Arial" w:cs="Arial"/>
        </w:rPr>
        <w:lastRenderedPageBreak/>
        <w:t>Afinion HbA1c Control (REF 1116975)</w:t>
      </w:r>
    </w:p>
    <w:p w:rsidR="00B31CA6" w:rsidRPr="00B31CA6" w:rsidRDefault="00B31CA6" w:rsidP="00DE28EA">
      <w:pPr>
        <w:numPr>
          <w:ilvl w:val="0"/>
          <w:numId w:val="5"/>
        </w:numPr>
        <w:ind w:left="1080"/>
        <w:rPr>
          <w:rFonts w:ascii="Arial" w:hAnsi="Arial" w:cs="Arial"/>
        </w:rPr>
      </w:pPr>
      <w:r w:rsidRPr="00B31CA6">
        <w:rPr>
          <w:rFonts w:ascii="Arial" w:hAnsi="Arial" w:cs="Arial"/>
        </w:rPr>
        <w:t>Standard blood collection equipment</w:t>
      </w:r>
    </w:p>
    <w:p w:rsidR="00B31CA6" w:rsidRPr="00B31CA6" w:rsidRDefault="00B31CA6" w:rsidP="00DE28EA">
      <w:pPr>
        <w:numPr>
          <w:ilvl w:val="0"/>
          <w:numId w:val="5"/>
        </w:numPr>
        <w:ind w:left="1080"/>
        <w:rPr>
          <w:rFonts w:ascii="Arial" w:hAnsi="Arial" w:cs="Arial"/>
        </w:rPr>
      </w:pPr>
      <w:r w:rsidRPr="00B31CA6">
        <w:rPr>
          <w:rFonts w:ascii="Arial" w:hAnsi="Arial" w:cs="Arial"/>
        </w:rPr>
        <w:t>Afinion User Manual (provided with the analyzer)</w:t>
      </w:r>
    </w:p>
    <w:p w:rsidR="00B31CA6" w:rsidRPr="00B31CA6" w:rsidRDefault="00B31CA6" w:rsidP="00DE28EA">
      <w:pPr>
        <w:numPr>
          <w:ilvl w:val="0"/>
          <w:numId w:val="5"/>
        </w:numPr>
        <w:ind w:left="1080"/>
        <w:rPr>
          <w:rFonts w:ascii="Arial" w:hAnsi="Arial" w:cs="Arial"/>
        </w:rPr>
      </w:pPr>
      <w:r w:rsidRPr="00B31CA6">
        <w:rPr>
          <w:rFonts w:ascii="Arial" w:hAnsi="Arial" w:cs="Arial"/>
        </w:rPr>
        <w:t>Afinion HbA1c Quick Guide (provided with the analyzer)</w:t>
      </w:r>
    </w:p>
    <w:p w:rsidR="00B31CA6" w:rsidRPr="00B31CA6" w:rsidRDefault="00B31CA6" w:rsidP="00B31CA6">
      <w:pPr>
        <w:ind w:left="1080"/>
        <w:rPr>
          <w:rFonts w:ascii="Arial" w:hAnsi="Arial" w:cs="Arial"/>
          <w:color w:val="000000"/>
        </w:rPr>
      </w:pPr>
    </w:p>
    <w:p w:rsidR="00B31CA6" w:rsidRPr="00B31CA6" w:rsidRDefault="00B31CA6" w:rsidP="00B31CA6">
      <w:pPr>
        <w:ind w:left="720"/>
        <w:rPr>
          <w:rFonts w:ascii="Arial" w:hAnsi="Arial" w:cs="Arial"/>
        </w:rPr>
      </w:pPr>
      <w:r w:rsidRPr="00B31CA6">
        <w:rPr>
          <w:rFonts w:ascii="Arial" w:hAnsi="Arial" w:cs="Arial"/>
          <w:color w:val="000000"/>
        </w:rPr>
        <w:t>Electronic copies of Afinion User Manuals and Quick Guidelines are available at www.globalpointofcare.abbott</w:t>
      </w:r>
    </w:p>
    <w:p w:rsidR="00B31CA6" w:rsidRPr="00B31CA6" w:rsidRDefault="00B31CA6" w:rsidP="00B31CA6">
      <w:pPr>
        <w:ind w:left="720"/>
        <w:rPr>
          <w:rFonts w:ascii="Arial" w:hAnsi="Arial" w:cs="Arial"/>
        </w:rPr>
      </w:pPr>
    </w:p>
    <w:p w:rsidR="00B31CA6" w:rsidRPr="00B31CA6" w:rsidRDefault="00B31CA6" w:rsidP="00DE28EA">
      <w:pPr>
        <w:numPr>
          <w:ilvl w:val="0"/>
          <w:numId w:val="1"/>
        </w:numPr>
        <w:spacing w:after="72" w:line="200" w:lineRule="atLeast"/>
        <w:jc w:val="both"/>
        <w:rPr>
          <w:rFonts w:ascii="Arial" w:hAnsi="Arial" w:cs="Arial"/>
          <w:b/>
        </w:rPr>
      </w:pPr>
      <w:r w:rsidRPr="00B31CA6">
        <w:rPr>
          <w:rFonts w:ascii="Arial" w:hAnsi="Arial" w:cs="Arial"/>
          <w:b/>
        </w:rPr>
        <w:t>Description of the test cartridge</w:t>
      </w:r>
    </w:p>
    <w:p w:rsidR="00B31CA6" w:rsidRPr="00B31CA6" w:rsidRDefault="00B31CA6" w:rsidP="0021261E">
      <w:pPr>
        <w:ind w:left="720"/>
        <w:jc w:val="both"/>
        <w:rPr>
          <w:rFonts w:ascii="Arial" w:hAnsi="Arial" w:cs="Arial"/>
          <w:color w:val="000000"/>
        </w:rPr>
      </w:pPr>
      <w:r w:rsidRPr="00B31CA6">
        <w:rPr>
          <w:rFonts w:ascii="Arial" w:hAnsi="Arial" w:cs="Arial"/>
          <w:color w:val="000000"/>
        </w:rPr>
        <w:t>The main components of the test cartridge are the sampling device (1) and the reaction container (3). The test cartridge has a handle (4), a barcode label with lot specific information (5) and an ID area for sample ID (7). See Figure 1 below.</w:t>
      </w:r>
    </w:p>
    <w:p w:rsidR="00B31CA6" w:rsidRPr="00B31CA6" w:rsidRDefault="00B31CA6" w:rsidP="0021261E">
      <w:pPr>
        <w:ind w:left="1080"/>
        <w:jc w:val="both"/>
        <w:rPr>
          <w:rFonts w:ascii="Arial" w:hAnsi="Arial" w:cs="Arial"/>
          <w:color w:val="000000"/>
        </w:rPr>
      </w:pPr>
    </w:p>
    <w:p w:rsidR="00B31CA6" w:rsidRPr="00B31CA6" w:rsidRDefault="00B31CA6" w:rsidP="0021261E">
      <w:pPr>
        <w:spacing w:after="120"/>
        <w:ind w:left="1080"/>
        <w:jc w:val="center"/>
        <w:rPr>
          <w:rFonts w:ascii="Arial" w:hAnsi="Arial" w:cs="Arial"/>
          <w:color w:val="000000"/>
        </w:rPr>
      </w:pPr>
      <w:r w:rsidRPr="00B31CA6">
        <w:rPr>
          <w:rFonts w:ascii="Arial" w:hAnsi="Arial" w:cs="Arial"/>
          <w:noProof/>
          <w:color w:val="000000"/>
        </w:rPr>
        <w:drawing>
          <wp:inline distT="0" distB="0" distL="0" distR="0" wp14:anchorId="056F75CA" wp14:editId="20068AF2">
            <wp:extent cx="3834384" cy="2255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2465" cy="2266156"/>
                    </a:xfrm>
                    <a:prstGeom prst="rect">
                      <a:avLst/>
                    </a:prstGeom>
                    <a:noFill/>
                    <a:ln>
                      <a:noFill/>
                    </a:ln>
                  </pic:spPr>
                </pic:pic>
              </a:graphicData>
            </a:graphic>
          </wp:inline>
        </w:drawing>
      </w:r>
    </w:p>
    <w:p w:rsidR="00B31CA6" w:rsidRPr="00B31CA6" w:rsidRDefault="00B31CA6" w:rsidP="0021261E">
      <w:pPr>
        <w:spacing w:after="120"/>
        <w:ind w:left="1080"/>
        <w:jc w:val="both"/>
        <w:rPr>
          <w:rFonts w:ascii="Arial" w:hAnsi="Arial" w:cs="Arial"/>
          <w:color w:val="000000"/>
        </w:rPr>
      </w:pPr>
      <w:r w:rsidRPr="00B31CA6">
        <w:rPr>
          <w:rFonts w:ascii="Arial" w:hAnsi="Arial" w:cs="Arial"/>
          <w:color w:val="000000"/>
        </w:rPr>
        <w:tab/>
      </w:r>
      <w:r w:rsidRPr="00B31CA6">
        <w:rPr>
          <w:rFonts w:ascii="Arial" w:hAnsi="Arial" w:cs="Arial"/>
          <w:color w:val="000000"/>
        </w:rPr>
        <w:tab/>
      </w:r>
      <w:r w:rsidRPr="00B31CA6">
        <w:rPr>
          <w:rFonts w:ascii="Arial" w:hAnsi="Arial" w:cs="Arial"/>
          <w:b/>
          <w:color w:val="000000"/>
        </w:rPr>
        <w:t>Figure 1</w:t>
      </w:r>
      <w:r w:rsidRPr="00B31CA6">
        <w:rPr>
          <w:rFonts w:ascii="Arial" w:hAnsi="Arial" w:cs="Arial"/>
          <w:color w:val="000000"/>
        </w:rPr>
        <w:t xml:space="preserve"> </w:t>
      </w:r>
      <w:r w:rsidRPr="00B31CA6">
        <w:rPr>
          <w:rFonts w:ascii="Arial" w:hAnsi="Arial" w:cs="Arial"/>
        </w:rPr>
        <w:t>Afinion</w:t>
      </w:r>
      <w:r w:rsidRPr="00B31CA6">
        <w:rPr>
          <w:rFonts w:ascii="Arial" w:hAnsi="Arial" w:cs="Arial"/>
          <w:color w:val="000000"/>
        </w:rPr>
        <w:t xml:space="preserve"> HbA1c Test Cartridge.</w:t>
      </w:r>
    </w:p>
    <w:p w:rsidR="00B31CA6" w:rsidRPr="00B31CA6" w:rsidRDefault="00B31CA6" w:rsidP="0021261E">
      <w:pPr>
        <w:ind w:left="1080"/>
        <w:jc w:val="both"/>
        <w:rPr>
          <w:rFonts w:ascii="Arial" w:hAnsi="Arial" w:cs="Arial"/>
          <w:color w:val="000000"/>
        </w:rPr>
      </w:pPr>
    </w:p>
    <w:tbl>
      <w:tblPr>
        <w:tblW w:w="8748" w:type="dxa"/>
        <w:tblInd w:w="1188"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3662"/>
        <w:gridCol w:w="5086"/>
      </w:tblGrid>
      <w:tr w:rsidR="00B31CA6" w:rsidRPr="00B31CA6" w:rsidTr="0021261E">
        <w:tc>
          <w:tcPr>
            <w:tcW w:w="0" w:type="auto"/>
            <w:shd w:val="clear" w:color="auto" w:fill="63666A"/>
          </w:tcPr>
          <w:p w:rsidR="00B31CA6" w:rsidRPr="00E1104F" w:rsidRDefault="00B31CA6" w:rsidP="00CE0F41">
            <w:pPr>
              <w:spacing w:before="40" w:after="40"/>
              <w:jc w:val="both"/>
              <w:rPr>
                <w:rFonts w:ascii="Arial" w:hAnsi="Arial" w:cs="Arial"/>
                <w:b/>
                <w:color w:val="FFFFFF"/>
                <w:sz w:val="20"/>
                <w:szCs w:val="20"/>
              </w:rPr>
            </w:pPr>
            <w:r w:rsidRPr="00E1104F">
              <w:rPr>
                <w:rFonts w:ascii="Arial" w:hAnsi="Arial" w:cs="Arial"/>
                <w:b/>
                <w:color w:val="FFFFFF"/>
                <w:sz w:val="20"/>
                <w:szCs w:val="20"/>
              </w:rPr>
              <w:tab/>
              <w:t>Component</w:t>
            </w:r>
          </w:p>
        </w:tc>
        <w:tc>
          <w:tcPr>
            <w:tcW w:w="0" w:type="auto"/>
            <w:shd w:val="clear" w:color="auto" w:fill="63666A"/>
          </w:tcPr>
          <w:p w:rsidR="00B31CA6" w:rsidRPr="00E1104F" w:rsidRDefault="00B31CA6" w:rsidP="00CE0F41">
            <w:pPr>
              <w:spacing w:before="40" w:after="40"/>
              <w:ind w:left="187" w:hanging="15"/>
              <w:jc w:val="both"/>
              <w:rPr>
                <w:rFonts w:ascii="Arial" w:hAnsi="Arial" w:cs="Arial"/>
                <w:b/>
                <w:color w:val="FFFFFF"/>
                <w:sz w:val="20"/>
                <w:szCs w:val="20"/>
              </w:rPr>
            </w:pPr>
            <w:r w:rsidRPr="00E1104F">
              <w:rPr>
                <w:rFonts w:ascii="Arial" w:hAnsi="Arial" w:cs="Arial"/>
                <w:b/>
                <w:color w:val="FFFFFF"/>
                <w:sz w:val="20"/>
                <w:szCs w:val="20"/>
              </w:rPr>
              <w:tab/>
              <w:t>Function/composition</w:t>
            </w:r>
          </w:p>
        </w:tc>
      </w:tr>
      <w:tr w:rsidR="00B31CA6" w:rsidRPr="00B31CA6" w:rsidTr="0021261E">
        <w:tc>
          <w:tcPr>
            <w:tcW w:w="0" w:type="auto"/>
            <w:shd w:val="clear" w:color="auto" w:fill="auto"/>
          </w:tcPr>
          <w:p w:rsidR="00B31CA6" w:rsidRPr="00E1104F" w:rsidRDefault="00B31CA6" w:rsidP="00DE28EA">
            <w:pPr>
              <w:numPr>
                <w:ilvl w:val="0"/>
                <w:numId w:val="10"/>
              </w:numPr>
              <w:spacing w:before="40" w:after="40"/>
              <w:jc w:val="both"/>
              <w:rPr>
                <w:rFonts w:ascii="Arial" w:hAnsi="Arial" w:cs="Arial"/>
                <w:color w:val="000000"/>
                <w:sz w:val="20"/>
                <w:szCs w:val="20"/>
              </w:rPr>
            </w:pPr>
            <w:r w:rsidRPr="00E1104F">
              <w:rPr>
                <w:rFonts w:ascii="Arial" w:hAnsi="Arial" w:cs="Arial"/>
                <w:color w:val="000000"/>
                <w:sz w:val="20"/>
                <w:szCs w:val="20"/>
              </w:rPr>
              <w:t>Sampling device</w:t>
            </w:r>
          </w:p>
          <w:p w:rsidR="00B31CA6" w:rsidRPr="00E1104F" w:rsidRDefault="00B31CA6" w:rsidP="00DE28EA">
            <w:pPr>
              <w:numPr>
                <w:ilvl w:val="1"/>
                <w:numId w:val="10"/>
              </w:numPr>
              <w:spacing w:before="40" w:after="40"/>
              <w:ind w:left="1062"/>
              <w:jc w:val="both"/>
              <w:rPr>
                <w:rFonts w:ascii="Arial" w:hAnsi="Arial" w:cs="Arial"/>
                <w:color w:val="000000"/>
                <w:sz w:val="20"/>
                <w:szCs w:val="20"/>
              </w:rPr>
            </w:pPr>
            <w:r w:rsidRPr="00E1104F">
              <w:rPr>
                <w:rFonts w:ascii="Arial" w:hAnsi="Arial" w:cs="Arial"/>
                <w:color w:val="000000"/>
                <w:sz w:val="20"/>
                <w:szCs w:val="20"/>
              </w:rPr>
              <w:t>Closed position</w:t>
            </w:r>
          </w:p>
          <w:p w:rsidR="00B31CA6" w:rsidRPr="00E1104F" w:rsidRDefault="00B31CA6" w:rsidP="00DE28EA">
            <w:pPr>
              <w:numPr>
                <w:ilvl w:val="1"/>
                <w:numId w:val="10"/>
              </w:numPr>
              <w:spacing w:before="40" w:after="40"/>
              <w:ind w:left="1062"/>
              <w:jc w:val="both"/>
              <w:rPr>
                <w:rFonts w:ascii="Arial" w:hAnsi="Arial" w:cs="Arial"/>
                <w:color w:val="000000"/>
                <w:sz w:val="20"/>
                <w:szCs w:val="20"/>
              </w:rPr>
            </w:pPr>
            <w:r w:rsidRPr="00E1104F">
              <w:rPr>
                <w:rFonts w:ascii="Arial" w:hAnsi="Arial" w:cs="Arial"/>
                <w:color w:val="000000"/>
                <w:sz w:val="20"/>
                <w:szCs w:val="20"/>
              </w:rPr>
              <w:t>Lifted position</w:t>
            </w:r>
          </w:p>
        </w:tc>
        <w:tc>
          <w:tcPr>
            <w:tcW w:w="0" w:type="auto"/>
            <w:shd w:val="clear" w:color="auto" w:fill="auto"/>
          </w:tcPr>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For collection of patient sample or control.</w:t>
            </w:r>
          </w:p>
        </w:tc>
      </w:tr>
      <w:tr w:rsidR="00B31CA6" w:rsidRPr="00B31CA6" w:rsidTr="0021261E">
        <w:tc>
          <w:tcPr>
            <w:tcW w:w="0" w:type="auto"/>
            <w:shd w:val="clear" w:color="auto" w:fill="auto"/>
          </w:tcPr>
          <w:p w:rsidR="00B31CA6" w:rsidRPr="00E1104F" w:rsidRDefault="00B31CA6" w:rsidP="00DE28EA">
            <w:pPr>
              <w:numPr>
                <w:ilvl w:val="0"/>
                <w:numId w:val="10"/>
              </w:numPr>
              <w:spacing w:before="40" w:after="40"/>
              <w:jc w:val="both"/>
              <w:rPr>
                <w:rFonts w:ascii="Arial" w:hAnsi="Arial" w:cs="Arial"/>
                <w:color w:val="000000"/>
                <w:sz w:val="20"/>
                <w:szCs w:val="20"/>
              </w:rPr>
            </w:pPr>
            <w:r w:rsidRPr="00E1104F">
              <w:rPr>
                <w:rFonts w:ascii="Arial" w:hAnsi="Arial" w:cs="Arial"/>
                <w:color w:val="000000"/>
                <w:sz w:val="20"/>
                <w:szCs w:val="20"/>
              </w:rPr>
              <w:t>Capillary</w:t>
            </w:r>
          </w:p>
        </w:tc>
        <w:tc>
          <w:tcPr>
            <w:tcW w:w="0" w:type="auto"/>
            <w:shd w:val="clear" w:color="auto" w:fill="auto"/>
          </w:tcPr>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1.5 μL plastic capillary to be filled with sample material.</w:t>
            </w:r>
          </w:p>
        </w:tc>
      </w:tr>
      <w:tr w:rsidR="00B31CA6" w:rsidRPr="00B31CA6" w:rsidTr="0021261E">
        <w:tc>
          <w:tcPr>
            <w:tcW w:w="0" w:type="auto"/>
            <w:shd w:val="clear" w:color="auto" w:fill="auto"/>
          </w:tcPr>
          <w:p w:rsidR="00B31CA6" w:rsidRPr="00E1104F" w:rsidRDefault="00B31CA6" w:rsidP="00DE28EA">
            <w:pPr>
              <w:numPr>
                <w:ilvl w:val="0"/>
                <w:numId w:val="10"/>
              </w:numPr>
              <w:spacing w:before="40" w:after="40"/>
              <w:jc w:val="both"/>
              <w:rPr>
                <w:rFonts w:ascii="Arial" w:hAnsi="Arial" w:cs="Arial"/>
                <w:color w:val="000000"/>
                <w:sz w:val="20"/>
                <w:szCs w:val="20"/>
              </w:rPr>
            </w:pPr>
            <w:r w:rsidRPr="00E1104F">
              <w:rPr>
                <w:rFonts w:ascii="Arial" w:hAnsi="Arial" w:cs="Arial"/>
                <w:color w:val="000000"/>
                <w:sz w:val="20"/>
                <w:szCs w:val="20"/>
              </w:rPr>
              <w:t>Reaction container</w:t>
            </w:r>
          </w:p>
          <w:p w:rsidR="00B31CA6" w:rsidRPr="00E1104F" w:rsidRDefault="00B31CA6" w:rsidP="00DE28EA">
            <w:pPr>
              <w:numPr>
                <w:ilvl w:val="0"/>
                <w:numId w:val="11"/>
              </w:numPr>
              <w:spacing w:before="40" w:after="40"/>
              <w:jc w:val="both"/>
              <w:rPr>
                <w:rFonts w:ascii="Arial" w:hAnsi="Arial" w:cs="Arial"/>
                <w:color w:val="000000"/>
                <w:sz w:val="20"/>
                <w:szCs w:val="20"/>
              </w:rPr>
            </w:pPr>
            <w:r w:rsidRPr="00E1104F">
              <w:rPr>
                <w:rFonts w:ascii="Arial" w:hAnsi="Arial" w:cs="Arial"/>
                <w:color w:val="000000"/>
                <w:sz w:val="20"/>
                <w:szCs w:val="20"/>
              </w:rPr>
              <w:t>Conjugate</w:t>
            </w:r>
          </w:p>
          <w:p w:rsidR="00B31CA6" w:rsidRPr="00E1104F" w:rsidRDefault="00B31CA6" w:rsidP="00DE28EA">
            <w:pPr>
              <w:numPr>
                <w:ilvl w:val="0"/>
                <w:numId w:val="11"/>
              </w:numPr>
              <w:spacing w:before="40" w:after="40"/>
              <w:jc w:val="both"/>
              <w:rPr>
                <w:rFonts w:ascii="Arial" w:hAnsi="Arial" w:cs="Arial"/>
                <w:color w:val="000000"/>
                <w:sz w:val="20"/>
                <w:szCs w:val="20"/>
              </w:rPr>
            </w:pPr>
            <w:r w:rsidRPr="00E1104F">
              <w:rPr>
                <w:rFonts w:ascii="Arial" w:hAnsi="Arial" w:cs="Arial"/>
                <w:color w:val="000000"/>
                <w:sz w:val="20"/>
                <w:szCs w:val="20"/>
              </w:rPr>
              <w:t>Membrane tube</w:t>
            </w:r>
          </w:p>
          <w:p w:rsidR="00B31CA6" w:rsidRPr="00E1104F" w:rsidRDefault="00B31CA6" w:rsidP="00DE28EA">
            <w:pPr>
              <w:numPr>
                <w:ilvl w:val="0"/>
                <w:numId w:val="11"/>
              </w:numPr>
              <w:spacing w:before="40" w:after="40"/>
              <w:jc w:val="both"/>
              <w:rPr>
                <w:rFonts w:ascii="Arial" w:hAnsi="Arial" w:cs="Arial"/>
                <w:color w:val="000000"/>
                <w:sz w:val="20"/>
                <w:szCs w:val="20"/>
              </w:rPr>
            </w:pPr>
            <w:r w:rsidRPr="00E1104F">
              <w:rPr>
                <w:rFonts w:ascii="Arial" w:hAnsi="Arial" w:cs="Arial"/>
                <w:color w:val="000000"/>
                <w:sz w:val="20"/>
                <w:szCs w:val="20"/>
              </w:rPr>
              <w:t>Washing solution</w:t>
            </w:r>
          </w:p>
          <w:p w:rsidR="00B31CA6" w:rsidRPr="00E1104F" w:rsidRDefault="00B31CA6" w:rsidP="00CE0F41">
            <w:pPr>
              <w:spacing w:before="40" w:after="40"/>
              <w:ind w:left="720"/>
              <w:jc w:val="both"/>
              <w:rPr>
                <w:rFonts w:ascii="Arial" w:hAnsi="Arial" w:cs="Arial"/>
                <w:color w:val="000000"/>
                <w:sz w:val="20"/>
                <w:szCs w:val="20"/>
              </w:rPr>
            </w:pPr>
          </w:p>
          <w:p w:rsidR="00B31CA6" w:rsidRPr="00E1104F" w:rsidRDefault="00B31CA6" w:rsidP="00DE28EA">
            <w:pPr>
              <w:numPr>
                <w:ilvl w:val="0"/>
                <w:numId w:val="11"/>
              </w:numPr>
              <w:spacing w:before="40" w:after="40"/>
              <w:jc w:val="both"/>
              <w:rPr>
                <w:rFonts w:ascii="Arial" w:hAnsi="Arial" w:cs="Arial"/>
                <w:color w:val="000000"/>
                <w:sz w:val="20"/>
                <w:szCs w:val="20"/>
              </w:rPr>
            </w:pPr>
            <w:r w:rsidRPr="00E1104F">
              <w:rPr>
                <w:rFonts w:ascii="Arial" w:hAnsi="Arial" w:cs="Arial"/>
                <w:color w:val="000000"/>
                <w:sz w:val="20"/>
                <w:szCs w:val="20"/>
              </w:rPr>
              <w:t>Reconstitution reagent</w:t>
            </w:r>
          </w:p>
          <w:p w:rsidR="00B31CA6" w:rsidRPr="00E1104F" w:rsidRDefault="00B31CA6" w:rsidP="00CE0F41">
            <w:pPr>
              <w:spacing w:before="40" w:after="40"/>
              <w:ind w:left="1080"/>
              <w:jc w:val="both"/>
              <w:rPr>
                <w:rFonts w:ascii="Arial" w:hAnsi="Arial" w:cs="Arial"/>
                <w:color w:val="000000"/>
                <w:sz w:val="20"/>
                <w:szCs w:val="20"/>
              </w:rPr>
            </w:pPr>
          </w:p>
          <w:p w:rsidR="00B31CA6" w:rsidRPr="00E1104F" w:rsidRDefault="00B31CA6" w:rsidP="00DE28EA">
            <w:pPr>
              <w:numPr>
                <w:ilvl w:val="0"/>
                <w:numId w:val="11"/>
              </w:numPr>
              <w:spacing w:before="40" w:after="40"/>
              <w:jc w:val="both"/>
              <w:rPr>
                <w:rFonts w:ascii="Arial" w:hAnsi="Arial" w:cs="Arial"/>
                <w:color w:val="000000"/>
                <w:sz w:val="20"/>
                <w:szCs w:val="20"/>
              </w:rPr>
            </w:pPr>
            <w:r w:rsidRPr="00E1104F">
              <w:rPr>
                <w:rFonts w:ascii="Arial" w:hAnsi="Arial" w:cs="Arial"/>
                <w:color w:val="000000"/>
                <w:sz w:val="20"/>
                <w:szCs w:val="20"/>
              </w:rPr>
              <w:t>Empty</w:t>
            </w:r>
          </w:p>
        </w:tc>
        <w:tc>
          <w:tcPr>
            <w:tcW w:w="0" w:type="auto"/>
            <w:shd w:val="clear" w:color="auto" w:fill="auto"/>
          </w:tcPr>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Contains reagents necessary for one test:</w:t>
            </w:r>
          </w:p>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Blue boronic acid conjugate.</w:t>
            </w:r>
          </w:p>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Tube with polyethersulfone membrane.</w:t>
            </w:r>
          </w:p>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Morpholine buffered sodium chloride solution with detergents and preservative.</w:t>
            </w:r>
          </w:p>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HEPES buffered sodium chloride with lysis and precipitation agents.</w:t>
            </w:r>
          </w:p>
          <w:p w:rsidR="00B31CA6" w:rsidRPr="00E1104F" w:rsidRDefault="00B31CA6" w:rsidP="00CE0F41">
            <w:pPr>
              <w:spacing w:before="120" w:after="40"/>
              <w:ind w:left="187" w:hanging="15"/>
              <w:jc w:val="both"/>
              <w:rPr>
                <w:rFonts w:ascii="Arial" w:hAnsi="Arial" w:cs="Arial"/>
                <w:color w:val="000000"/>
                <w:sz w:val="20"/>
                <w:szCs w:val="20"/>
              </w:rPr>
            </w:pPr>
            <w:r w:rsidRPr="00E1104F">
              <w:rPr>
                <w:rFonts w:ascii="Arial" w:hAnsi="Arial" w:cs="Arial"/>
                <w:color w:val="000000"/>
                <w:sz w:val="20"/>
                <w:szCs w:val="20"/>
              </w:rPr>
              <w:t>N/A</w:t>
            </w:r>
          </w:p>
        </w:tc>
      </w:tr>
      <w:tr w:rsidR="00B31CA6" w:rsidRPr="00B31CA6" w:rsidTr="0021261E">
        <w:tc>
          <w:tcPr>
            <w:tcW w:w="0" w:type="auto"/>
            <w:shd w:val="clear" w:color="auto" w:fill="auto"/>
          </w:tcPr>
          <w:p w:rsidR="00B31CA6" w:rsidRPr="00E1104F" w:rsidRDefault="00B31CA6" w:rsidP="00DE28EA">
            <w:pPr>
              <w:numPr>
                <w:ilvl w:val="0"/>
                <w:numId w:val="10"/>
              </w:numPr>
              <w:spacing w:before="40" w:after="40"/>
              <w:jc w:val="both"/>
              <w:rPr>
                <w:rFonts w:ascii="Arial" w:hAnsi="Arial" w:cs="Arial"/>
                <w:color w:val="000000"/>
                <w:sz w:val="20"/>
                <w:szCs w:val="20"/>
              </w:rPr>
            </w:pPr>
            <w:r w:rsidRPr="00E1104F">
              <w:rPr>
                <w:rFonts w:ascii="Arial" w:hAnsi="Arial" w:cs="Arial"/>
                <w:color w:val="000000"/>
                <w:sz w:val="20"/>
                <w:szCs w:val="20"/>
              </w:rPr>
              <w:t>Handle</w:t>
            </w:r>
          </w:p>
        </w:tc>
        <w:tc>
          <w:tcPr>
            <w:tcW w:w="0" w:type="auto"/>
            <w:shd w:val="clear" w:color="auto" w:fill="auto"/>
          </w:tcPr>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For correct finger grip.</w:t>
            </w:r>
          </w:p>
        </w:tc>
      </w:tr>
      <w:tr w:rsidR="00B31CA6" w:rsidRPr="00B31CA6" w:rsidTr="0021261E">
        <w:tc>
          <w:tcPr>
            <w:tcW w:w="0" w:type="auto"/>
            <w:shd w:val="clear" w:color="auto" w:fill="auto"/>
          </w:tcPr>
          <w:p w:rsidR="00B31CA6" w:rsidRPr="00E1104F" w:rsidRDefault="00B31CA6" w:rsidP="00DE28EA">
            <w:pPr>
              <w:numPr>
                <w:ilvl w:val="0"/>
                <w:numId w:val="10"/>
              </w:numPr>
              <w:spacing w:before="40" w:after="40"/>
              <w:jc w:val="both"/>
              <w:rPr>
                <w:rFonts w:ascii="Arial" w:hAnsi="Arial" w:cs="Arial"/>
                <w:color w:val="000000"/>
                <w:sz w:val="20"/>
                <w:szCs w:val="20"/>
              </w:rPr>
            </w:pPr>
            <w:r w:rsidRPr="00E1104F">
              <w:rPr>
                <w:rFonts w:ascii="Arial" w:hAnsi="Arial" w:cs="Arial"/>
                <w:color w:val="000000"/>
                <w:sz w:val="20"/>
                <w:szCs w:val="20"/>
              </w:rPr>
              <w:lastRenderedPageBreak/>
              <w:t>Barcode label</w:t>
            </w:r>
          </w:p>
        </w:tc>
        <w:tc>
          <w:tcPr>
            <w:tcW w:w="0" w:type="auto"/>
            <w:shd w:val="clear" w:color="auto" w:fill="auto"/>
          </w:tcPr>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Contains assay- and lot-specific information for the analyzer.</w:t>
            </w:r>
          </w:p>
        </w:tc>
      </w:tr>
      <w:tr w:rsidR="00B31CA6" w:rsidRPr="00B31CA6" w:rsidTr="0021261E">
        <w:tc>
          <w:tcPr>
            <w:tcW w:w="0" w:type="auto"/>
            <w:shd w:val="clear" w:color="auto" w:fill="auto"/>
          </w:tcPr>
          <w:p w:rsidR="00B31CA6" w:rsidRPr="00E1104F" w:rsidRDefault="00B31CA6" w:rsidP="00DE28EA">
            <w:pPr>
              <w:numPr>
                <w:ilvl w:val="0"/>
                <w:numId w:val="10"/>
              </w:numPr>
              <w:spacing w:before="40" w:after="40"/>
              <w:jc w:val="both"/>
              <w:rPr>
                <w:rFonts w:ascii="Arial" w:hAnsi="Arial" w:cs="Arial"/>
                <w:color w:val="000000"/>
                <w:sz w:val="20"/>
                <w:szCs w:val="20"/>
              </w:rPr>
            </w:pPr>
            <w:r w:rsidRPr="00E1104F">
              <w:rPr>
                <w:rFonts w:ascii="Arial" w:hAnsi="Arial" w:cs="Arial"/>
                <w:color w:val="000000"/>
                <w:sz w:val="20"/>
                <w:szCs w:val="20"/>
              </w:rPr>
              <w:t>Optical reading area</w:t>
            </w:r>
          </w:p>
        </w:tc>
        <w:tc>
          <w:tcPr>
            <w:tcW w:w="0" w:type="auto"/>
            <w:shd w:val="clear" w:color="auto" w:fill="auto"/>
          </w:tcPr>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Area for transmission measurement.</w:t>
            </w:r>
          </w:p>
        </w:tc>
      </w:tr>
      <w:tr w:rsidR="00B31CA6" w:rsidRPr="00B31CA6" w:rsidTr="0021261E">
        <w:tc>
          <w:tcPr>
            <w:tcW w:w="0" w:type="auto"/>
            <w:shd w:val="clear" w:color="auto" w:fill="auto"/>
          </w:tcPr>
          <w:p w:rsidR="00B31CA6" w:rsidRPr="00E1104F" w:rsidRDefault="00B31CA6" w:rsidP="00DE28EA">
            <w:pPr>
              <w:numPr>
                <w:ilvl w:val="0"/>
                <w:numId w:val="10"/>
              </w:numPr>
              <w:spacing w:before="40" w:after="40"/>
              <w:jc w:val="both"/>
              <w:rPr>
                <w:rFonts w:ascii="Arial" w:hAnsi="Arial" w:cs="Arial"/>
                <w:color w:val="000000"/>
                <w:sz w:val="20"/>
                <w:szCs w:val="20"/>
              </w:rPr>
            </w:pPr>
            <w:r w:rsidRPr="00E1104F">
              <w:rPr>
                <w:rFonts w:ascii="Arial" w:hAnsi="Arial" w:cs="Arial"/>
                <w:color w:val="000000"/>
                <w:sz w:val="20"/>
                <w:szCs w:val="20"/>
              </w:rPr>
              <w:t>ID area</w:t>
            </w:r>
          </w:p>
        </w:tc>
        <w:tc>
          <w:tcPr>
            <w:tcW w:w="0" w:type="auto"/>
            <w:shd w:val="clear" w:color="auto" w:fill="auto"/>
          </w:tcPr>
          <w:p w:rsidR="00B31CA6" w:rsidRPr="00E1104F" w:rsidRDefault="00B31CA6" w:rsidP="00CE0F41">
            <w:pPr>
              <w:spacing w:before="40" w:after="40"/>
              <w:ind w:left="187" w:hanging="15"/>
              <w:jc w:val="both"/>
              <w:rPr>
                <w:rFonts w:ascii="Arial" w:hAnsi="Arial" w:cs="Arial"/>
                <w:color w:val="000000"/>
                <w:sz w:val="20"/>
                <w:szCs w:val="20"/>
              </w:rPr>
            </w:pPr>
            <w:r w:rsidRPr="00E1104F">
              <w:rPr>
                <w:rFonts w:ascii="Arial" w:hAnsi="Arial" w:cs="Arial"/>
                <w:color w:val="000000"/>
                <w:sz w:val="20"/>
                <w:szCs w:val="20"/>
              </w:rPr>
              <w:t>Space for written or labeled sample identification.</w:t>
            </w:r>
          </w:p>
        </w:tc>
      </w:tr>
    </w:tbl>
    <w:p w:rsidR="00B31CA6" w:rsidRPr="00B31CA6" w:rsidRDefault="00B31CA6" w:rsidP="00B31CA6">
      <w:pPr>
        <w:ind w:left="720"/>
        <w:rPr>
          <w:rFonts w:ascii="Arial" w:hAnsi="Arial" w:cs="Arial"/>
          <w:b/>
          <w:color w:val="000000"/>
        </w:rPr>
      </w:pPr>
    </w:p>
    <w:p w:rsidR="00B31CA6" w:rsidRPr="00E1104F" w:rsidRDefault="00B31CA6" w:rsidP="00DE28EA">
      <w:pPr>
        <w:numPr>
          <w:ilvl w:val="0"/>
          <w:numId w:val="1"/>
        </w:numPr>
        <w:spacing w:after="72" w:line="200" w:lineRule="atLeast"/>
        <w:jc w:val="both"/>
        <w:rPr>
          <w:rFonts w:ascii="Arial" w:hAnsi="Arial" w:cs="Arial"/>
          <w:b/>
          <w:u w:val="single"/>
        </w:rPr>
      </w:pPr>
      <w:r w:rsidRPr="00E1104F">
        <w:rPr>
          <w:rFonts w:ascii="Arial" w:hAnsi="Arial" w:cs="Arial"/>
          <w:b/>
          <w:u w:val="single"/>
        </w:rPr>
        <w:t>Storage and Stability</w:t>
      </w:r>
    </w:p>
    <w:p w:rsidR="00B31CA6" w:rsidRPr="00B31CA6" w:rsidRDefault="00B31CA6" w:rsidP="00E1104F">
      <w:pPr>
        <w:spacing w:after="72" w:line="200" w:lineRule="atLeast"/>
        <w:ind w:left="720"/>
        <w:jc w:val="both"/>
        <w:rPr>
          <w:rFonts w:ascii="Arial" w:hAnsi="Arial" w:cs="Arial"/>
          <w:b/>
          <w:color w:val="000000"/>
        </w:rPr>
      </w:pPr>
      <w:r w:rsidRPr="00B31CA6">
        <w:rPr>
          <w:rFonts w:ascii="Arial" w:hAnsi="Arial" w:cs="Arial"/>
          <w:b/>
          <w:color w:val="000000"/>
        </w:rPr>
        <w:t>Refrigerated storage 2-8</w:t>
      </w:r>
      <w:r w:rsidRPr="00B31CA6">
        <w:rPr>
          <w:rFonts w:ascii="Arial" w:hAnsi="Arial" w:cs="Arial"/>
          <w:lang w:val="en"/>
        </w:rPr>
        <w:t>°</w:t>
      </w:r>
      <w:r w:rsidRPr="00B31CA6">
        <w:rPr>
          <w:rFonts w:ascii="Arial" w:hAnsi="Arial" w:cs="Arial"/>
          <w:b/>
          <w:color w:val="000000"/>
        </w:rPr>
        <w:t>C (36-46</w:t>
      </w:r>
      <w:r w:rsidRPr="00B31CA6">
        <w:rPr>
          <w:rFonts w:ascii="Arial" w:hAnsi="Arial" w:cs="Arial"/>
          <w:lang w:val="en"/>
        </w:rPr>
        <w:t>°</w:t>
      </w:r>
      <w:r w:rsidRPr="00B31CA6">
        <w:rPr>
          <w:rFonts w:ascii="Arial" w:hAnsi="Arial" w:cs="Arial"/>
          <w:b/>
          <w:color w:val="000000"/>
        </w:rPr>
        <w:t xml:space="preserve">F) </w:t>
      </w:r>
    </w:p>
    <w:p w:rsidR="00B31CA6" w:rsidRPr="00B31CA6" w:rsidRDefault="00B31CA6" w:rsidP="00DE28EA">
      <w:pPr>
        <w:numPr>
          <w:ilvl w:val="0"/>
          <w:numId w:val="12"/>
        </w:numPr>
        <w:spacing w:after="72" w:line="200" w:lineRule="atLeast"/>
        <w:jc w:val="both"/>
        <w:rPr>
          <w:rFonts w:ascii="Arial" w:hAnsi="Arial" w:cs="Arial"/>
          <w:color w:val="000000"/>
        </w:rPr>
      </w:pPr>
      <w:r w:rsidRPr="00B31CA6">
        <w:rPr>
          <w:rFonts w:ascii="Arial" w:hAnsi="Arial" w:cs="Arial"/>
          <w:color w:val="000000"/>
        </w:rPr>
        <w:t xml:space="preserve">The Afinion HbA1c Test Cartridges are stable until the expiration date only when stored refrigerated. The expiration date is stated on the foil pouch and on the kit box. </w:t>
      </w:r>
    </w:p>
    <w:p w:rsidR="00B31CA6" w:rsidRPr="00B31CA6" w:rsidRDefault="00B31CA6" w:rsidP="00DE28EA">
      <w:pPr>
        <w:numPr>
          <w:ilvl w:val="0"/>
          <w:numId w:val="12"/>
        </w:numPr>
        <w:spacing w:after="72" w:line="200" w:lineRule="atLeast"/>
        <w:jc w:val="both"/>
        <w:rPr>
          <w:rFonts w:ascii="Arial" w:hAnsi="Arial" w:cs="Arial"/>
          <w:color w:val="000000"/>
        </w:rPr>
      </w:pPr>
      <w:r w:rsidRPr="00B31CA6">
        <w:rPr>
          <w:rFonts w:ascii="Arial" w:hAnsi="Arial" w:cs="Arial"/>
          <w:color w:val="000000"/>
        </w:rPr>
        <w:t xml:space="preserve">The Afinion HbA1c Test Cartridge must reach an operating temperature of 18-30°C (64-86°F) before use. Upon removal from refrigerated storage, leave the test cartridge in the unopened foil pouch for at least 15 minutes. No test results  will be displayed and no test result obtained if the test cartridge is too cold when used. </w:t>
      </w:r>
    </w:p>
    <w:p w:rsidR="00B31CA6" w:rsidRPr="00B31CA6" w:rsidRDefault="00B31CA6" w:rsidP="00DE28EA">
      <w:pPr>
        <w:numPr>
          <w:ilvl w:val="0"/>
          <w:numId w:val="12"/>
        </w:numPr>
        <w:spacing w:line="200" w:lineRule="atLeast"/>
        <w:jc w:val="both"/>
        <w:rPr>
          <w:rFonts w:ascii="Arial" w:hAnsi="Arial" w:cs="Arial"/>
          <w:color w:val="000000"/>
        </w:rPr>
      </w:pPr>
      <w:r w:rsidRPr="00B31CA6">
        <w:rPr>
          <w:rFonts w:ascii="Arial" w:hAnsi="Arial" w:cs="Arial"/>
          <w:color w:val="000000"/>
        </w:rPr>
        <w:t xml:space="preserve">Do not freeze. </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after="72" w:line="200" w:lineRule="atLeast"/>
        <w:ind w:left="720"/>
        <w:jc w:val="both"/>
        <w:rPr>
          <w:rFonts w:ascii="Arial" w:hAnsi="Arial" w:cs="Arial"/>
          <w:b/>
          <w:color w:val="000000"/>
        </w:rPr>
      </w:pPr>
      <w:r w:rsidRPr="00B31CA6">
        <w:rPr>
          <w:rFonts w:ascii="Arial" w:hAnsi="Arial" w:cs="Arial"/>
          <w:b/>
          <w:color w:val="000000"/>
        </w:rPr>
        <w:t>Room temperature storage 15-25</w:t>
      </w:r>
      <w:r w:rsidRPr="00B31CA6">
        <w:rPr>
          <w:rFonts w:ascii="Arial" w:hAnsi="Arial" w:cs="Arial"/>
          <w:lang w:val="en"/>
        </w:rPr>
        <w:t>°</w:t>
      </w:r>
      <w:r w:rsidRPr="00B31CA6">
        <w:rPr>
          <w:rFonts w:ascii="Arial" w:hAnsi="Arial" w:cs="Arial"/>
          <w:b/>
          <w:color w:val="000000"/>
        </w:rPr>
        <w:t>C (59-77</w:t>
      </w:r>
      <w:r w:rsidRPr="00B31CA6">
        <w:rPr>
          <w:rFonts w:ascii="Arial" w:hAnsi="Arial" w:cs="Arial"/>
          <w:lang w:val="en"/>
        </w:rPr>
        <w:t>°</w:t>
      </w:r>
      <w:r w:rsidRPr="00B31CA6">
        <w:rPr>
          <w:rFonts w:ascii="Arial" w:hAnsi="Arial" w:cs="Arial"/>
          <w:b/>
          <w:color w:val="000000"/>
        </w:rPr>
        <w:t xml:space="preserve">F) </w:t>
      </w:r>
    </w:p>
    <w:p w:rsidR="00B31CA6" w:rsidRPr="00B31CA6" w:rsidRDefault="00B31CA6" w:rsidP="00DE28EA">
      <w:pPr>
        <w:numPr>
          <w:ilvl w:val="0"/>
          <w:numId w:val="13"/>
        </w:numPr>
        <w:spacing w:after="72" w:line="200" w:lineRule="atLeast"/>
        <w:jc w:val="both"/>
        <w:rPr>
          <w:rFonts w:ascii="Arial" w:hAnsi="Arial" w:cs="Arial"/>
          <w:color w:val="000000"/>
        </w:rPr>
      </w:pPr>
      <w:r w:rsidRPr="00B31CA6">
        <w:rPr>
          <w:rFonts w:ascii="Arial" w:hAnsi="Arial" w:cs="Arial"/>
          <w:color w:val="000000"/>
        </w:rPr>
        <w:t xml:space="preserve">The Afinion HbA1c Test Cartridges can be stored in unopened foil pouches at room temperature for 90 days. Note the date of removal from the refrigerator and the new expiration date on the kit container. </w:t>
      </w:r>
    </w:p>
    <w:p w:rsidR="00B31CA6" w:rsidRPr="00B31CA6" w:rsidRDefault="00B31CA6" w:rsidP="00DE28EA">
      <w:pPr>
        <w:numPr>
          <w:ilvl w:val="0"/>
          <w:numId w:val="13"/>
        </w:numPr>
        <w:spacing w:after="72" w:line="200" w:lineRule="atLeast"/>
        <w:jc w:val="both"/>
        <w:rPr>
          <w:rFonts w:ascii="Arial" w:hAnsi="Arial" w:cs="Arial"/>
          <w:color w:val="000000"/>
        </w:rPr>
      </w:pPr>
      <w:r w:rsidRPr="00B31CA6">
        <w:rPr>
          <w:rFonts w:ascii="Arial" w:hAnsi="Arial" w:cs="Arial"/>
          <w:color w:val="000000"/>
        </w:rPr>
        <w:t xml:space="preserve">Avoid exposure to direct sunlight. </w:t>
      </w:r>
    </w:p>
    <w:p w:rsidR="00B31CA6" w:rsidRPr="00B31CA6" w:rsidRDefault="00B31CA6" w:rsidP="00E1104F">
      <w:pPr>
        <w:spacing w:line="200" w:lineRule="atLeast"/>
        <w:ind w:left="1440" w:hanging="360"/>
        <w:jc w:val="both"/>
        <w:rPr>
          <w:rFonts w:ascii="Arial" w:hAnsi="Arial" w:cs="Arial"/>
          <w:color w:val="000000"/>
        </w:rPr>
      </w:pPr>
    </w:p>
    <w:p w:rsidR="00B31CA6" w:rsidRPr="00B31CA6" w:rsidRDefault="00B31CA6" w:rsidP="00E1104F">
      <w:pPr>
        <w:spacing w:after="72" w:line="200" w:lineRule="atLeast"/>
        <w:ind w:left="720"/>
        <w:jc w:val="both"/>
        <w:rPr>
          <w:rFonts w:ascii="Arial" w:hAnsi="Arial" w:cs="Arial"/>
          <w:b/>
          <w:color w:val="000000"/>
        </w:rPr>
      </w:pPr>
      <w:r w:rsidRPr="00B31CA6">
        <w:rPr>
          <w:rFonts w:ascii="Arial" w:hAnsi="Arial" w:cs="Arial"/>
          <w:b/>
          <w:color w:val="000000"/>
        </w:rPr>
        <w:t>Opened foil pouch</w:t>
      </w:r>
    </w:p>
    <w:p w:rsidR="00B31CA6" w:rsidRPr="00B31CA6" w:rsidRDefault="00B31CA6" w:rsidP="00DE28EA">
      <w:pPr>
        <w:numPr>
          <w:ilvl w:val="0"/>
          <w:numId w:val="14"/>
        </w:numPr>
        <w:spacing w:after="72" w:line="200" w:lineRule="atLeast"/>
        <w:jc w:val="both"/>
        <w:rPr>
          <w:rFonts w:ascii="Arial" w:hAnsi="Arial" w:cs="Arial"/>
          <w:color w:val="000000"/>
        </w:rPr>
      </w:pPr>
      <w:r w:rsidRPr="00B31CA6">
        <w:rPr>
          <w:rFonts w:ascii="Arial" w:hAnsi="Arial" w:cs="Arial"/>
          <w:color w:val="000000"/>
        </w:rPr>
        <w:t xml:space="preserve">The test cartridge should be used within </w:t>
      </w:r>
      <w:r w:rsidRPr="00B31CA6">
        <w:rPr>
          <w:rFonts w:ascii="Arial" w:hAnsi="Arial" w:cs="Arial"/>
          <w:color w:val="000000"/>
          <w:u w:val="single"/>
        </w:rPr>
        <w:t>10 minutes</w:t>
      </w:r>
      <w:r w:rsidRPr="00B31CA6">
        <w:rPr>
          <w:rFonts w:ascii="Arial" w:hAnsi="Arial" w:cs="Arial"/>
          <w:color w:val="000000"/>
        </w:rPr>
        <w:t xml:space="preserve"> after opening.</w:t>
      </w:r>
    </w:p>
    <w:p w:rsidR="00B31CA6" w:rsidRPr="00B31CA6" w:rsidRDefault="00B31CA6" w:rsidP="00DE28EA">
      <w:pPr>
        <w:numPr>
          <w:ilvl w:val="0"/>
          <w:numId w:val="14"/>
        </w:numPr>
        <w:spacing w:line="200" w:lineRule="atLeast"/>
        <w:jc w:val="both"/>
        <w:rPr>
          <w:rFonts w:ascii="Arial" w:hAnsi="Arial" w:cs="Arial"/>
          <w:color w:val="000000"/>
        </w:rPr>
      </w:pPr>
      <w:r w:rsidRPr="00B31CA6">
        <w:rPr>
          <w:rFonts w:ascii="Arial" w:hAnsi="Arial" w:cs="Arial"/>
          <w:color w:val="000000"/>
        </w:rPr>
        <w:t>Avoid exposure to direct sunlight.</w:t>
      </w:r>
    </w:p>
    <w:p w:rsidR="00B31CA6" w:rsidRPr="00B31CA6" w:rsidRDefault="00B31CA6" w:rsidP="00E1104F">
      <w:pPr>
        <w:spacing w:line="200" w:lineRule="atLeast"/>
        <w:ind w:left="1440"/>
        <w:rPr>
          <w:rFonts w:ascii="Arial" w:hAnsi="Arial" w:cs="Arial"/>
          <w:b/>
          <w:color w:val="000000"/>
        </w:rPr>
      </w:pPr>
    </w:p>
    <w:p w:rsidR="00AC2E13" w:rsidRPr="00AC2E13" w:rsidRDefault="00AC2E13" w:rsidP="00DE28EA">
      <w:pPr>
        <w:pStyle w:val="ListParagraph"/>
        <w:numPr>
          <w:ilvl w:val="0"/>
          <w:numId w:val="1"/>
        </w:numPr>
        <w:tabs>
          <w:tab w:val="left" w:pos="1440"/>
        </w:tabs>
        <w:spacing w:after="72" w:line="200" w:lineRule="atLeast"/>
        <w:rPr>
          <w:rFonts w:ascii="Arial" w:hAnsi="Arial" w:cs="Arial"/>
          <w:b/>
          <w:color w:val="000000"/>
          <w:u w:val="single"/>
        </w:rPr>
      </w:pPr>
      <w:r w:rsidRPr="00AC2E13">
        <w:rPr>
          <w:rFonts w:ascii="Arial" w:hAnsi="Arial" w:cs="Arial"/>
          <w:b/>
          <w:color w:val="000000"/>
          <w:u w:val="single"/>
        </w:rPr>
        <w:t>Specimen Collection</w:t>
      </w:r>
    </w:p>
    <w:tbl>
      <w:tblPr>
        <w:tblW w:w="0" w:type="auto"/>
        <w:tblInd w:w="1080" w:type="dxa"/>
        <w:tblLook w:val="04A0" w:firstRow="1" w:lastRow="0" w:firstColumn="1" w:lastColumn="0" w:noHBand="0" w:noVBand="1"/>
      </w:tblPr>
      <w:tblGrid>
        <w:gridCol w:w="3838"/>
        <w:gridCol w:w="4658"/>
      </w:tblGrid>
      <w:tr w:rsidR="00AC2E13" w:rsidRPr="00B31CA6" w:rsidTr="00AC2E13">
        <w:tc>
          <w:tcPr>
            <w:tcW w:w="3838" w:type="dxa"/>
            <w:shd w:val="clear" w:color="auto" w:fill="auto"/>
          </w:tcPr>
          <w:p w:rsidR="00AC2E13" w:rsidRPr="00B31CA6" w:rsidRDefault="00AC2E13" w:rsidP="00CE0F41">
            <w:pPr>
              <w:jc w:val="both"/>
              <w:rPr>
                <w:rFonts w:ascii="Arial" w:hAnsi="Arial" w:cs="Arial"/>
                <w:b/>
              </w:rPr>
            </w:pPr>
            <w:r w:rsidRPr="00B31CA6">
              <w:rPr>
                <w:rFonts w:ascii="Arial" w:hAnsi="Arial" w:cs="Arial"/>
                <w:b/>
              </w:rPr>
              <w:t>Blood sampling from finger</w:t>
            </w:r>
          </w:p>
          <w:p w:rsidR="00AC2E13" w:rsidRPr="00B31CA6" w:rsidRDefault="00AC2E13" w:rsidP="00DE28EA">
            <w:pPr>
              <w:numPr>
                <w:ilvl w:val="0"/>
                <w:numId w:val="22"/>
              </w:numPr>
              <w:jc w:val="both"/>
              <w:rPr>
                <w:rFonts w:ascii="Arial" w:hAnsi="Arial" w:cs="Arial"/>
              </w:rPr>
            </w:pPr>
            <w:r w:rsidRPr="00B31CA6">
              <w:rPr>
                <w:rFonts w:ascii="Arial" w:hAnsi="Arial" w:cs="Arial"/>
              </w:rPr>
              <w:t>Always use gloves.</w:t>
            </w:r>
          </w:p>
          <w:p w:rsidR="00AC2E13" w:rsidRPr="00B31CA6" w:rsidRDefault="00AC2E13" w:rsidP="00DE28EA">
            <w:pPr>
              <w:numPr>
                <w:ilvl w:val="0"/>
                <w:numId w:val="22"/>
              </w:numPr>
              <w:jc w:val="both"/>
              <w:rPr>
                <w:rFonts w:ascii="Arial" w:hAnsi="Arial" w:cs="Arial"/>
              </w:rPr>
            </w:pPr>
            <w:r w:rsidRPr="00B31CA6">
              <w:rPr>
                <w:rFonts w:ascii="Arial" w:hAnsi="Arial" w:cs="Arial"/>
              </w:rPr>
              <w:t>Clean the finger using alcohol. Allow the area to air dry.</w:t>
            </w:r>
          </w:p>
          <w:p w:rsidR="00AC2E13" w:rsidRPr="00B31CA6" w:rsidRDefault="00AC2E13" w:rsidP="00DE28EA">
            <w:pPr>
              <w:numPr>
                <w:ilvl w:val="0"/>
                <w:numId w:val="22"/>
              </w:numPr>
              <w:jc w:val="both"/>
              <w:rPr>
                <w:rFonts w:ascii="Arial" w:hAnsi="Arial" w:cs="Arial"/>
              </w:rPr>
            </w:pPr>
            <w:r w:rsidRPr="00B31CA6">
              <w:rPr>
                <w:rFonts w:ascii="Arial" w:hAnsi="Arial" w:cs="Arial"/>
              </w:rPr>
              <w:t>Use a lancet and firmly prick the finger (a). Properly dispose the lancet.</w:t>
            </w:r>
          </w:p>
          <w:p w:rsidR="00AC2E13" w:rsidRPr="00B31CA6" w:rsidRDefault="00AC2E13" w:rsidP="00DE28EA">
            <w:pPr>
              <w:numPr>
                <w:ilvl w:val="0"/>
                <w:numId w:val="22"/>
              </w:numPr>
              <w:jc w:val="both"/>
              <w:rPr>
                <w:rFonts w:ascii="Arial" w:hAnsi="Arial" w:cs="Arial"/>
              </w:rPr>
            </w:pPr>
            <w:r w:rsidRPr="00B31CA6">
              <w:rPr>
                <w:rFonts w:ascii="Arial" w:hAnsi="Arial" w:cs="Arial"/>
              </w:rPr>
              <w:t>Allow a good drop of blood to form before sampling (b).</w:t>
            </w:r>
          </w:p>
          <w:p w:rsidR="00AC2E13" w:rsidRPr="00B31CA6" w:rsidRDefault="00AC2E13" w:rsidP="00DE28EA">
            <w:pPr>
              <w:numPr>
                <w:ilvl w:val="0"/>
                <w:numId w:val="22"/>
              </w:numPr>
              <w:jc w:val="both"/>
              <w:rPr>
                <w:rFonts w:ascii="Arial" w:hAnsi="Arial" w:cs="Arial"/>
              </w:rPr>
            </w:pPr>
            <w:r w:rsidRPr="00B31CA6">
              <w:rPr>
                <w:rFonts w:ascii="Arial" w:hAnsi="Arial" w:cs="Arial"/>
              </w:rPr>
              <w:t xml:space="preserve">Apply direct pressure to </w:t>
            </w:r>
            <w:r w:rsidRPr="00B31CA6">
              <w:rPr>
                <w:rFonts w:ascii="Arial" w:hAnsi="Arial" w:cs="Arial"/>
              </w:rPr>
              <w:lastRenderedPageBreak/>
              <w:t xml:space="preserve">the wound site with a clean gauze pad. </w:t>
            </w:r>
          </w:p>
        </w:tc>
        <w:tc>
          <w:tcPr>
            <w:tcW w:w="4658" w:type="dxa"/>
            <w:shd w:val="clear" w:color="auto" w:fill="auto"/>
          </w:tcPr>
          <w:p w:rsidR="00AC2E13" w:rsidRPr="00B31CA6" w:rsidRDefault="00AC2E13" w:rsidP="00CE0F41">
            <w:pPr>
              <w:jc w:val="both"/>
              <w:rPr>
                <w:rFonts w:ascii="Arial" w:hAnsi="Arial" w:cs="Arial"/>
                <w:b/>
              </w:rPr>
            </w:pPr>
            <w:r w:rsidRPr="00B31CA6">
              <w:rPr>
                <w:rFonts w:ascii="Arial" w:hAnsi="Arial" w:cs="Arial"/>
                <w:b/>
                <w:noProof/>
              </w:rPr>
              <w:lastRenderedPageBreak/>
              <w:drawing>
                <wp:inline distT="0" distB="0" distL="0" distR="0" wp14:anchorId="5502F35B" wp14:editId="6D3EE011">
                  <wp:extent cx="2659380" cy="12039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1203960"/>
                          </a:xfrm>
                          <a:prstGeom prst="rect">
                            <a:avLst/>
                          </a:prstGeom>
                          <a:noFill/>
                          <a:ln>
                            <a:noFill/>
                          </a:ln>
                        </pic:spPr>
                      </pic:pic>
                    </a:graphicData>
                  </a:graphic>
                </wp:inline>
              </w:drawing>
            </w:r>
          </w:p>
        </w:tc>
      </w:tr>
      <w:tr w:rsidR="00AC2E13" w:rsidRPr="00B31CA6" w:rsidTr="00AC2E13">
        <w:tc>
          <w:tcPr>
            <w:tcW w:w="3838" w:type="dxa"/>
            <w:shd w:val="clear" w:color="auto" w:fill="auto"/>
          </w:tcPr>
          <w:p w:rsidR="00AC2E13" w:rsidRPr="00B31CA6" w:rsidRDefault="00AC2E13" w:rsidP="00CE0F41">
            <w:pPr>
              <w:jc w:val="both"/>
              <w:rPr>
                <w:rFonts w:ascii="Arial" w:hAnsi="Arial" w:cs="Arial"/>
              </w:rPr>
            </w:pPr>
            <w:r w:rsidRPr="00B31CA6">
              <w:rPr>
                <w:rFonts w:ascii="Arial" w:hAnsi="Arial" w:cs="Arial"/>
                <w:b/>
              </w:rPr>
              <w:t>Sampling from a tube</w:t>
            </w:r>
          </w:p>
          <w:p w:rsidR="00AC2E13" w:rsidRPr="00B31CA6" w:rsidRDefault="00AC2E13" w:rsidP="00DE28EA">
            <w:pPr>
              <w:numPr>
                <w:ilvl w:val="0"/>
                <w:numId w:val="23"/>
              </w:numPr>
              <w:jc w:val="both"/>
              <w:rPr>
                <w:rFonts w:ascii="Arial" w:hAnsi="Arial" w:cs="Arial"/>
              </w:rPr>
            </w:pPr>
            <w:r w:rsidRPr="00B31CA6">
              <w:rPr>
                <w:rFonts w:ascii="Arial" w:hAnsi="Arial" w:cs="Arial"/>
              </w:rPr>
              <w:t>Patient samples stored refrigerated can be used without equilibration to room temperature.</w:t>
            </w:r>
          </w:p>
          <w:p w:rsidR="00AC2E13" w:rsidRPr="00B31CA6" w:rsidRDefault="00AC2E13" w:rsidP="00DE28EA">
            <w:pPr>
              <w:numPr>
                <w:ilvl w:val="0"/>
                <w:numId w:val="23"/>
              </w:numPr>
              <w:jc w:val="both"/>
              <w:rPr>
                <w:rFonts w:ascii="Arial" w:hAnsi="Arial" w:cs="Arial"/>
              </w:rPr>
            </w:pPr>
            <w:r w:rsidRPr="00B31CA6">
              <w:rPr>
                <w:rFonts w:ascii="Arial" w:hAnsi="Arial" w:cs="Arial"/>
              </w:rPr>
              <w:t xml:space="preserve">Mix the sample material well by inverting the tube 8-10 times before collecting a sample. </w:t>
            </w:r>
          </w:p>
        </w:tc>
        <w:tc>
          <w:tcPr>
            <w:tcW w:w="4658" w:type="dxa"/>
            <w:shd w:val="clear" w:color="auto" w:fill="auto"/>
          </w:tcPr>
          <w:p w:rsidR="00AC2E13" w:rsidRPr="00B31CA6" w:rsidRDefault="00EA7A74" w:rsidP="00CE0F41">
            <w:pPr>
              <w:jc w:val="both"/>
              <w:rPr>
                <w:rFonts w:ascii="Arial" w:hAnsi="Arial" w:cs="Arial"/>
                <w:b/>
              </w:rPr>
            </w:pPr>
            <w:r>
              <w:rPr>
                <w:rFonts w:ascii="Arial" w:hAnsi="Arial" w:cs="Arial"/>
                <w:b/>
                <w:noProof/>
              </w:rPr>
              <w:t xml:space="preserve">                 </w:t>
            </w:r>
            <w:r w:rsidR="00AC2E13" w:rsidRPr="00B31CA6">
              <w:rPr>
                <w:rFonts w:ascii="Arial" w:hAnsi="Arial" w:cs="Arial"/>
                <w:b/>
                <w:noProof/>
              </w:rPr>
              <w:drawing>
                <wp:inline distT="0" distB="0" distL="0" distR="0" wp14:anchorId="2026EF9A" wp14:editId="10C2B181">
                  <wp:extent cx="1325880" cy="9982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998220"/>
                          </a:xfrm>
                          <a:prstGeom prst="rect">
                            <a:avLst/>
                          </a:prstGeom>
                          <a:noFill/>
                          <a:ln>
                            <a:noFill/>
                          </a:ln>
                        </pic:spPr>
                      </pic:pic>
                    </a:graphicData>
                  </a:graphic>
                </wp:inline>
              </w:drawing>
            </w:r>
          </w:p>
        </w:tc>
      </w:tr>
      <w:tr w:rsidR="00AC2E13" w:rsidRPr="00B31CA6" w:rsidTr="00AC2E13">
        <w:tc>
          <w:tcPr>
            <w:tcW w:w="3838" w:type="dxa"/>
            <w:shd w:val="clear" w:color="auto" w:fill="auto"/>
          </w:tcPr>
          <w:p w:rsidR="00AC2E13" w:rsidRPr="00B31CA6" w:rsidRDefault="00AC2E13" w:rsidP="00CE0F41">
            <w:pPr>
              <w:jc w:val="both"/>
              <w:rPr>
                <w:rFonts w:ascii="Arial" w:hAnsi="Arial" w:cs="Arial"/>
                <w:b/>
              </w:rPr>
            </w:pPr>
            <w:r w:rsidRPr="00B31CA6">
              <w:rPr>
                <w:rFonts w:ascii="Arial" w:hAnsi="Arial" w:cs="Arial"/>
                <w:b/>
              </w:rPr>
              <w:t>Sampling from the AFINION™ HbA1c Control vial</w:t>
            </w:r>
          </w:p>
          <w:p w:rsidR="00AC2E13" w:rsidRPr="00B31CA6" w:rsidRDefault="00AC2E13" w:rsidP="00DE28EA">
            <w:pPr>
              <w:numPr>
                <w:ilvl w:val="0"/>
                <w:numId w:val="27"/>
              </w:numPr>
              <w:jc w:val="both"/>
              <w:rPr>
                <w:rFonts w:ascii="Arial" w:hAnsi="Arial" w:cs="Arial"/>
                <w:b/>
              </w:rPr>
            </w:pPr>
            <w:r w:rsidRPr="00B31CA6">
              <w:rPr>
                <w:rFonts w:ascii="Arial" w:hAnsi="Arial" w:cs="Arial"/>
              </w:rPr>
              <w:t>Allow the control material to reach ambient operating temperature (18</w:t>
            </w:r>
            <w:r w:rsidRPr="00B31CA6">
              <w:rPr>
                <w:rFonts w:ascii="Arial" w:hAnsi="Arial" w:cs="Arial"/>
              </w:rPr>
              <w:noBreakHyphen/>
              <w:t>30</w:t>
            </w:r>
            <w:r w:rsidRPr="00B31CA6">
              <w:rPr>
                <w:rFonts w:ascii="Arial" w:hAnsi="Arial" w:cs="Arial"/>
                <w:lang w:val="en"/>
              </w:rPr>
              <w:t>°</w:t>
            </w:r>
            <w:r w:rsidRPr="00B31CA6">
              <w:rPr>
                <w:rFonts w:ascii="Arial" w:hAnsi="Arial" w:cs="Arial"/>
              </w:rPr>
              <w:t>C, 64</w:t>
            </w:r>
            <w:r w:rsidRPr="00B31CA6">
              <w:rPr>
                <w:rFonts w:ascii="Arial" w:hAnsi="Arial" w:cs="Arial"/>
              </w:rPr>
              <w:noBreakHyphen/>
              <w:t>86</w:t>
            </w:r>
            <w:r w:rsidRPr="00B31CA6">
              <w:rPr>
                <w:rFonts w:ascii="Arial" w:hAnsi="Arial" w:cs="Arial"/>
                <w:lang w:val="en"/>
              </w:rPr>
              <w:t>°</w:t>
            </w:r>
            <w:r w:rsidRPr="00B31CA6">
              <w:rPr>
                <w:rFonts w:ascii="Arial" w:hAnsi="Arial" w:cs="Arial"/>
              </w:rPr>
              <w:t>F) before use, which takes approximately 45 minutes.</w:t>
            </w:r>
          </w:p>
          <w:p w:rsidR="00AC2E13" w:rsidRPr="00B31CA6" w:rsidRDefault="00AC2E13" w:rsidP="00DE28EA">
            <w:pPr>
              <w:numPr>
                <w:ilvl w:val="0"/>
                <w:numId w:val="24"/>
              </w:numPr>
              <w:jc w:val="both"/>
              <w:rPr>
                <w:rFonts w:ascii="Arial" w:hAnsi="Arial" w:cs="Arial"/>
              </w:rPr>
            </w:pPr>
            <w:r w:rsidRPr="00B31CA6">
              <w:rPr>
                <w:rFonts w:ascii="Arial" w:hAnsi="Arial" w:cs="Arial"/>
              </w:rPr>
              <w:t xml:space="preserve">Mix the control material thoroughly by shaking the vial for 30 seconds. A Vortex mixer may be used. </w:t>
            </w:r>
          </w:p>
          <w:p w:rsidR="00AC2E13" w:rsidRPr="00B31CA6" w:rsidRDefault="00AC2E13" w:rsidP="00DE28EA">
            <w:pPr>
              <w:numPr>
                <w:ilvl w:val="0"/>
                <w:numId w:val="24"/>
              </w:numPr>
              <w:jc w:val="both"/>
              <w:rPr>
                <w:rFonts w:ascii="Arial" w:hAnsi="Arial" w:cs="Arial"/>
              </w:rPr>
            </w:pPr>
            <w:r w:rsidRPr="00B31CA6">
              <w:rPr>
                <w:rFonts w:ascii="Arial" w:hAnsi="Arial" w:cs="Arial"/>
              </w:rPr>
              <w:t xml:space="preserve">Extract a sample from the vial or the cap. </w:t>
            </w:r>
          </w:p>
        </w:tc>
        <w:tc>
          <w:tcPr>
            <w:tcW w:w="4658" w:type="dxa"/>
            <w:shd w:val="clear" w:color="auto" w:fill="auto"/>
          </w:tcPr>
          <w:p w:rsidR="00AC2E13" w:rsidRPr="00B31CA6" w:rsidRDefault="00EA7A74" w:rsidP="00CE0F41">
            <w:pPr>
              <w:jc w:val="both"/>
              <w:rPr>
                <w:rFonts w:ascii="Arial" w:hAnsi="Arial" w:cs="Arial"/>
                <w:b/>
              </w:rPr>
            </w:pPr>
            <w:r>
              <w:rPr>
                <w:rFonts w:ascii="Arial" w:hAnsi="Arial" w:cs="Arial"/>
                <w:b/>
                <w:noProof/>
              </w:rPr>
              <w:t xml:space="preserve">                 </w:t>
            </w:r>
            <w:r w:rsidR="00AC2E13" w:rsidRPr="00B31CA6">
              <w:rPr>
                <w:rFonts w:ascii="Arial" w:hAnsi="Arial" w:cs="Arial"/>
                <w:b/>
                <w:noProof/>
              </w:rPr>
              <w:drawing>
                <wp:inline distT="0" distB="0" distL="0" distR="0" wp14:anchorId="18204B14" wp14:editId="29ECEDFF">
                  <wp:extent cx="1325880" cy="20497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2049780"/>
                          </a:xfrm>
                          <a:prstGeom prst="rect">
                            <a:avLst/>
                          </a:prstGeom>
                          <a:noFill/>
                          <a:ln>
                            <a:noFill/>
                          </a:ln>
                        </pic:spPr>
                      </pic:pic>
                    </a:graphicData>
                  </a:graphic>
                </wp:inline>
              </w:drawing>
            </w:r>
          </w:p>
        </w:tc>
      </w:tr>
      <w:tr w:rsidR="00AC2E13" w:rsidRPr="00B31CA6" w:rsidTr="00AC2E13">
        <w:tc>
          <w:tcPr>
            <w:tcW w:w="3838" w:type="dxa"/>
            <w:shd w:val="clear" w:color="auto" w:fill="auto"/>
          </w:tcPr>
          <w:p w:rsidR="00AC2E13" w:rsidRPr="00B31CA6" w:rsidRDefault="00AC2E13" w:rsidP="00CE0F41">
            <w:pPr>
              <w:jc w:val="both"/>
              <w:rPr>
                <w:rFonts w:ascii="Arial" w:hAnsi="Arial" w:cs="Arial"/>
                <w:b/>
              </w:rPr>
            </w:pPr>
            <w:r w:rsidRPr="00B31CA6">
              <w:rPr>
                <w:rFonts w:ascii="Arial" w:hAnsi="Arial" w:cs="Arial"/>
                <w:b/>
              </w:rPr>
              <w:t>Important!</w:t>
            </w:r>
          </w:p>
          <w:p w:rsidR="00AC2E13" w:rsidRPr="00B31CA6" w:rsidRDefault="00AC2E13" w:rsidP="00DE28EA">
            <w:pPr>
              <w:numPr>
                <w:ilvl w:val="0"/>
                <w:numId w:val="26"/>
              </w:numPr>
              <w:jc w:val="both"/>
              <w:rPr>
                <w:rFonts w:ascii="Arial" w:hAnsi="Arial" w:cs="Arial"/>
                <w:b/>
              </w:rPr>
            </w:pPr>
            <w:r w:rsidRPr="00B31CA6">
              <w:rPr>
                <w:rFonts w:ascii="Arial" w:hAnsi="Arial" w:cs="Arial"/>
              </w:rPr>
              <w:t>Bring the tip of the capillary just beneath the surface of the blood drop/sample material as shown in figures (c), (d) and (e).</w:t>
            </w:r>
          </w:p>
          <w:p w:rsidR="00AC2E13" w:rsidRPr="00B31CA6" w:rsidRDefault="00AC2E13" w:rsidP="00DE28EA">
            <w:pPr>
              <w:numPr>
                <w:ilvl w:val="0"/>
                <w:numId w:val="25"/>
              </w:numPr>
              <w:jc w:val="both"/>
              <w:rPr>
                <w:rFonts w:ascii="Arial" w:hAnsi="Arial" w:cs="Arial"/>
              </w:rPr>
            </w:pPr>
            <w:r w:rsidRPr="00B31CA6">
              <w:rPr>
                <w:rFonts w:ascii="Arial" w:hAnsi="Arial" w:cs="Arial"/>
              </w:rPr>
              <w:t>Be sure that the capillary is completely filled as shown in figure (f). It is not possible to overfill the capillary. Avoid air bubbles.</w:t>
            </w:r>
          </w:p>
          <w:p w:rsidR="00AC2E13" w:rsidRDefault="00AC2E13" w:rsidP="00DE28EA">
            <w:pPr>
              <w:numPr>
                <w:ilvl w:val="0"/>
                <w:numId w:val="25"/>
              </w:numPr>
              <w:jc w:val="both"/>
              <w:rPr>
                <w:rFonts w:ascii="Arial" w:hAnsi="Arial" w:cs="Arial"/>
              </w:rPr>
            </w:pPr>
            <w:r w:rsidRPr="00B31CA6">
              <w:rPr>
                <w:rFonts w:ascii="Arial" w:hAnsi="Arial" w:cs="Arial"/>
                <w:u w:val="single"/>
              </w:rPr>
              <w:t>Do</w:t>
            </w:r>
            <w:r w:rsidR="00AC59F3">
              <w:rPr>
                <w:rFonts w:ascii="Arial" w:hAnsi="Arial" w:cs="Arial"/>
                <w:u w:val="single"/>
              </w:rPr>
              <w:t xml:space="preserve"> </w:t>
            </w:r>
            <w:r w:rsidRPr="00B31CA6">
              <w:rPr>
                <w:rFonts w:ascii="Arial" w:hAnsi="Arial" w:cs="Arial"/>
                <w:u w:val="single"/>
              </w:rPr>
              <w:t>not</w:t>
            </w:r>
            <w:r w:rsidRPr="00B31CA6">
              <w:rPr>
                <w:rFonts w:ascii="Arial" w:hAnsi="Arial" w:cs="Arial"/>
              </w:rPr>
              <w:t xml:space="preserve"> wipe off the capillary.</w:t>
            </w:r>
          </w:p>
          <w:p w:rsidR="00AC2E13" w:rsidRDefault="00AC2E13" w:rsidP="00AC2E13">
            <w:pPr>
              <w:jc w:val="both"/>
              <w:rPr>
                <w:rFonts w:ascii="Arial" w:hAnsi="Arial" w:cs="Arial"/>
              </w:rPr>
            </w:pPr>
          </w:p>
          <w:p w:rsidR="00AC2E13" w:rsidRPr="00B31CA6" w:rsidRDefault="00AC2E13" w:rsidP="00AC2E13">
            <w:pPr>
              <w:jc w:val="both"/>
              <w:rPr>
                <w:rFonts w:ascii="Arial" w:hAnsi="Arial" w:cs="Arial"/>
              </w:rPr>
            </w:pPr>
          </w:p>
        </w:tc>
        <w:tc>
          <w:tcPr>
            <w:tcW w:w="4658" w:type="dxa"/>
            <w:shd w:val="clear" w:color="auto" w:fill="auto"/>
          </w:tcPr>
          <w:p w:rsidR="00AC2E13" w:rsidRDefault="00EA7A74" w:rsidP="00CE0F41">
            <w:pPr>
              <w:jc w:val="both"/>
              <w:rPr>
                <w:rFonts w:ascii="Arial" w:hAnsi="Arial" w:cs="Arial"/>
                <w:b/>
                <w:noProof/>
              </w:rPr>
            </w:pPr>
            <w:r>
              <w:rPr>
                <w:rFonts w:ascii="Arial" w:hAnsi="Arial" w:cs="Arial"/>
                <w:b/>
                <w:noProof/>
              </w:rPr>
              <w:t xml:space="preserve">                </w:t>
            </w:r>
            <w:r w:rsidR="00AC2E13" w:rsidRPr="00B31CA6">
              <w:rPr>
                <w:rFonts w:ascii="Arial" w:hAnsi="Arial" w:cs="Arial"/>
                <w:b/>
                <w:noProof/>
              </w:rPr>
              <w:drawing>
                <wp:inline distT="0" distB="0" distL="0" distR="0" wp14:anchorId="01731E2A" wp14:editId="3858F285">
                  <wp:extent cx="1325880" cy="10363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880" cy="1036320"/>
                          </a:xfrm>
                          <a:prstGeom prst="rect">
                            <a:avLst/>
                          </a:prstGeom>
                          <a:noFill/>
                          <a:ln>
                            <a:noFill/>
                          </a:ln>
                        </pic:spPr>
                      </pic:pic>
                    </a:graphicData>
                  </a:graphic>
                </wp:inline>
              </w:drawing>
            </w:r>
          </w:p>
          <w:p w:rsidR="00AC59F3" w:rsidRPr="00B31CA6" w:rsidRDefault="00AC59F3" w:rsidP="00CE0F41">
            <w:pPr>
              <w:jc w:val="both"/>
              <w:rPr>
                <w:rFonts w:ascii="Arial" w:hAnsi="Arial" w:cs="Arial"/>
                <w:b/>
              </w:rPr>
            </w:pPr>
          </w:p>
        </w:tc>
      </w:tr>
    </w:tbl>
    <w:p w:rsidR="0021261E" w:rsidRPr="0021261E" w:rsidRDefault="0021261E" w:rsidP="00DE28EA">
      <w:pPr>
        <w:numPr>
          <w:ilvl w:val="0"/>
          <w:numId w:val="1"/>
        </w:numPr>
        <w:spacing w:after="72" w:line="200" w:lineRule="atLeast"/>
        <w:rPr>
          <w:rFonts w:ascii="Arial" w:hAnsi="Arial" w:cs="Arial"/>
          <w:b/>
          <w:u w:val="single"/>
        </w:rPr>
      </w:pPr>
      <w:r w:rsidRPr="0021261E">
        <w:rPr>
          <w:rFonts w:ascii="Arial" w:hAnsi="Arial" w:cs="Arial"/>
          <w:b/>
          <w:u w:val="single"/>
        </w:rPr>
        <w:t>Test Procedure</w:t>
      </w:r>
    </w:p>
    <w:p w:rsidR="0021261E" w:rsidRPr="00B31CA6" w:rsidRDefault="0021261E" w:rsidP="0021261E">
      <w:pPr>
        <w:spacing w:after="72" w:line="200" w:lineRule="atLeast"/>
        <w:ind w:left="720"/>
        <w:jc w:val="both"/>
        <w:rPr>
          <w:rFonts w:ascii="Arial" w:hAnsi="Arial" w:cs="Arial"/>
          <w:color w:val="000000"/>
        </w:rPr>
      </w:pPr>
      <w:r w:rsidRPr="00B31CA6">
        <w:rPr>
          <w:rFonts w:ascii="Arial" w:hAnsi="Arial" w:cs="Arial"/>
          <w:color w:val="000000"/>
        </w:rPr>
        <w:t>Consult the Afinion HbA1c Quick Guide for detailed instructions on how to collect and analyze a patient sample or control.</w:t>
      </w:r>
    </w:p>
    <w:p w:rsidR="0021261E" w:rsidRPr="00B31CA6" w:rsidRDefault="0021261E" w:rsidP="0021261E">
      <w:pPr>
        <w:tabs>
          <w:tab w:val="left" w:pos="360"/>
        </w:tabs>
        <w:spacing w:before="120" w:line="200" w:lineRule="atLeast"/>
        <w:ind w:left="360"/>
        <w:jc w:val="both"/>
        <w:rPr>
          <w:rFonts w:ascii="Arial" w:hAnsi="Arial" w:cs="Arial"/>
          <w:b/>
          <w:color w:val="000000"/>
        </w:rPr>
      </w:pPr>
      <w:r w:rsidRPr="00B31CA6">
        <w:rPr>
          <w:rFonts w:ascii="Arial" w:hAnsi="Arial" w:cs="Arial"/>
          <w:b/>
          <w:color w:val="000000"/>
        </w:rPr>
        <w:lastRenderedPageBreak/>
        <w:tab/>
        <w:t>Test procedure overview</w:t>
      </w:r>
    </w:p>
    <w:p w:rsidR="0021261E" w:rsidRPr="00B31CA6" w:rsidRDefault="0021261E" w:rsidP="00DE28EA">
      <w:pPr>
        <w:numPr>
          <w:ilvl w:val="0"/>
          <w:numId w:val="29"/>
        </w:numPr>
        <w:tabs>
          <w:tab w:val="left" w:pos="360"/>
        </w:tabs>
        <w:autoSpaceDE w:val="0"/>
        <w:autoSpaceDN w:val="0"/>
        <w:adjustRightInd w:val="0"/>
        <w:spacing w:before="100" w:line="181" w:lineRule="atLeast"/>
        <w:contextualSpacing/>
        <w:jc w:val="both"/>
        <w:rPr>
          <w:rFonts w:ascii="Arial" w:hAnsi="Arial" w:cs="Arial"/>
          <w:color w:val="000000"/>
        </w:rPr>
      </w:pPr>
      <w:r w:rsidRPr="00B31CA6">
        <w:rPr>
          <w:rFonts w:ascii="Arial" w:hAnsi="Arial" w:cs="Arial"/>
          <w:color w:val="000000"/>
        </w:rPr>
        <w:t>Switch on the Afinion</w:t>
      </w:r>
      <w:r w:rsidRPr="00B31CA6">
        <w:rPr>
          <w:rFonts w:ascii="Arial" w:hAnsi="Arial" w:cs="Arial"/>
          <w:color w:val="000000"/>
          <w:vertAlign w:val="superscript"/>
        </w:rPr>
        <w:t xml:space="preserve"> </w:t>
      </w:r>
      <w:r w:rsidRPr="00B31CA6">
        <w:rPr>
          <w:rFonts w:ascii="Arial" w:hAnsi="Arial" w:cs="Arial"/>
          <w:color w:val="000000"/>
        </w:rPr>
        <w:t xml:space="preserve">Analyzer. </w:t>
      </w:r>
    </w:p>
    <w:p w:rsidR="0021261E" w:rsidRPr="00B31CA6" w:rsidRDefault="0021261E" w:rsidP="00DE28EA">
      <w:pPr>
        <w:numPr>
          <w:ilvl w:val="0"/>
          <w:numId w:val="29"/>
        </w:numPr>
        <w:tabs>
          <w:tab w:val="left" w:pos="360"/>
        </w:tabs>
        <w:autoSpaceDE w:val="0"/>
        <w:autoSpaceDN w:val="0"/>
        <w:adjustRightInd w:val="0"/>
        <w:spacing w:before="100" w:line="181" w:lineRule="atLeast"/>
        <w:contextualSpacing/>
        <w:jc w:val="both"/>
        <w:rPr>
          <w:rFonts w:ascii="Arial" w:hAnsi="Arial" w:cs="Arial"/>
          <w:color w:val="000000"/>
        </w:rPr>
      </w:pPr>
      <w:r w:rsidRPr="00B31CA6">
        <w:rPr>
          <w:rFonts w:ascii="Arial" w:hAnsi="Arial" w:cs="Arial"/>
          <w:color w:val="000000"/>
        </w:rPr>
        <w:t>Allow the Afinion HbA1c Test Cartridge to reach operating temperature 18</w:t>
      </w:r>
      <w:r w:rsidRPr="00B31CA6">
        <w:rPr>
          <w:rFonts w:ascii="Arial" w:hAnsi="Arial" w:cs="Arial"/>
          <w:color w:val="000000"/>
        </w:rPr>
        <w:noBreakHyphen/>
        <w:t>30</w:t>
      </w:r>
      <w:r w:rsidRPr="00B31CA6">
        <w:rPr>
          <w:rFonts w:ascii="Arial" w:hAnsi="Arial" w:cs="Arial"/>
          <w:lang w:val="en"/>
        </w:rPr>
        <w:t>°</w:t>
      </w:r>
      <w:r w:rsidRPr="00B31CA6">
        <w:rPr>
          <w:rFonts w:ascii="Arial" w:hAnsi="Arial" w:cs="Arial"/>
          <w:color w:val="000000"/>
        </w:rPr>
        <w:t>C (64</w:t>
      </w:r>
      <w:r w:rsidRPr="00B31CA6">
        <w:rPr>
          <w:rFonts w:ascii="Arial" w:hAnsi="Arial" w:cs="Arial"/>
          <w:color w:val="000000"/>
        </w:rPr>
        <w:noBreakHyphen/>
        <w:t>86</w:t>
      </w:r>
      <w:r w:rsidRPr="00B31CA6">
        <w:rPr>
          <w:rFonts w:ascii="Arial" w:hAnsi="Arial" w:cs="Arial"/>
          <w:lang w:val="en"/>
        </w:rPr>
        <w:t>°</w:t>
      </w:r>
      <w:r w:rsidRPr="00B31CA6">
        <w:rPr>
          <w:rFonts w:ascii="Arial" w:hAnsi="Arial" w:cs="Arial"/>
          <w:color w:val="000000"/>
        </w:rPr>
        <w:t xml:space="preserve">F). Open the foil pouch just before use. </w:t>
      </w:r>
    </w:p>
    <w:p w:rsidR="0021261E" w:rsidRPr="00B31CA6" w:rsidRDefault="0021261E" w:rsidP="00DE28EA">
      <w:pPr>
        <w:numPr>
          <w:ilvl w:val="0"/>
          <w:numId w:val="29"/>
        </w:numPr>
        <w:tabs>
          <w:tab w:val="left" w:pos="360"/>
        </w:tabs>
        <w:autoSpaceDE w:val="0"/>
        <w:autoSpaceDN w:val="0"/>
        <w:adjustRightInd w:val="0"/>
        <w:spacing w:before="100" w:line="181" w:lineRule="atLeast"/>
        <w:contextualSpacing/>
        <w:rPr>
          <w:rFonts w:ascii="Arial" w:hAnsi="Arial" w:cs="Arial"/>
          <w:color w:val="000000"/>
        </w:rPr>
      </w:pPr>
      <w:r w:rsidRPr="00B31CA6">
        <w:rPr>
          <w:rFonts w:ascii="Arial" w:hAnsi="Arial" w:cs="Arial"/>
          <w:color w:val="000000"/>
        </w:rPr>
        <w:t xml:space="preserve">Be sure to properly label the test cartridge with sample ID. </w:t>
      </w:r>
      <w:r w:rsidRPr="00B31CA6">
        <w:rPr>
          <w:rFonts w:ascii="Arial" w:hAnsi="Arial" w:cs="Arial"/>
          <w:color w:val="000000"/>
        </w:rPr>
        <w:br/>
        <w:t>The test cartridge has a dedicated ID area.</w:t>
      </w:r>
    </w:p>
    <w:p w:rsidR="0021261E" w:rsidRPr="00B31CA6" w:rsidRDefault="0021261E" w:rsidP="00DE28EA">
      <w:pPr>
        <w:numPr>
          <w:ilvl w:val="0"/>
          <w:numId w:val="29"/>
        </w:numPr>
        <w:tabs>
          <w:tab w:val="left" w:pos="360"/>
        </w:tabs>
        <w:autoSpaceDE w:val="0"/>
        <w:autoSpaceDN w:val="0"/>
        <w:adjustRightInd w:val="0"/>
        <w:spacing w:before="100" w:line="181" w:lineRule="atLeast"/>
        <w:contextualSpacing/>
        <w:jc w:val="both"/>
        <w:rPr>
          <w:rFonts w:ascii="Arial" w:hAnsi="Arial" w:cs="Arial"/>
          <w:color w:val="000000"/>
        </w:rPr>
      </w:pPr>
      <w:r w:rsidRPr="00B31CA6">
        <w:rPr>
          <w:rFonts w:ascii="Arial" w:hAnsi="Arial" w:cs="Arial"/>
          <w:color w:val="000000"/>
        </w:rPr>
        <w:t>Collect a specimen following the specimen collection procedure described below. Once the capillary is filled, analysis of the test cartridge must start within 1 minute.</w:t>
      </w:r>
    </w:p>
    <w:p w:rsidR="0021261E" w:rsidRPr="00B31CA6" w:rsidRDefault="0021261E" w:rsidP="00DE28EA">
      <w:pPr>
        <w:numPr>
          <w:ilvl w:val="0"/>
          <w:numId w:val="29"/>
        </w:numPr>
        <w:tabs>
          <w:tab w:val="left" w:pos="360"/>
        </w:tabs>
        <w:autoSpaceDE w:val="0"/>
        <w:autoSpaceDN w:val="0"/>
        <w:adjustRightInd w:val="0"/>
        <w:spacing w:before="100" w:line="181" w:lineRule="atLeast"/>
        <w:contextualSpacing/>
        <w:jc w:val="both"/>
        <w:rPr>
          <w:rFonts w:ascii="Arial" w:hAnsi="Arial" w:cs="Arial"/>
          <w:color w:val="000000"/>
        </w:rPr>
      </w:pPr>
      <w:r w:rsidRPr="00B31CA6">
        <w:rPr>
          <w:rFonts w:ascii="Arial" w:hAnsi="Arial" w:cs="Arial"/>
          <w:color w:val="000000"/>
        </w:rPr>
        <w:t>Insert the test cartridge in the analyzer. The analysis time is approximately 3.5 minutes.</w:t>
      </w:r>
    </w:p>
    <w:p w:rsidR="0021261E" w:rsidRPr="00B31CA6" w:rsidRDefault="0021261E" w:rsidP="00DE28EA">
      <w:pPr>
        <w:numPr>
          <w:ilvl w:val="0"/>
          <w:numId w:val="29"/>
        </w:numPr>
        <w:tabs>
          <w:tab w:val="left" w:pos="360"/>
        </w:tabs>
        <w:autoSpaceDE w:val="0"/>
        <w:autoSpaceDN w:val="0"/>
        <w:adjustRightInd w:val="0"/>
        <w:spacing w:before="100" w:line="181" w:lineRule="atLeast"/>
        <w:contextualSpacing/>
        <w:jc w:val="both"/>
        <w:rPr>
          <w:rFonts w:ascii="Arial" w:hAnsi="Arial" w:cs="Arial"/>
          <w:color w:val="000000"/>
        </w:rPr>
      </w:pPr>
      <w:r w:rsidRPr="00B31CA6">
        <w:rPr>
          <w:rFonts w:ascii="Arial" w:hAnsi="Arial" w:cs="Arial"/>
          <w:color w:val="000000"/>
        </w:rPr>
        <w:t>Record the test results in the proper place according to the laboratory guidelines. The results will be stored in the analyzer electronic result records.</w:t>
      </w:r>
    </w:p>
    <w:p w:rsidR="0021261E" w:rsidRPr="00B31CA6" w:rsidRDefault="0021261E" w:rsidP="00DE28EA">
      <w:pPr>
        <w:numPr>
          <w:ilvl w:val="0"/>
          <w:numId w:val="29"/>
        </w:numPr>
        <w:tabs>
          <w:tab w:val="left" w:pos="360"/>
        </w:tabs>
        <w:autoSpaceDE w:val="0"/>
        <w:autoSpaceDN w:val="0"/>
        <w:adjustRightInd w:val="0"/>
        <w:spacing w:before="100" w:line="181" w:lineRule="atLeast"/>
        <w:contextualSpacing/>
        <w:jc w:val="both"/>
        <w:rPr>
          <w:rFonts w:ascii="Arial" w:hAnsi="Arial" w:cs="Arial"/>
          <w:color w:val="000000"/>
        </w:rPr>
      </w:pPr>
      <w:r w:rsidRPr="00B31CA6">
        <w:rPr>
          <w:rFonts w:ascii="Arial" w:hAnsi="Arial" w:cs="Arial"/>
          <w:color w:val="000000"/>
        </w:rPr>
        <w:t>Remove the test cartridge from the analyzer.</w:t>
      </w:r>
    </w:p>
    <w:p w:rsidR="0021261E" w:rsidRPr="00B31CA6" w:rsidRDefault="0021261E" w:rsidP="0021261E">
      <w:pPr>
        <w:tabs>
          <w:tab w:val="left" w:pos="360"/>
        </w:tabs>
        <w:autoSpaceDE w:val="0"/>
        <w:autoSpaceDN w:val="0"/>
        <w:adjustRightInd w:val="0"/>
        <w:spacing w:before="100" w:line="181" w:lineRule="atLeast"/>
        <w:ind w:left="1080" w:hanging="360"/>
        <w:contextualSpacing/>
        <w:jc w:val="both"/>
        <w:rPr>
          <w:rFonts w:ascii="Arial" w:hAnsi="Arial" w:cs="Arial"/>
        </w:rPr>
      </w:pPr>
    </w:p>
    <w:p w:rsidR="0021261E" w:rsidRPr="00B31CA6" w:rsidRDefault="0021261E" w:rsidP="0021261E">
      <w:pPr>
        <w:tabs>
          <w:tab w:val="left" w:pos="360"/>
        </w:tabs>
        <w:autoSpaceDE w:val="0"/>
        <w:autoSpaceDN w:val="0"/>
        <w:adjustRightInd w:val="0"/>
        <w:spacing w:after="40" w:line="181" w:lineRule="atLeast"/>
        <w:ind w:left="1080" w:hanging="360"/>
        <w:jc w:val="both"/>
        <w:rPr>
          <w:rFonts w:ascii="Arial" w:hAnsi="Arial" w:cs="Arial"/>
          <w:b/>
        </w:rPr>
      </w:pPr>
      <w:r w:rsidRPr="00B31CA6">
        <w:rPr>
          <w:rFonts w:ascii="Arial" w:hAnsi="Arial" w:cs="Arial"/>
          <w:b/>
        </w:rPr>
        <w:t>Important!</w:t>
      </w:r>
    </w:p>
    <w:p w:rsidR="0021261E" w:rsidRPr="00B31CA6" w:rsidRDefault="0021261E" w:rsidP="00DE28EA">
      <w:pPr>
        <w:numPr>
          <w:ilvl w:val="0"/>
          <w:numId w:val="3"/>
        </w:numPr>
        <w:tabs>
          <w:tab w:val="left" w:pos="360"/>
        </w:tabs>
        <w:autoSpaceDE w:val="0"/>
        <w:autoSpaceDN w:val="0"/>
        <w:adjustRightInd w:val="0"/>
        <w:spacing w:before="100" w:line="181" w:lineRule="atLeast"/>
        <w:ind w:left="1080"/>
        <w:contextualSpacing/>
        <w:jc w:val="both"/>
        <w:rPr>
          <w:rFonts w:ascii="Arial" w:hAnsi="Arial" w:cs="Arial"/>
          <w:color w:val="000000"/>
        </w:rPr>
      </w:pPr>
      <w:r w:rsidRPr="00B31CA6">
        <w:rPr>
          <w:rFonts w:ascii="Arial" w:hAnsi="Arial" w:cs="Arial"/>
          <w:color w:val="000000"/>
          <w:u w:val="single"/>
        </w:rPr>
        <w:t>Do not</w:t>
      </w:r>
      <w:r w:rsidRPr="00B31CA6">
        <w:rPr>
          <w:rFonts w:ascii="Arial" w:hAnsi="Arial" w:cs="Arial"/>
          <w:color w:val="000000"/>
        </w:rPr>
        <w:t xml:space="preserve"> use test cartridges that have been accidentally dropped on the floor or lab bench after specimen collection.</w:t>
      </w:r>
    </w:p>
    <w:p w:rsidR="0021261E" w:rsidRPr="00B31CA6" w:rsidRDefault="0021261E" w:rsidP="00DE28EA">
      <w:pPr>
        <w:numPr>
          <w:ilvl w:val="0"/>
          <w:numId w:val="3"/>
        </w:numPr>
        <w:tabs>
          <w:tab w:val="left" w:pos="360"/>
        </w:tabs>
        <w:autoSpaceDE w:val="0"/>
        <w:autoSpaceDN w:val="0"/>
        <w:adjustRightInd w:val="0"/>
        <w:spacing w:before="100" w:line="181" w:lineRule="atLeast"/>
        <w:ind w:left="1080"/>
        <w:contextualSpacing/>
        <w:jc w:val="both"/>
        <w:rPr>
          <w:rFonts w:ascii="Arial" w:hAnsi="Arial" w:cs="Arial"/>
          <w:color w:val="000000"/>
        </w:rPr>
      </w:pPr>
      <w:r w:rsidRPr="00B31CA6">
        <w:rPr>
          <w:rFonts w:ascii="Arial" w:hAnsi="Arial" w:cs="Arial"/>
          <w:color w:val="000000"/>
          <w:u w:val="single"/>
        </w:rPr>
        <w:t>Do not</w:t>
      </w:r>
      <w:r w:rsidRPr="00B31CA6">
        <w:rPr>
          <w:rFonts w:ascii="Arial" w:hAnsi="Arial" w:cs="Arial"/>
          <w:color w:val="000000"/>
        </w:rPr>
        <w:t xml:space="preserve"> used cold test cartridges.</w:t>
      </w:r>
    </w:p>
    <w:p w:rsidR="0021261E" w:rsidRPr="00B31CA6" w:rsidRDefault="0021261E" w:rsidP="00DE28EA">
      <w:pPr>
        <w:numPr>
          <w:ilvl w:val="0"/>
          <w:numId w:val="3"/>
        </w:numPr>
        <w:tabs>
          <w:tab w:val="left" w:pos="360"/>
        </w:tabs>
        <w:autoSpaceDE w:val="0"/>
        <w:autoSpaceDN w:val="0"/>
        <w:adjustRightInd w:val="0"/>
        <w:spacing w:before="100" w:line="181" w:lineRule="atLeast"/>
        <w:ind w:left="1080"/>
        <w:contextualSpacing/>
        <w:jc w:val="both"/>
        <w:rPr>
          <w:rFonts w:ascii="Arial" w:hAnsi="Arial" w:cs="Arial"/>
          <w:color w:val="000000"/>
        </w:rPr>
      </w:pPr>
      <w:r w:rsidRPr="00B31CA6">
        <w:rPr>
          <w:rFonts w:ascii="Arial" w:hAnsi="Arial" w:cs="Arial"/>
          <w:color w:val="000000"/>
        </w:rPr>
        <w:t>Use the test cartridge within 10 minutes after opening the foil pouch.</w:t>
      </w:r>
    </w:p>
    <w:p w:rsidR="0021261E" w:rsidRDefault="0021261E" w:rsidP="00DE28EA">
      <w:pPr>
        <w:numPr>
          <w:ilvl w:val="0"/>
          <w:numId w:val="3"/>
        </w:numPr>
        <w:tabs>
          <w:tab w:val="left" w:pos="360"/>
        </w:tabs>
        <w:autoSpaceDE w:val="0"/>
        <w:autoSpaceDN w:val="0"/>
        <w:adjustRightInd w:val="0"/>
        <w:spacing w:before="100" w:line="181" w:lineRule="atLeast"/>
        <w:ind w:left="1080"/>
        <w:contextualSpacing/>
        <w:jc w:val="both"/>
        <w:rPr>
          <w:rFonts w:ascii="Arial" w:hAnsi="Arial" w:cs="Arial"/>
          <w:color w:val="000000"/>
        </w:rPr>
      </w:pPr>
      <w:r w:rsidRPr="00B31CA6">
        <w:rPr>
          <w:rFonts w:ascii="Arial" w:hAnsi="Arial" w:cs="Arial"/>
          <w:color w:val="000000"/>
        </w:rPr>
        <w:t xml:space="preserve">Analysis of the test cartridge must start within 1 minute after the capillary is filled with sample material. </w:t>
      </w:r>
    </w:p>
    <w:p w:rsidR="0021261E" w:rsidRPr="00B31CA6" w:rsidRDefault="0021261E" w:rsidP="0021261E">
      <w:pPr>
        <w:tabs>
          <w:tab w:val="left" w:pos="360"/>
        </w:tabs>
        <w:autoSpaceDE w:val="0"/>
        <w:autoSpaceDN w:val="0"/>
        <w:adjustRightInd w:val="0"/>
        <w:spacing w:before="100" w:line="181" w:lineRule="atLeast"/>
        <w:ind w:left="1080"/>
        <w:contextualSpacing/>
        <w:jc w:val="both"/>
        <w:rPr>
          <w:rFonts w:ascii="Arial" w:hAnsi="Arial" w:cs="Arial"/>
          <w:color w:val="000000"/>
        </w:rPr>
      </w:pPr>
    </w:p>
    <w:p w:rsidR="00467B43" w:rsidRPr="0021261E" w:rsidRDefault="00467B43" w:rsidP="00DE28EA">
      <w:pPr>
        <w:numPr>
          <w:ilvl w:val="0"/>
          <w:numId w:val="1"/>
        </w:numPr>
        <w:spacing w:after="72" w:line="200" w:lineRule="atLeast"/>
        <w:rPr>
          <w:rFonts w:ascii="Arial" w:hAnsi="Arial" w:cs="Arial"/>
          <w:b/>
          <w:u w:val="single"/>
        </w:rPr>
      </w:pPr>
      <w:r w:rsidRPr="0021261E">
        <w:rPr>
          <w:rFonts w:ascii="Arial" w:hAnsi="Arial" w:cs="Arial"/>
          <w:b/>
          <w:u w:val="single"/>
        </w:rPr>
        <w:t>Result Interpretation</w:t>
      </w:r>
    </w:p>
    <w:p w:rsidR="00467B43" w:rsidRPr="00B31CA6" w:rsidRDefault="00467B43" w:rsidP="00467B43">
      <w:pPr>
        <w:autoSpaceDE w:val="0"/>
        <w:autoSpaceDN w:val="0"/>
        <w:adjustRightInd w:val="0"/>
        <w:spacing w:after="40"/>
        <w:ind w:left="720"/>
        <w:jc w:val="both"/>
        <w:rPr>
          <w:rFonts w:ascii="Arial" w:eastAsia="GillAltOneMT-Light--Identity-H" w:hAnsi="Arial" w:cs="Arial"/>
          <w:b/>
        </w:rPr>
      </w:pPr>
      <w:r w:rsidRPr="00B31CA6">
        <w:rPr>
          <w:rFonts w:ascii="Arial" w:eastAsia="GillAltOneMT-Light--Identity-H" w:hAnsi="Arial" w:cs="Arial"/>
          <w:b/>
        </w:rPr>
        <w:t>Test Result Reporting</w:t>
      </w:r>
    </w:p>
    <w:p w:rsidR="00467B43" w:rsidRDefault="00467B43" w:rsidP="00467B43">
      <w:pPr>
        <w:autoSpaceDE w:val="0"/>
        <w:autoSpaceDN w:val="0"/>
        <w:adjustRightInd w:val="0"/>
        <w:ind w:left="720"/>
        <w:contextualSpacing/>
        <w:jc w:val="both"/>
        <w:rPr>
          <w:rFonts w:ascii="Arial" w:eastAsia="GillAltOneMT-Light--Identity-H" w:hAnsi="Arial" w:cs="Arial"/>
        </w:rPr>
      </w:pPr>
      <w:r w:rsidRPr="00B31CA6">
        <w:rPr>
          <w:rFonts w:ascii="Arial" w:eastAsia="GillAltOneMT-Light--Identity-H" w:hAnsi="Arial" w:cs="Arial"/>
        </w:rPr>
        <w:t>Afinion HbA1c measures the total glycated hemoglobin and the total hemoglobin concentration. The ratio between them is proportional to the % HbA1c of the sample. The analyzer calculates the ratio, and the test result is displayed as % HbA1c.</w:t>
      </w:r>
    </w:p>
    <w:p w:rsidR="00AC59F3" w:rsidRPr="00B31CA6" w:rsidRDefault="00AC59F3" w:rsidP="00467B43">
      <w:pPr>
        <w:autoSpaceDE w:val="0"/>
        <w:autoSpaceDN w:val="0"/>
        <w:adjustRightInd w:val="0"/>
        <w:ind w:left="720"/>
        <w:contextualSpacing/>
        <w:jc w:val="both"/>
        <w:rPr>
          <w:rFonts w:ascii="Arial" w:eastAsia="GillAltOneMT-Light--Identity-H" w:hAnsi="Arial" w:cs="Arial"/>
        </w:rPr>
      </w:pPr>
    </w:p>
    <w:p w:rsidR="00AC59F3" w:rsidRDefault="00AC59F3" w:rsidP="00AC59F3">
      <w:pPr>
        <w:pStyle w:val="ListParagraph"/>
        <w:numPr>
          <w:ilvl w:val="0"/>
          <w:numId w:val="30"/>
        </w:numPr>
        <w:jc w:val="both"/>
        <w:rPr>
          <w:rFonts w:ascii="Arial" w:hAnsi="Arial" w:cs="Arial"/>
        </w:rPr>
      </w:pPr>
      <w:r>
        <w:rPr>
          <w:rFonts w:ascii="Arial" w:hAnsi="Arial" w:cs="Arial"/>
        </w:rPr>
        <w:t xml:space="preserve">Patient results are documented in Labdaq software. </w:t>
      </w:r>
    </w:p>
    <w:p w:rsidR="00AC59F3" w:rsidRDefault="00AC59F3" w:rsidP="00AC59F3">
      <w:pPr>
        <w:pStyle w:val="ListParagraph"/>
        <w:numPr>
          <w:ilvl w:val="0"/>
          <w:numId w:val="30"/>
        </w:numPr>
        <w:jc w:val="both"/>
        <w:rPr>
          <w:rFonts w:ascii="Arial" w:hAnsi="Arial" w:cs="Arial"/>
        </w:rPr>
      </w:pPr>
      <w:r>
        <w:rPr>
          <w:rFonts w:ascii="Arial" w:hAnsi="Arial" w:cs="Arial"/>
        </w:rPr>
        <w:t xml:space="preserve">Upon documenting result, lot number and expiration date will be indicated according to test site utilization. </w:t>
      </w:r>
    </w:p>
    <w:p w:rsidR="00AC59F3" w:rsidRDefault="00AC59F3" w:rsidP="00AC59F3">
      <w:pPr>
        <w:pStyle w:val="ListParagraph"/>
        <w:numPr>
          <w:ilvl w:val="0"/>
          <w:numId w:val="30"/>
        </w:numPr>
        <w:jc w:val="both"/>
        <w:rPr>
          <w:rFonts w:ascii="Arial" w:hAnsi="Arial" w:cs="Arial"/>
        </w:rPr>
      </w:pPr>
      <w:r>
        <w:rPr>
          <w:rFonts w:ascii="Arial" w:hAnsi="Arial" w:cs="Arial"/>
        </w:rPr>
        <w:t xml:space="preserve">Testing personnel will verify information prior to acceptance. </w:t>
      </w:r>
    </w:p>
    <w:p w:rsidR="00AC59F3" w:rsidRPr="00B31CA6" w:rsidRDefault="00AC59F3" w:rsidP="00467B43">
      <w:pPr>
        <w:autoSpaceDE w:val="0"/>
        <w:autoSpaceDN w:val="0"/>
        <w:adjustRightInd w:val="0"/>
        <w:ind w:left="720"/>
        <w:contextualSpacing/>
        <w:rPr>
          <w:rFonts w:ascii="Arial" w:eastAsia="GillAltOneMT-Light--Identity-H" w:hAnsi="Arial" w:cs="Arial"/>
        </w:rPr>
      </w:pPr>
    </w:p>
    <w:p w:rsidR="00467B43" w:rsidRPr="00B31CA6" w:rsidRDefault="00467B43" w:rsidP="00467B43">
      <w:pPr>
        <w:autoSpaceDE w:val="0"/>
        <w:autoSpaceDN w:val="0"/>
        <w:adjustRightInd w:val="0"/>
        <w:spacing w:after="40"/>
        <w:ind w:left="720"/>
        <w:jc w:val="both"/>
        <w:rPr>
          <w:rFonts w:ascii="Arial" w:eastAsia="GillAltOneMT-Light--Identity-H" w:hAnsi="Arial" w:cs="Arial"/>
          <w:b/>
        </w:rPr>
      </w:pPr>
      <w:r w:rsidRPr="00B31CA6">
        <w:rPr>
          <w:rFonts w:ascii="Arial" w:eastAsia="GillAltOneMT-Light--Identity-H" w:hAnsi="Arial" w:cs="Arial"/>
          <w:b/>
        </w:rPr>
        <w:t>Reportable Range</w:t>
      </w:r>
    </w:p>
    <w:p w:rsidR="00467B43" w:rsidRPr="00EA7A74" w:rsidRDefault="00467B43" w:rsidP="00EA7A74">
      <w:pPr>
        <w:autoSpaceDE w:val="0"/>
        <w:autoSpaceDN w:val="0"/>
        <w:adjustRightInd w:val="0"/>
        <w:spacing w:after="40"/>
        <w:ind w:left="1440"/>
        <w:jc w:val="both"/>
        <w:rPr>
          <w:rFonts w:ascii="Arial" w:eastAsia="GillAltOneMT-Light--Identity-H" w:hAnsi="Arial" w:cs="Arial"/>
          <w:b/>
        </w:rPr>
      </w:pPr>
      <w:r w:rsidRPr="00EA7A74">
        <w:rPr>
          <w:rFonts w:ascii="Arial" w:eastAsia="GillAltOneMT-Light--Identity-H" w:hAnsi="Arial" w:cs="Arial"/>
          <w:b/>
          <w:bCs/>
        </w:rPr>
        <w:t>The</w:t>
      </w:r>
      <w:r w:rsidRPr="00EA7A74">
        <w:rPr>
          <w:rFonts w:ascii="Arial" w:eastAsia="GillAltOneMT-Light--Identity-H" w:hAnsi="Arial" w:cs="Arial"/>
          <w:b/>
        </w:rPr>
        <w:t xml:space="preserve"> Afinion HbA1c reportable range is 4.0-15.0% HbA1c.</w:t>
      </w:r>
      <w:r w:rsidR="007B51A5" w:rsidRPr="00EA7A74">
        <w:rPr>
          <w:rFonts w:ascii="Arial" w:eastAsia="GillAltOneMT-Light--Identity-H" w:hAnsi="Arial" w:cs="Arial"/>
          <w:b/>
        </w:rPr>
        <w:t>0</w:t>
      </w:r>
    </w:p>
    <w:p w:rsidR="00467B43" w:rsidRPr="00EA7A74" w:rsidRDefault="00467B43" w:rsidP="00EA7A74">
      <w:pPr>
        <w:autoSpaceDE w:val="0"/>
        <w:autoSpaceDN w:val="0"/>
        <w:adjustRightInd w:val="0"/>
        <w:ind w:left="1440"/>
        <w:contextualSpacing/>
        <w:jc w:val="both"/>
        <w:rPr>
          <w:rFonts w:ascii="Arial" w:eastAsia="GillAltOneMT-Light--Identity-H" w:hAnsi="Arial" w:cs="Arial"/>
          <w:b/>
        </w:rPr>
      </w:pPr>
      <w:r w:rsidRPr="00EA7A74">
        <w:rPr>
          <w:rFonts w:ascii="Arial" w:eastAsia="GillAltOneMT-Light--Identity-H" w:hAnsi="Arial" w:cs="Arial"/>
          <w:b/>
        </w:rPr>
        <w:t>The HbA1c results are displayed in 0.1% intervals.</w:t>
      </w:r>
    </w:p>
    <w:p w:rsidR="00467B43" w:rsidRPr="00EA7A74" w:rsidRDefault="00467B43" w:rsidP="00EA7A74">
      <w:pPr>
        <w:autoSpaceDE w:val="0"/>
        <w:autoSpaceDN w:val="0"/>
        <w:adjustRightInd w:val="0"/>
        <w:ind w:left="1440"/>
        <w:contextualSpacing/>
        <w:jc w:val="both"/>
        <w:rPr>
          <w:rFonts w:ascii="Arial" w:eastAsia="GillAltOneMT-Light--Identity-H" w:hAnsi="Arial" w:cs="Arial"/>
          <w:b/>
        </w:rPr>
      </w:pPr>
      <w:r w:rsidRPr="00EA7A74">
        <w:rPr>
          <w:rFonts w:ascii="Arial" w:eastAsia="GillAltOneMT-Light--Identity-H" w:hAnsi="Arial" w:cs="Arial"/>
          <w:b/>
        </w:rPr>
        <w:t>The hemoglobin measuring range is 6-20 g/dL.</w:t>
      </w:r>
    </w:p>
    <w:p w:rsidR="00467B43" w:rsidRPr="00B31CA6" w:rsidRDefault="00467B43" w:rsidP="00467B43">
      <w:pPr>
        <w:autoSpaceDE w:val="0"/>
        <w:autoSpaceDN w:val="0"/>
        <w:adjustRightInd w:val="0"/>
        <w:ind w:left="720"/>
        <w:contextualSpacing/>
        <w:jc w:val="both"/>
        <w:rPr>
          <w:rFonts w:ascii="Arial" w:eastAsia="GillAltOneMT-Light--Identity-H" w:hAnsi="Arial" w:cs="Arial"/>
        </w:rPr>
      </w:pPr>
    </w:p>
    <w:p w:rsidR="00467B43" w:rsidRPr="00B31CA6" w:rsidRDefault="00467B43" w:rsidP="00467B43">
      <w:pPr>
        <w:autoSpaceDE w:val="0"/>
        <w:autoSpaceDN w:val="0"/>
        <w:adjustRightInd w:val="0"/>
        <w:ind w:left="720"/>
        <w:contextualSpacing/>
        <w:jc w:val="both"/>
        <w:rPr>
          <w:rFonts w:ascii="Arial" w:eastAsia="GillAltOneMT-Light--Identity-H" w:hAnsi="Arial" w:cs="Arial"/>
        </w:rPr>
      </w:pPr>
      <w:r w:rsidRPr="00B31CA6">
        <w:rPr>
          <w:rFonts w:ascii="Arial" w:eastAsia="GillAltOneMT-Light--Identity-H" w:hAnsi="Arial" w:cs="Arial"/>
        </w:rPr>
        <w:t xml:space="preserve">If the patient’s HbA1c or hemoglobin value is outside range, no test result will be reported and the corresponding information code will be displayed. If accurate </w:t>
      </w:r>
      <w:r w:rsidRPr="00B31CA6">
        <w:rPr>
          <w:rFonts w:ascii="Arial" w:eastAsia="GillAltOneMT-Light--Identity-H" w:hAnsi="Arial" w:cs="Arial"/>
        </w:rPr>
        <w:lastRenderedPageBreak/>
        <w:t>results outside the Afinion HbA1c range are required, the sample must be analyzed using another method.</w:t>
      </w:r>
    </w:p>
    <w:p w:rsidR="00467B43" w:rsidRPr="00B31CA6" w:rsidRDefault="00467B43" w:rsidP="00467B43">
      <w:pPr>
        <w:autoSpaceDE w:val="0"/>
        <w:autoSpaceDN w:val="0"/>
        <w:adjustRightInd w:val="0"/>
        <w:ind w:left="720"/>
        <w:contextualSpacing/>
        <w:jc w:val="both"/>
        <w:rPr>
          <w:rFonts w:ascii="Arial" w:eastAsia="GillAltOneMT-Light--Identity-H" w:hAnsi="Arial" w:cs="Arial"/>
        </w:rPr>
      </w:pPr>
    </w:p>
    <w:p w:rsidR="00467B43" w:rsidRPr="00B31CA6" w:rsidRDefault="00467B43" w:rsidP="00467B43">
      <w:pPr>
        <w:autoSpaceDE w:val="0"/>
        <w:autoSpaceDN w:val="0"/>
        <w:adjustRightInd w:val="0"/>
        <w:spacing w:after="40"/>
        <w:ind w:left="720"/>
        <w:jc w:val="both"/>
        <w:rPr>
          <w:rFonts w:ascii="Arial" w:eastAsia="GillAltOneMT-Light--Identity-H" w:hAnsi="Arial" w:cs="Arial"/>
          <w:b/>
        </w:rPr>
      </w:pPr>
      <w:r w:rsidRPr="00B31CA6">
        <w:rPr>
          <w:rFonts w:ascii="Arial" w:eastAsia="GillAltOneMT-Light--Identity-H" w:hAnsi="Arial" w:cs="Arial"/>
          <w:b/>
        </w:rPr>
        <w:t>Values Outside the HbA1c Measuring Range</w:t>
      </w:r>
    </w:p>
    <w:p w:rsidR="00467B43" w:rsidRPr="00B31CA6" w:rsidRDefault="00467B43" w:rsidP="00467B43">
      <w:pPr>
        <w:autoSpaceDE w:val="0"/>
        <w:autoSpaceDN w:val="0"/>
        <w:adjustRightInd w:val="0"/>
        <w:spacing w:after="40"/>
        <w:ind w:left="720"/>
        <w:jc w:val="both"/>
        <w:rPr>
          <w:rFonts w:ascii="Arial" w:hAnsi="Arial" w:cs="Arial"/>
          <w:color w:val="202124"/>
        </w:rPr>
      </w:pPr>
      <w:r w:rsidRPr="00B31CA6">
        <w:rPr>
          <w:rFonts w:ascii="Arial" w:eastAsia="GillAltOneMT-Light--Identity-H" w:hAnsi="Arial" w:cs="Arial"/>
          <w:bCs/>
        </w:rPr>
        <w:t>Valid</w:t>
      </w:r>
      <w:r w:rsidRPr="00B31CA6">
        <w:rPr>
          <w:rFonts w:ascii="Arial" w:eastAsia="GillAltOneMT-Light--Identity-H" w:hAnsi="Arial" w:cs="Arial"/>
        </w:rPr>
        <w:t xml:space="preserve"> for SW </w:t>
      </w:r>
      <w:r w:rsidR="00003E20">
        <w:rPr>
          <w:rFonts w:ascii="Arial" w:hAnsi="Arial" w:cs="Arial"/>
          <w:color w:val="202124"/>
        </w:rPr>
        <w:t>≤ 7.03 (Afinion AS100):</w:t>
      </w:r>
    </w:p>
    <w:p w:rsidR="00467B43" w:rsidRPr="00B31CA6" w:rsidRDefault="00467B43" w:rsidP="00467B43">
      <w:pPr>
        <w:autoSpaceDE w:val="0"/>
        <w:autoSpaceDN w:val="0"/>
        <w:adjustRightInd w:val="0"/>
        <w:spacing w:after="40"/>
        <w:ind w:left="720"/>
        <w:jc w:val="both"/>
        <w:rPr>
          <w:rFonts w:ascii="Arial" w:eastAsia="GillAltOneMT-Light--Identity-H" w:hAnsi="Arial" w:cs="Arial"/>
          <w:bCs/>
        </w:rPr>
      </w:pPr>
      <w:r w:rsidRPr="00B31CA6">
        <w:rPr>
          <w:rFonts w:ascii="Arial" w:eastAsia="GillAltOneMT-Light--Identity-H" w:hAnsi="Arial" w:cs="Arial"/>
          <w:bCs/>
        </w:rPr>
        <w:t>If the patient’s HbA1c value is outside the measuring range, no test result will be reported and an information code will be displayed (see “Troubleshooting”).</w:t>
      </w:r>
    </w:p>
    <w:p w:rsidR="00467B43" w:rsidRPr="00B31CA6" w:rsidRDefault="00467B43" w:rsidP="00467B43">
      <w:pPr>
        <w:autoSpaceDE w:val="0"/>
        <w:autoSpaceDN w:val="0"/>
        <w:adjustRightInd w:val="0"/>
        <w:spacing w:after="40"/>
        <w:ind w:left="720"/>
        <w:jc w:val="both"/>
        <w:rPr>
          <w:rFonts w:ascii="Arial" w:hAnsi="Arial" w:cs="Arial"/>
          <w:color w:val="202124"/>
        </w:rPr>
      </w:pPr>
      <w:r w:rsidRPr="00B31CA6">
        <w:rPr>
          <w:rFonts w:ascii="Arial" w:eastAsia="GillAltOneMT-Light--Identity-H" w:hAnsi="Arial" w:cs="Arial"/>
          <w:bCs/>
        </w:rPr>
        <w:t>Valid</w:t>
      </w:r>
      <w:r w:rsidRPr="00B31CA6">
        <w:rPr>
          <w:rFonts w:ascii="Arial" w:eastAsia="GillAltOneMT-Light--Identity-H" w:hAnsi="Arial" w:cs="Arial"/>
        </w:rPr>
        <w:t xml:space="preserve"> for SW </w:t>
      </w:r>
      <w:r w:rsidRPr="00B31CA6">
        <w:rPr>
          <w:rFonts w:ascii="Arial" w:hAnsi="Arial" w:cs="Arial"/>
          <w:color w:val="202124"/>
        </w:rPr>
        <w:t>≥ 7.04 (Afinion AS100):</w:t>
      </w:r>
    </w:p>
    <w:p w:rsidR="00467B43" w:rsidRPr="00B31CA6" w:rsidRDefault="00467B43" w:rsidP="00DE28EA">
      <w:pPr>
        <w:numPr>
          <w:ilvl w:val="0"/>
          <w:numId w:val="28"/>
        </w:numPr>
        <w:autoSpaceDE w:val="0"/>
        <w:autoSpaceDN w:val="0"/>
        <w:adjustRightInd w:val="0"/>
        <w:spacing w:after="40"/>
        <w:ind w:left="1440"/>
        <w:jc w:val="both"/>
        <w:rPr>
          <w:rFonts w:ascii="Arial" w:hAnsi="Arial" w:cs="Arial"/>
          <w:color w:val="202124"/>
        </w:rPr>
      </w:pPr>
      <w:r w:rsidRPr="00B31CA6">
        <w:rPr>
          <w:rFonts w:ascii="Arial" w:hAnsi="Arial" w:cs="Arial"/>
          <w:color w:val="202124"/>
        </w:rPr>
        <w:t>HbA1c &lt; 4.0% is displayed if the HbA1c value is below the measuring range</w:t>
      </w:r>
    </w:p>
    <w:p w:rsidR="00467B43" w:rsidRPr="00B31CA6" w:rsidRDefault="00467B43" w:rsidP="00DE28EA">
      <w:pPr>
        <w:numPr>
          <w:ilvl w:val="0"/>
          <w:numId w:val="28"/>
        </w:numPr>
        <w:autoSpaceDE w:val="0"/>
        <w:autoSpaceDN w:val="0"/>
        <w:adjustRightInd w:val="0"/>
        <w:spacing w:after="40"/>
        <w:ind w:left="1440"/>
        <w:jc w:val="both"/>
        <w:rPr>
          <w:rFonts w:ascii="Arial" w:hAnsi="Arial" w:cs="Arial"/>
          <w:color w:val="202124"/>
        </w:rPr>
      </w:pPr>
      <w:r w:rsidRPr="00B31CA6">
        <w:rPr>
          <w:rFonts w:ascii="Arial" w:hAnsi="Arial" w:cs="Arial"/>
          <w:color w:val="202124"/>
        </w:rPr>
        <w:t>HbA1c &gt; 15.0% is displayed if the HbA1c value is above the measuring range</w:t>
      </w:r>
    </w:p>
    <w:p w:rsidR="00467B43" w:rsidRPr="00B31CA6" w:rsidRDefault="00467B43" w:rsidP="00467B43">
      <w:pPr>
        <w:autoSpaceDE w:val="0"/>
        <w:autoSpaceDN w:val="0"/>
        <w:adjustRightInd w:val="0"/>
        <w:ind w:left="360"/>
        <w:contextualSpacing/>
        <w:jc w:val="both"/>
        <w:rPr>
          <w:rFonts w:ascii="Arial" w:eastAsia="GillAltOneMT-Light--Identity-H" w:hAnsi="Arial" w:cs="Arial"/>
        </w:rPr>
      </w:pPr>
    </w:p>
    <w:p w:rsidR="00467B43" w:rsidRPr="00B31CA6" w:rsidRDefault="00467B43" w:rsidP="00467B43">
      <w:pPr>
        <w:spacing w:after="72" w:line="200" w:lineRule="atLeast"/>
        <w:ind w:left="720"/>
        <w:jc w:val="both"/>
        <w:rPr>
          <w:rFonts w:ascii="Arial" w:hAnsi="Arial" w:cs="Arial"/>
          <w:b/>
        </w:rPr>
      </w:pPr>
      <w:r w:rsidRPr="00B31CA6">
        <w:rPr>
          <w:rFonts w:ascii="Arial" w:hAnsi="Arial" w:cs="Arial"/>
          <w:b/>
        </w:rPr>
        <w:t>Expected Values</w:t>
      </w:r>
    </w:p>
    <w:p w:rsidR="00467B43" w:rsidRPr="00B31CA6" w:rsidRDefault="00467B43" w:rsidP="00467B43">
      <w:pPr>
        <w:spacing w:after="72" w:line="200" w:lineRule="atLeast"/>
        <w:ind w:left="720"/>
        <w:jc w:val="both"/>
        <w:rPr>
          <w:rFonts w:ascii="Arial" w:hAnsi="Arial" w:cs="Arial"/>
        </w:rPr>
      </w:pPr>
      <w:r w:rsidRPr="00B31CA6">
        <w:rPr>
          <w:rFonts w:ascii="Arial" w:hAnsi="Arial" w:cs="Arial"/>
        </w:rPr>
        <w:t>Recommendations from the American Diabetes Association (ADA):</w:t>
      </w:r>
    </w:p>
    <w:p w:rsidR="00467B43" w:rsidRDefault="00467B43" w:rsidP="00467B43">
      <w:pPr>
        <w:autoSpaceDE w:val="0"/>
        <w:autoSpaceDN w:val="0"/>
        <w:adjustRightInd w:val="0"/>
        <w:spacing w:after="240"/>
        <w:ind w:left="720"/>
        <w:contextualSpacing/>
        <w:jc w:val="both"/>
        <w:rPr>
          <w:rFonts w:ascii="Arial" w:eastAsia="GillAltOneMT-Light--Identity-H" w:hAnsi="Arial" w:cs="Arial"/>
        </w:rPr>
      </w:pPr>
      <w:r w:rsidRPr="00B31CA6">
        <w:rPr>
          <w:rFonts w:ascii="Arial" w:eastAsia="GillAltOneMT-Light--Identity-H" w:hAnsi="Arial" w:cs="Arial"/>
        </w:rPr>
        <w:t>A reasonable goal for many nonpregnant adults with diabetes is HbA1c &lt;7.0% (53 mmol/mol). More or less stringent glycemic goals may be appropriate for individual patients. Goals should be individualized based on duration of diabetes, age/life expectancy, comorbid conditions, known CVD or advanced microvascular complications, hypoglycemia unawareness, and individual patient considerations</w:t>
      </w:r>
      <w:r w:rsidRPr="00B31CA6">
        <w:rPr>
          <w:rFonts w:ascii="Arial" w:eastAsia="GillAltOneMT-Light--Identity-H" w:hAnsi="Arial" w:cs="Arial"/>
          <w:vertAlign w:val="superscript"/>
        </w:rPr>
        <w:t>9</w:t>
      </w:r>
      <w:r w:rsidRPr="00B31CA6">
        <w:rPr>
          <w:rFonts w:ascii="Arial" w:eastAsia="GillAltOneMT-Light--Identity-H" w:hAnsi="Arial" w:cs="Arial"/>
        </w:rPr>
        <w:t>.</w:t>
      </w:r>
    </w:p>
    <w:p w:rsidR="00003E20" w:rsidRDefault="00003E20" w:rsidP="00467B43">
      <w:pPr>
        <w:autoSpaceDE w:val="0"/>
        <w:autoSpaceDN w:val="0"/>
        <w:adjustRightInd w:val="0"/>
        <w:spacing w:after="240"/>
        <w:ind w:left="720"/>
        <w:contextualSpacing/>
        <w:jc w:val="both"/>
        <w:rPr>
          <w:rFonts w:ascii="Arial" w:eastAsia="GillAltOneMT-Light--Identity-H" w:hAnsi="Arial" w:cs="Arial"/>
        </w:rPr>
      </w:pPr>
    </w:p>
    <w:tbl>
      <w:tblPr>
        <w:tblStyle w:val="TableGrid"/>
        <w:tblW w:w="4212" w:type="dxa"/>
        <w:tblInd w:w="1116" w:type="dxa"/>
        <w:tblLook w:val="04A0" w:firstRow="1" w:lastRow="0" w:firstColumn="1" w:lastColumn="0" w:noHBand="0" w:noVBand="1"/>
      </w:tblPr>
      <w:tblGrid>
        <w:gridCol w:w="1512"/>
        <w:gridCol w:w="2700"/>
      </w:tblGrid>
      <w:tr w:rsidR="00003E20" w:rsidTr="00003E20">
        <w:tc>
          <w:tcPr>
            <w:tcW w:w="1512" w:type="dxa"/>
          </w:tcPr>
          <w:p w:rsidR="00003E20" w:rsidRDefault="00003E20" w:rsidP="00467B43">
            <w:pPr>
              <w:autoSpaceDE w:val="0"/>
              <w:autoSpaceDN w:val="0"/>
              <w:adjustRightInd w:val="0"/>
              <w:spacing w:after="240"/>
              <w:contextualSpacing/>
              <w:jc w:val="both"/>
              <w:rPr>
                <w:rFonts w:ascii="Arial" w:eastAsia="GillAltOneMT-Light--Identity-H" w:hAnsi="Arial" w:cs="Arial"/>
              </w:rPr>
            </w:pPr>
            <w:r>
              <w:rPr>
                <w:rFonts w:ascii="Arial" w:eastAsia="GillAltOneMT-Light--Identity-H" w:hAnsi="Arial" w:cs="Arial"/>
              </w:rPr>
              <w:t>% HbA1c</w:t>
            </w:r>
          </w:p>
        </w:tc>
        <w:tc>
          <w:tcPr>
            <w:tcW w:w="2700" w:type="dxa"/>
          </w:tcPr>
          <w:p w:rsidR="00003E20" w:rsidRDefault="00003E20" w:rsidP="00467B43">
            <w:pPr>
              <w:autoSpaceDE w:val="0"/>
              <w:autoSpaceDN w:val="0"/>
              <w:adjustRightInd w:val="0"/>
              <w:spacing w:after="240"/>
              <w:contextualSpacing/>
              <w:jc w:val="both"/>
              <w:rPr>
                <w:rFonts w:ascii="Arial" w:eastAsia="GillAltOneMT-Light--Identity-H" w:hAnsi="Arial" w:cs="Arial"/>
              </w:rPr>
            </w:pPr>
            <w:r>
              <w:rPr>
                <w:rFonts w:ascii="Arial" w:eastAsia="GillAltOneMT-Light--Identity-H" w:hAnsi="Arial" w:cs="Arial"/>
              </w:rPr>
              <w:t>Interpretation of results</w:t>
            </w:r>
          </w:p>
        </w:tc>
      </w:tr>
      <w:tr w:rsidR="00003E20" w:rsidTr="00003E20">
        <w:tc>
          <w:tcPr>
            <w:tcW w:w="1512" w:type="dxa"/>
          </w:tcPr>
          <w:p w:rsidR="00003E20" w:rsidRDefault="00003E20" w:rsidP="00467B43">
            <w:pPr>
              <w:autoSpaceDE w:val="0"/>
              <w:autoSpaceDN w:val="0"/>
              <w:adjustRightInd w:val="0"/>
              <w:spacing w:after="240"/>
              <w:contextualSpacing/>
              <w:jc w:val="both"/>
              <w:rPr>
                <w:rFonts w:ascii="Arial" w:eastAsia="GillAltOneMT-Light--Identity-H" w:hAnsi="Arial" w:cs="Arial"/>
              </w:rPr>
            </w:pPr>
            <w:r>
              <w:rPr>
                <w:rFonts w:ascii="Arial" w:eastAsia="GillAltOneMT-Light--Identity-H" w:hAnsi="Arial" w:cs="Arial"/>
              </w:rPr>
              <w:t>4-6</w:t>
            </w:r>
          </w:p>
        </w:tc>
        <w:tc>
          <w:tcPr>
            <w:tcW w:w="2700" w:type="dxa"/>
          </w:tcPr>
          <w:p w:rsidR="00003E20" w:rsidRDefault="00003E20" w:rsidP="00467B43">
            <w:pPr>
              <w:autoSpaceDE w:val="0"/>
              <w:autoSpaceDN w:val="0"/>
              <w:adjustRightInd w:val="0"/>
              <w:spacing w:after="240"/>
              <w:contextualSpacing/>
              <w:jc w:val="both"/>
              <w:rPr>
                <w:rFonts w:ascii="Arial" w:eastAsia="GillAltOneMT-Light--Identity-H" w:hAnsi="Arial" w:cs="Arial"/>
              </w:rPr>
            </w:pPr>
            <w:r>
              <w:rPr>
                <w:rFonts w:ascii="Arial" w:eastAsia="GillAltOneMT-Light--Identity-H" w:hAnsi="Arial" w:cs="Arial"/>
              </w:rPr>
              <w:t>Non-Diabetic Range</w:t>
            </w:r>
          </w:p>
        </w:tc>
      </w:tr>
      <w:tr w:rsidR="00003E20" w:rsidTr="00003E20">
        <w:tc>
          <w:tcPr>
            <w:tcW w:w="1512" w:type="dxa"/>
          </w:tcPr>
          <w:p w:rsidR="00003E20" w:rsidRDefault="00003E20" w:rsidP="00467B43">
            <w:pPr>
              <w:autoSpaceDE w:val="0"/>
              <w:autoSpaceDN w:val="0"/>
              <w:adjustRightInd w:val="0"/>
              <w:spacing w:after="240"/>
              <w:contextualSpacing/>
              <w:jc w:val="both"/>
              <w:rPr>
                <w:rFonts w:ascii="Arial" w:eastAsia="GillAltOneMT-Light--Identity-H" w:hAnsi="Arial" w:cs="Arial"/>
              </w:rPr>
            </w:pPr>
            <w:r>
              <w:rPr>
                <w:rFonts w:ascii="Arial" w:eastAsia="GillAltOneMT-Light--Identity-H" w:hAnsi="Arial" w:cs="Arial"/>
              </w:rPr>
              <w:t>7</w:t>
            </w:r>
          </w:p>
        </w:tc>
        <w:tc>
          <w:tcPr>
            <w:tcW w:w="2700" w:type="dxa"/>
          </w:tcPr>
          <w:p w:rsidR="00003E20" w:rsidRDefault="00003E20" w:rsidP="00467B43">
            <w:pPr>
              <w:autoSpaceDE w:val="0"/>
              <w:autoSpaceDN w:val="0"/>
              <w:adjustRightInd w:val="0"/>
              <w:spacing w:after="240"/>
              <w:contextualSpacing/>
              <w:jc w:val="both"/>
              <w:rPr>
                <w:rFonts w:ascii="Arial" w:eastAsia="GillAltOneMT-Light--Identity-H" w:hAnsi="Arial" w:cs="Arial"/>
              </w:rPr>
            </w:pPr>
            <w:r>
              <w:rPr>
                <w:rFonts w:ascii="Arial" w:eastAsia="GillAltOneMT-Light--Identity-H" w:hAnsi="Arial" w:cs="Arial"/>
              </w:rPr>
              <w:t>ADA Target</w:t>
            </w:r>
          </w:p>
        </w:tc>
      </w:tr>
      <w:tr w:rsidR="00003E20" w:rsidTr="00003E20">
        <w:tc>
          <w:tcPr>
            <w:tcW w:w="1512" w:type="dxa"/>
          </w:tcPr>
          <w:p w:rsidR="00003E20" w:rsidRDefault="00003E20" w:rsidP="00467B43">
            <w:pPr>
              <w:autoSpaceDE w:val="0"/>
              <w:autoSpaceDN w:val="0"/>
              <w:adjustRightInd w:val="0"/>
              <w:spacing w:after="240"/>
              <w:contextualSpacing/>
              <w:jc w:val="both"/>
              <w:rPr>
                <w:rFonts w:ascii="Arial" w:eastAsia="GillAltOneMT-Light--Identity-H" w:hAnsi="Arial" w:cs="Arial"/>
              </w:rPr>
            </w:pPr>
            <w:r>
              <w:rPr>
                <w:rFonts w:ascii="Arial" w:eastAsia="GillAltOneMT-Light--Identity-H" w:hAnsi="Arial" w:cs="Arial"/>
              </w:rPr>
              <w:t>8-12</w:t>
            </w:r>
          </w:p>
        </w:tc>
        <w:tc>
          <w:tcPr>
            <w:tcW w:w="2700" w:type="dxa"/>
          </w:tcPr>
          <w:p w:rsidR="00003E20" w:rsidRDefault="00003E20" w:rsidP="00467B43">
            <w:pPr>
              <w:autoSpaceDE w:val="0"/>
              <w:autoSpaceDN w:val="0"/>
              <w:adjustRightInd w:val="0"/>
              <w:spacing w:after="240"/>
              <w:contextualSpacing/>
              <w:jc w:val="both"/>
              <w:rPr>
                <w:rFonts w:ascii="Arial" w:eastAsia="GillAltOneMT-Light--Identity-H" w:hAnsi="Arial" w:cs="Arial"/>
              </w:rPr>
            </w:pPr>
            <w:r>
              <w:rPr>
                <w:rFonts w:ascii="Arial" w:eastAsia="GillAltOneMT-Light--Identity-H" w:hAnsi="Arial" w:cs="Arial"/>
              </w:rPr>
              <w:t>Above Target</w:t>
            </w:r>
          </w:p>
        </w:tc>
      </w:tr>
    </w:tbl>
    <w:p w:rsidR="00003E20" w:rsidRDefault="00003E20" w:rsidP="00467B43">
      <w:pPr>
        <w:autoSpaceDE w:val="0"/>
        <w:autoSpaceDN w:val="0"/>
        <w:adjustRightInd w:val="0"/>
        <w:spacing w:after="240"/>
        <w:ind w:left="720"/>
        <w:contextualSpacing/>
        <w:jc w:val="both"/>
        <w:rPr>
          <w:rFonts w:ascii="Arial" w:eastAsia="GillAltOneMT-Light--Identity-H" w:hAnsi="Arial" w:cs="Arial"/>
        </w:rPr>
      </w:pPr>
      <w:r>
        <w:rPr>
          <w:rFonts w:ascii="Arial" w:eastAsia="GillAltOneMT-Light--Identity-H" w:hAnsi="Arial" w:cs="Arial"/>
        </w:rPr>
        <w:t xml:space="preserve">    ADA: American Diabetes Association</w:t>
      </w:r>
    </w:p>
    <w:p w:rsidR="00C30298" w:rsidRPr="00B31CA6" w:rsidRDefault="00C30298" w:rsidP="00467B43">
      <w:pPr>
        <w:autoSpaceDE w:val="0"/>
        <w:autoSpaceDN w:val="0"/>
        <w:adjustRightInd w:val="0"/>
        <w:spacing w:after="240"/>
        <w:ind w:left="720"/>
        <w:contextualSpacing/>
        <w:jc w:val="both"/>
        <w:rPr>
          <w:rFonts w:ascii="Arial" w:eastAsia="GillAltOneMT-Light--Identity-H" w:hAnsi="Arial" w:cs="Arial"/>
        </w:rPr>
      </w:pPr>
    </w:p>
    <w:p w:rsidR="00467B43" w:rsidRPr="00B31CA6" w:rsidRDefault="00467B43" w:rsidP="00467B43">
      <w:pPr>
        <w:spacing w:after="72" w:line="200" w:lineRule="atLeast"/>
        <w:ind w:left="360" w:firstLine="360"/>
        <w:jc w:val="both"/>
        <w:rPr>
          <w:rFonts w:ascii="Arial" w:hAnsi="Arial" w:cs="Arial"/>
          <w:b/>
        </w:rPr>
      </w:pPr>
      <w:r w:rsidRPr="00B31CA6">
        <w:rPr>
          <w:rFonts w:ascii="Arial" w:hAnsi="Arial" w:cs="Arial"/>
          <w:b/>
        </w:rPr>
        <w:t>Interpretation of results</w:t>
      </w:r>
    </w:p>
    <w:p w:rsidR="00467B43" w:rsidRDefault="00467B43" w:rsidP="00467B43">
      <w:pPr>
        <w:autoSpaceDE w:val="0"/>
        <w:autoSpaceDN w:val="0"/>
        <w:adjustRightInd w:val="0"/>
        <w:spacing w:after="240"/>
        <w:ind w:left="720"/>
        <w:contextualSpacing/>
        <w:jc w:val="both"/>
        <w:rPr>
          <w:rFonts w:ascii="Arial" w:eastAsia="GillAltOneMT-Light--Identity-H" w:hAnsi="Arial" w:cs="Arial"/>
        </w:rPr>
      </w:pPr>
      <w:r w:rsidRPr="00B31CA6">
        <w:rPr>
          <w:rFonts w:ascii="Arial" w:hAnsi="Arial" w:cs="Arial"/>
        </w:rPr>
        <w:t>Despite</w:t>
      </w:r>
      <w:r w:rsidRPr="00B31CA6">
        <w:rPr>
          <w:rFonts w:ascii="Arial" w:eastAsia="GillAltOneMT-Light--Identity-H" w:hAnsi="Arial" w:cs="Arial"/>
        </w:rPr>
        <w:t xml:space="preserve"> a reliable internal process control of the analysis, each individual test result should be interpreted with careful consideration to the patient’s medical history, clinical examinations and other laboratory results. If the test result is questionable or if clinical signs and symptoms appear inconsistent with the test result, analyze the Afinion HbA1c Controls and re-test the sample using a new Afinion HbA1 Test Cartridge.</w:t>
      </w:r>
    </w:p>
    <w:p w:rsidR="00C30298" w:rsidRPr="00B31CA6" w:rsidRDefault="00C30298" w:rsidP="00467B43">
      <w:pPr>
        <w:autoSpaceDE w:val="0"/>
        <w:autoSpaceDN w:val="0"/>
        <w:adjustRightInd w:val="0"/>
        <w:spacing w:after="240"/>
        <w:ind w:left="720"/>
        <w:contextualSpacing/>
        <w:jc w:val="both"/>
        <w:rPr>
          <w:rFonts w:ascii="Arial" w:eastAsia="GillAltOneMT-Light--Identity-H" w:hAnsi="Arial" w:cs="Arial"/>
        </w:rPr>
      </w:pPr>
    </w:p>
    <w:p w:rsidR="00B31CA6" w:rsidRPr="00E1104F" w:rsidRDefault="00B31CA6" w:rsidP="00DE28EA">
      <w:pPr>
        <w:numPr>
          <w:ilvl w:val="0"/>
          <w:numId w:val="1"/>
        </w:numPr>
        <w:spacing w:after="72" w:line="200" w:lineRule="atLeast"/>
        <w:rPr>
          <w:rFonts w:ascii="Arial" w:hAnsi="Arial" w:cs="Arial"/>
          <w:b/>
          <w:u w:val="single"/>
        </w:rPr>
      </w:pPr>
      <w:r w:rsidRPr="00E1104F">
        <w:rPr>
          <w:rFonts w:ascii="Arial" w:hAnsi="Arial" w:cs="Arial"/>
          <w:b/>
          <w:u w:val="single"/>
        </w:rPr>
        <w:t>Quality Control</w:t>
      </w: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t>Quality control testing should be done to confirm that the Afinion Analyzer System is working properly and providing reliable results. Only when controls are used routinely and the values are within acceptable ranges can accurate results be assured for patient samples.</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lastRenderedPageBreak/>
        <w:t>Each laboratory site can benefit from establishing a quality control plan. The laboratory director should determine whether additional testing is appropriate for their laboratory.</w:t>
      </w:r>
      <w:r w:rsidR="00E1104F">
        <w:rPr>
          <w:rFonts w:ascii="Arial" w:hAnsi="Arial" w:cs="Arial"/>
          <w:color w:val="000000"/>
        </w:rPr>
        <w:t xml:space="preserve"> </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t>It is recommended to keep a permanent record of all quality control results. The Afinion Analyzer automatically stores the control results in a separate record. Consult the Afinion Analyzer User Manual.</w:t>
      </w:r>
      <w:r w:rsidR="00E1104F">
        <w:rPr>
          <w:rFonts w:ascii="Arial" w:hAnsi="Arial" w:cs="Arial"/>
          <w:color w:val="000000"/>
        </w:rPr>
        <w:t xml:space="preserve"> </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after="40" w:line="200" w:lineRule="atLeast"/>
        <w:ind w:left="720"/>
        <w:jc w:val="both"/>
        <w:rPr>
          <w:rFonts w:ascii="Arial" w:hAnsi="Arial" w:cs="Arial"/>
          <w:b/>
          <w:color w:val="000000"/>
        </w:rPr>
      </w:pPr>
      <w:r w:rsidRPr="00B31CA6">
        <w:rPr>
          <w:rFonts w:ascii="Arial" w:hAnsi="Arial" w:cs="Arial"/>
          <w:b/>
          <w:color w:val="000000"/>
        </w:rPr>
        <w:t>Control material</w:t>
      </w: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t>Afinion HbA1c Control is recommended for routine quality control testing. Consult the Afinion HbA1c Control Package Insert.</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after="40" w:line="200" w:lineRule="atLeast"/>
        <w:ind w:left="720"/>
        <w:jc w:val="both"/>
        <w:rPr>
          <w:rFonts w:ascii="Arial" w:hAnsi="Arial" w:cs="Arial"/>
          <w:b/>
          <w:color w:val="000000"/>
        </w:rPr>
      </w:pPr>
      <w:r w:rsidRPr="00B31CA6">
        <w:rPr>
          <w:rFonts w:ascii="Arial" w:hAnsi="Arial" w:cs="Arial"/>
          <w:b/>
          <w:color w:val="000000"/>
        </w:rPr>
        <w:t>Frequency of control testing</w:t>
      </w: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t>Controls should be analyzed:</w:t>
      </w:r>
    </w:p>
    <w:p w:rsidR="00B31CA6" w:rsidRPr="00B31CA6" w:rsidRDefault="00B31CA6" w:rsidP="00DE28EA">
      <w:pPr>
        <w:numPr>
          <w:ilvl w:val="0"/>
          <w:numId w:val="15"/>
        </w:numPr>
        <w:spacing w:line="200" w:lineRule="atLeast"/>
        <w:ind w:left="1440"/>
        <w:jc w:val="both"/>
        <w:rPr>
          <w:rFonts w:ascii="Arial" w:hAnsi="Arial" w:cs="Arial"/>
          <w:color w:val="000000"/>
        </w:rPr>
      </w:pPr>
      <w:r w:rsidRPr="00B31CA6">
        <w:rPr>
          <w:rFonts w:ascii="Arial" w:hAnsi="Arial" w:cs="Arial"/>
          <w:color w:val="000000"/>
        </w:rPr>
        <w:t>with each new shipment of Afinion HbA1c test kits.</w:t>
      </w:r>
      <w:r w:rsidRPr="00B31CA6">
        <w:rPr>
          <w:rFonts w:ascii="Arial" w:hAnsi="Arial" w:cs="Arial"/>
          <w:noProof/>
          <w:color w:val="000000"/>
        </w:rPr>
        <w:t xml:space="preserve"> </w:t>
      </w:r>
    </w:p>
    <w:p w:rsidR="00B31CA6" w:rsidRPr="00B31CA6" w:rsidRDefault="00B31CA6" w:rsidP="00DE28EA">
      <w:pPr>
        <w:numPr>
          <w:ilvl w:val="0"/>
          <w:numId w:val="15"/>
        </w:numPr>
        <w:spacing w:line="200" w:lineRule="atLeast"/>
        <w:ind w:left="1440"/>
        <w:jc w:val="both"/>
        <w:rPr>
          <w:rFonts w:ascii="Arial" w:hAnsi="Arial" w:cs="Arial"/>
          <w:color w:val="000000"/>
        </w:rPr>
      </w:pPr>
      <w:r w:rsidRPr="00B31CA6">
        <w:rPr>
          <w:rFonts w:ascii="Arial" w:hAnsi="Arial" w:cs="Arial"/>
          <w:color w:val="000000"/>
        </w:rPr>
        <w:t>with each new lot of Afinion HbA1c test kits.</w:t>
      </w:r>
    </w:p>
    <w:p w:rsidR="00B31CA6" w:rsidRPr="00B31CA6" w:rsidRDefault="00B31CA6" w:rsidP="00DE28EA">
      <w:pPr>
        <w:numPr>
          <w:ilvl w:val="0"/>
          <w:numId w:val="15"/>
        </w:numPr>
        <w:spacing w:line="200" w:lineRule="atLeast"/>
        <w:ind w:left="1440"/>
        <w:jc w:val="both"/>
        <w:rPr>
          <w:rFonts w:ascii="Arial" w:hAnsi="Arial" w:cs="Arial"/>
          <w:color w:val="000000"/>
        </w:rPr>
      </w:pPr>
      <w:r w:rsidRPr="00B31CA6">
        <w:rPr>
          <w:rFonts w:ascii="Arial" w:hAnsi="Arial" w:cs="Arial"/>
          <w:color w:val="000000"/>
        </w:rPr>
        <w:t>at least every 30 days.</w:t>
      </w:r>
    </w:p>
    <w:p w:rsidR="00B31CA6" w:rsidRPr="00B31CA6" w:rsidRDefault="00B31CA6" w:rsidP="00DE28EA">
      <w:pPr>
        <w:numPr>
          <w:ilvl w:val="0"/>
          <w:numId w:val="15"/>
        </w:numPr>
        <w:spacing w:line="200" w:lineRule="atLeast"/>
        <w:ind w:left="1440"/>
        <w:jc w:val="both"/>
        <w:rPr>
          <w:rFonts w:ascii="Arial" w:hAnsi="Arial" w:cs="Arial"/>
          <w:color w:val="000000"/>
        </w:rPr>
      </w:pPr>
      <w:r w:rsidRPr="00B31CA6">
        <w:rPr>
          <w:rFonts w:ascii="Arial" w:hAnsi="Arial" w:cs="Arial"/>
          <w:color w:val="000000"/>
        </w:rPr>
        <w:t>when training new operators in correct use of the Afinion HbA1c and the Afinion Analyzer.</w:t>
      </w:r>
    </w:p>
    <w:p w:rsidR="00B31CA6" w:rsidRPr="00B31CA6" w:rsidRDefault="00B31CA6" w:rsidP="00DE28EA">
      <w:pPr>
        <w:numPr>
          <w:ilvl w:val="0"/>
          <w:numId w:val="15"/>
        </w:numPr>
        <w:spacing w:line="200" w:lineRule="atLeast"/>
        <w:ind w:left="1440"/>
        <w:jc w:val="both"/>
        <w:rPr>
          <w:rFonts w:ascii="Arial" w:hAnsi="Arial" w:cs="Arial"/>
          <w:color w:val="000000"/>
        </w:rPr>
      </w:pPr>
      <w:r w:rsidRPr="00B31CA6">
        <w:rPr>
          <w:rFonts w:ascii="Arial" w:hAnsi="Arial" w:cs="Arial"/>
          <w:color w:val="000000"/>
        </w:rPr>
        <w:t>anytime an unexpected test result is obtained.</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t>Make sure to test controls in compliance with any local, state and/or federal regulations. CLIA waived laboratories should follow the manufacturer’s quality control guidelines.</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after="40" w:line="200" w:lineRule="atLeast"/>
        <w:ind w:left="720"/>
        <w:jc w:val="both"/>
        <w:rPr>
          <w:rFonts w:ascii="Arial" w:hAnsi="Arial" w:cs="Arial"/>
          <w:color w:val="000000"/>
        </w:rPr>
      </w:pPr>
      <w:r w:rsidRPr="00B31CA6">
        <w:rPr>
          <w:rFonts w:ascii="Arial" w:hAnsi="Arial" w:cs="Arial"/>
          <w:b/>
          <w:color w:val="000000"/>
        </w:rPr>
        <w:t>Verifying the control results</w:t>
      </w: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t>The measured value should be within the acceptable limits stated for the control. Consult the Afinion HbA1c Control Package Insert.</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t>If the measured value  is outside the acceptable limits, make sure that:</w:t>
      </w:r>
    </w:p>
    <w:p w:rsidR="00B31CA6" w:rsidRPr="00B31CA6" w:rsidRDefault="00B31CA6" w:rsidP="00DE28EA">
      <w:pPr>
        <w:numPr>
          <w:ilvl w:val="0"/>
          <w:numId w:val="16"/>
        </w:numPr>
        <w:spacing w:line="200" w:lineRule="atLeast"/>
        <w:ind w:left="1440"/>
        <w:jc w:val="both"/>
        <w:rPr>
          <w:rFonts w:ascii="Arial" w:hAnsi="Arial" w:cs="Arial"/>
          <w:color w:val="000000"/>
        </w:rPr>
      </w:pPr>
      <w:r w:rsidRPr="00B31CA6">
        <w:rPr>
          <w:rFonts w:ascii="Arial" w:hAnsi="Arial" w:cs="Arial"/>
          <w:color w:val="000000"/>
        </w:rPr>
        <w:t xml:space="preserve">patient samples are not analyzed </w:t>
      </w:r>
    </w:p>
    <w:p w:rsidR="00B31CA6" w:rsidRPr="00B31CA6" w:rsidRDefault="00B31CA6" w:rsidP="00DE28EA">
      <w:pPr>
        <w:numPr>
          <w:ilvl w:val="0"/>
          <w:numId w:val="16"/>
        </w:numPr>
        <w:spacing w:line="200" w:lineRule="atLeast"/>
        <w:ind w:left="1440"/>
        <w:jc w:val="both"/>
        <w:rPr>
          <w:rFonts w:ascii="Arial" w:hAnsi="Arial" w:cs="Arial"/>
          <w:color w:val="000000"/>
        </w:rPr>
      </w:pPr>
      <w:r w:rsidRPr="00B31CA6">
        <w:rPr>
          <w:rFonts w:ascii="Arial" w:hAnsi="Arial" w:cs="Arial"/>
          <w:color w:val="000000"/>
        </w:rPr>
        <w:t>the control vial is not expired.</w:t>
      </w:r>
    </w:p>
    <w:p w:rsidR="00B31CA6" w:rsidRPr="00B31CA6" w:rsidRDefault="00B31CA6" w:rsidP="00DE28EA">
      <w:pPr>
        <w:numPr>
          <w:ilvl w:val="0"/>
          <w:numId w:val="16"/>
        </w:numPr>
        <w:spacing w:line="200" w:lineRule="atLeast"/>
        <w:ind w:left="1440"/>
        <w:jc w:val="both"/>
        <w:rPr>
          <w:rFonts w:ascii="Arial" w:hAnsi="Arial" w:cs="Arial"/>
          <w:color w:val="000000"/>
        </w:rPr>
      </w:pPr>
      <w:r w:rsidRPr="00B31CA6">
        <w:rPr>
          <w:rFonts w:ascii="Arial" w:hAnsi="Arial" w:cs="Arial"/>
          <w:color w:val="000000"/>
        </w:rPr>
        <w:t xml:space="preserve">the control vial has not been in use for more than 60 days. </w:t>
      </w:r>
    </w:p>
    <w:p w:rsidR="00B31CA6" w:rsidRPr="00B31CA6" w:rsidRDefault="00B31CA6" w:rsidP="00DE28EA">
      <w:pPr>
        <w:numPr>
          <w:ilvl w:val="0"/>
          <w:numId w:val="16"/>
        </w:numPr>
        <w:spacing w:line="200" w:lineRule="atLeast"/>
        <w:ind w:left="1440"/>
        <w:jc w:val="both"/>
        <w:rPr>
          <w:rFonts w:ascii="Arial" w:hAnsi="Arial" w:cs="Arial"/>
          <w:color w:val="000000"/>
        </w:rPr>
      </w:pPr>
      <w:r w:rsidRPr="00B31CA6">
        <w:rPr>
          <w:rFonts w:ascii="Arial" w:hAnsi="Arial" w:cs="Arial"/>
          <w:color w:val="000000"/>
        </w:rPr>
        <w:t xml:space="preserve">the control vial has been stored according to recommendations. </w:t>
      </w:r>
    </w:p>
    <w:p w:rsidR="00B31CA6" w:rsidRPr="00B31CA6" w:rsidRDefault="00B31CA6" w:rsidP="00DE28EA">
      <w:pPr>
        <w:numPr>
          <w:ilvl w:val="0"/>
          <w:numId w:val="16"/>
        </w:numPr>
        <w:spacing w:line="200" w:lineRule="atLeast"/>
        <w:ind w:left="1440"/>
        <w:jc w:val="both"/>
        <w:rPr>
          <w:rFonts w:ascii="Arial" w:hAnsi="Arial" w:cs="Arial"/>
          <w:color w:val="000000"/>
        </w:rPr>
      </w:pPr>
      <w:r w:rsidRPr="00B31CA6">
        <w:rPr>
          <w:rFonts w:ascii="Arial" w:hAnsi="Arial" w:cs="Arial"/>
          <w:color w:val="000000"/>
        </w:rPr>
        <w:t>Afinion HbA1c Test Cartridges have been stored according to recommendations.</w:t>
      </w:r>
    </w:p>
    <w:p w:rsidR="00B31CA6" w:rsidRPr="00B31CA6" w:rsidRDefault="00B31CA6" w:rsidP="00DE28EA">
      <w:pPr>
        <w:numPr>
          <w:ilvl w:val="0"/>
          <w:numId w:val="16"/>
        </w:numPr>
        <w:spacing w:line="200" w:lineRule="atLeast"/>
        <w:ind w:left="1440"/>
        <w:jc w:val="both"/>
        <w:rPr>
          <w:rFonts w:ascii="Arial" w:hAnsi="Arial" w:cs="Arial"/>
          <w:color w:val="000000"/>
        </w:rPr>
      </w:pPr>
      <w:r w:rsidRPr="00B31CA6">
        <w:rPr>
          <w:rFonts w:ascii="Arial" w:hAnsi="Arial" w:cs="Arial"/>
          <w:color w:val="000000"/>
        </w:rPr>
        <w:t>there is no visual sign of bacterial or fungal contamination of the control vial.</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t>Correct any procedural error and retest the control material.</w:t>
      </w:r>
    </w:p>
    <w:p w:rsidR="00B31CA6" w:rsidRPr="00B31CA6" w:rsidRDefault="00B31CA6" w:rsidP="00E1104F">
      <w:pPr>
        <w:spacing w:line="200" w:lineRule="atLeast"/>
        <w:ind w:left="720"/>
        <w:jc w:val="both"/>
        <w:rPr>
          <w:rFonts w:ascii="Arial" w:hAnsi="Arial" w:cs="Arial"/>
          <w:color w:val="000000"/>
        </w:rPr>
      </w:pPr>
    </w:p>
    <w:p w:rsidR="00B31CA6" w:rsidRPr="00B31CA6" w:rsidRDefault="00B31CA6" w:rsidP="00E1104F">
      <w:pPr>
        <w:spacing w:line="200" w:lineRule="atLeast"/>
        <w:ind w:left="720"/>
        <w:jc w:val="both"/>
        <w:rPr>
          <w:rFonts w:ascii="Arial" w:hAnsi="Arial" w:cs="Arial"/>
          <w:color w:val="000000"/>
        </w:rPr>
      </w:pPr>
      <w:r w:rsidRPr="00B31CA6">
        <w:rPr>
          <w:rFonts w:ascii="Arial" w:hAnsi="Arial" w:cs="Arial"/>
          <w:color w:val="000000"/>
        </w:rPr>
        <w:t xml:space="preserve">If </w:t>
      </w:r>
      <w:r w:rsidRPr="00B31CA6">
        <w:rPr>
          <w:rFonts w:ascii="Arial" w:hAnsi="Arial" w:cs="Arial"/>
          <w:i/>
          <w:color w:val="000000"/>
        </w:rPr>
        <w:t>no</w:t>
      </w:r>
      <w:r w:rsidRPr="00B31CA6">
        <w:rPr>
          <w:rFonts w:ascii="Arial" w:hAnsi="Arial" w:cs="Arial"/>
          <w:color w:val="000000"/>
        </w:rPr>
        <w:t xml:space="preserve"> procedural errors are detected:</w:t>
      </w:r>
    </w:p>
    <w:p w:rsidR="00B31CA6" w:rsidRPr="00B31CA6" w:rsidRDefault="00B31CA6" w:rsidP="00DE28EA">
      <w:pPr>
        <w:numPr>
          <w:ilvl w:val="0"/>
          <w:numId w:val="17"/>
        </w:numPr>
        <w:spacing w:line="200" w:lineRule="atLeast"/>
        <w:ind w:left="1440"/>
        <w:jc w:val="both"/>
        <w:rPr>
          <w:rFonts w:ascii="Arial" w:hAnsi="Arial" w:cs="Arial"/>
          <w:color w:val="000000"/>
        </w:rPr>
      </w:pPr>
      <w:r w:rsidRPr="00B31CA6">
        <w:rPr>
          <w:rFonts w:ascii="Arial" w:hAnsi="Arial" w:cs="Arial"/>
          <w:color w:val="000000"/>
        </w:rPr>
        <w:t>investigate the frequency of control failures.</w:t>
      </w:r>
    </w:p>
    <w:p w:rsidR="00B31CA6" w:rsidRPr="00B31CA6" w:rsidRDefault="00B31CA6" w:rsidP="00DE28EA">
      <w:pPr>
        <w:numPr>
          <w:ilvl w:val="0"/>
          <w:numId w:val="17"/>
        </w:numPr>
        <w:spacing w:line="200" w:lineRule="atLeast"/>
        <w:ind w:left="1440"/>
        <w:jc w:val="both"/>
        <w:rPr>
          <w:rFonts w:ascii="Arial" w:hAnsi="Arial" w:cs="Arial"/>
          <w:color w:val="000000"/>
        </w:rPr>
      </w:pPr>
      <w:r w:rsidRPr="00B31CA6">
        <w:rPr>
          <w:rFonts w:ascii="Arial" w:hAnsi="Arial" w:cs="Arial"/>
          <w:color w:val="000000"/>
        </w:rPr>
        <w:lastRenderedPageBreak/>
        <w:t>examine the laboratory’s quality control records.</w:t>
      </w:r>
    </w:p>
    <w:p w:rsidR="00B31CA6" w:rsidRPr="00B31CA6" w:rsidRDefault="00B31CA6" w:rsidP="00DE28EA">
      <w:pPr>
        <w:numPr>
          <w:ilvl w:val="0"/>
          <w:numId w:val="17"/>
        </w:numPr>
        <w:spacing w:line="200" w:lineRule="atLeast"/>
        <w:ind w:left="1440"/>
        <w:jc w:val="both"/>
        <w:rPr>
          <w:rFonts w:ascii="Arial" w:hAnsi="Arial" w:cs="Arial"/>
          <w:color w:val="000000"/>
        </w:rPr>
      </w:pPr>
      <w:r w:rsidRPr="00B31CA6">
        <w:rPr>
          <w:rFonts w:ascii="Arial" w:hAnsi="Arial" w:cs="Arial"/>
          <w:color w:val="000000"/>
        </w:rPr>
        <w:t>ensure that there is no trend in out-of-range quality control results.</w:t>
      </w:r>
    </w:p>
    <w:p w:rsidR="00B31CA6" w:rsidRPr="00B31CA6" w:rsidRDefault="00B31CA6" w:rsidP="00DE28EA">
      <w:pPr>
        <w:numPr>
          <w:ilvl w:val="0"/>
          <w:numId w:val="17"/>
        </w:numPr>
        <w:spacing w:line="200" w:lineRule="atLeast"/>
        <w:ind w:left="1440"/>
        <w:jc w:val="both"/>
        <w:rPr>
          <w:rFonts w:ascii="Arial" w:hAnsi="Arial" w:cs="Arial"/>
          <w:color w:val="000000"/>
        </w:rPr>
      </w:pPr>
      <w:r w:rsidRPr="00B31CA6">
        <w:rPr>
          <w:rFonts w:ascii="Arial" w:hAnsi="Arial" w:cs="Arial"/>
          <w:color w:val="000000"/>
        </w:rPr>
        <w:t>retest the control material using a new control vial.</w:t>
      </w:r>
    </w:p>
    <w:p w:rsidR="00B31CA6" w:rsidRPr="00B31CA6" w:rsidRDefault="00B31CA6" w:rsidP="00DE28EA">
      <w:pPr>
        <w:numPr>
          <w:ilvl w:val="0"/>
          <w:numId w:val="17"/>
        </w:numPr>
        <w:spacing w:line="200" w:lineRule="atLeast"/>
        <w:ind w:left="1440"/>
        <w:jc w:val="both"/>
        <w:rPr>
          <w:rFonts w:ascii="Arial" w:hAnsi="Arial" w:cs="Arial"/>
          <w:color w:val="000000"/>
        </w:rPr>
      </w:pPr>
      <w:r w:rsidRPr="00B31CA6">
        <w:rPr>
          <w:rFonts w:ascii="Arial" w:hAnsi="Arial" w:cs="Arial"/>
          <w:color w:val="000000"/>
        </w:rPr>
        <w:t>patient results must be declared invalid. Contact customer service for advice. Do not analyze patient samples</w:t>
      </w:r>
    </w:p>
    <w:p w:rsidR="00B31CA6" w:rsidRPr="00B31CA6" w:rsidRDefault="00B31CA6" w:rsidP="00B31CA6">
      <w:pPr>
        <w:spacing w:line="200" w:lineRule="atLeast"/>
        <w:ind w:left="360"/>
        <w:jc w:val="both"/>
        <w:rPr>
          <w:rFonts w:ascii="Arial" w:hAnsi="Arial" w:cs="Arial"/>
          <w:color w:val="000000"/>
        </w:rPr>
      </w:pPr>
    </w:p>
    <w:p w:rsidR="00B31CA6" w:rsidRPr="0021261E" w:rsidRDefault="00B31CA6" w:rsidP="00DE28EA">
      <w:pPr>
        <w:pStyle w:val="ListParagraph"/>
        <w:numPr>
          <w:ilvl w:val="0"/>
          <w:numId w:val="1"/>
        </w:numPr>
        <w:spacing w:line="200" w:lineRule="atLeast"/>
        <w:jc w:val="both"/>
        <w:rPr>
          <w:rFonts w:ascii="Arial" w:hAnsi="Arial" w:cs="Arial"/>
          <w:b/>
          <w:color w:val="000000"/>
          <w:u w:val="single"/>
        </w:rPr>
      </w:pPr>
      <w:r w:rsidRPr="0021261E">
        <w:rPr>
          <w:rFonts w:ascii="Arial" w:hAnsi="Arial" w:cs="Arial"/>
          <w:b/>
          <w:color w:val="000000"/>
          <w:u w:val="single"/>
        </w:rPr>
        <w:t>Troubleshooting</w:t>
      </w:r>
    </w:p>
    <w:p w:rsidR="00B31CA6" w:rsidRPr="00B31CA6" w:rsidRDefault="00B31CA6" w:rsidP="00AC2E13">
      <w:pPr>
        <w:spacing w:line="200" w:lineRule="atLeast"/>
        <w:ind w:left="720"/>
        <w:jc w:val="both"/>
        <w:rPr>
          <w:rFonts w:ascii="Arial" w:hAnsi="Arial" w:cs="Arial"/>
          <w:color w:val="000000"/>
        </w:rPr>
      </w:pPr>
      <w:r w:rsidRPr="00B31CA6">
        <w:rPr>
          <w:rFonts w:ascii="Arial" w:hAnsi="Arial" w:cs="Arial"/>
          <w:color w:val="000000"/>
        </w:rPr>
        <w:t xml:space="preserve">To ensure that correct HbA1c results are reported, the Afinion Analyzer performs optical, electronic and mechanical controls. The capillary, the test cartridge and all individual processing steps are checked during the course of each analysis. When problems are detected, the analyzer terminates the test and displays an information code. </w:t>
      </w:r>
    </w:p>
    <w:p w:rsidR="00B31CA6" w:rsidRPr="00B31CA6" w:rsidRDefault="00B31CA6" w:rsidP="00AC2E13">
      <w:pPr>
        <w:spacing w:after="40" w:line="200" w:lineRule="atLeast"/>
        <w:ind w:left="720"/>
        <w:jc w:val="both"/>
        <w:rPr>
          <w:rFonts w:ascii="Arial" w:hAnsi="Arial" w:cs="Arial"/>
          <w:color w:val="000000"/>
        </w:rPr>
      </w:pPr>
    </w:p>
    <w:p w:rsidR="00B31CA6" w:rsidRPr="00B31CA6" w:rsidRDefault="00B31CA6" w:rsidP="00AC2E13">
      <w:pPr>
        <w:spacing w:after="40" w:line="200" w:lineRule="atLeast"/>
        <w:ind w:left="720"/>
        <w:jc w:val="both"/>
        <w:rPr>
          <w:rFonts w:ascii="Arial" w:hAnsi="Arial" w:cs="Arial"/>
          <w:color w:val="000000"/>
        </w:rPr>
      </w:pPr>
      <w:r w:rsidRPr="00B31CA6">
        <w:rPr>
          <w:rFonts w:ascii="Arial" w:hAnsi="Arial" w:cs="Arial"/>
          <w:color w:val="000000"/>
        </w:rPr>
        <w:t xml:space="preserve">The table below contains the assay specific information codes. Consult the Afinion Analyzer User Manual for information codes not listed in this table: </w:t>
      </w:r>
    </w:p>
    <w:p w:rsidR="00B31CA6" w:rsidRPr="00B31CA6" w:rsidRDefault="00B31CA6" w:rsidP="00B31CA6">
      <w:pPr>
        <w:spacing w:after="40" w:line="200" w:lineRule="atLeast"/>
        <w:ind w:left="360"/>
        <w:jc w:val="both"/>
        <w:rPr>
          <w:rFonts w:ascii="Arial" w:hAnsi="Arial" w:cs="Arial"/>
          <w:color w:val="000000"/>
        </w:rPr>
      </w:pPr>
    </w:p>
    <w:tbl>
      <w:tblPr>
        <w:tblW w:w="0" w:type="auto"/>
        <w:tblInd w:w="118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710"/>
        <w:gridCol w:w="720"/>
        <w:gridCol w:w="5238"/>
      </w:tblGrid>
      <w:tr w:rsidR="00B31CA6" w:rsidRPr="00B31CA6" w:rsidTr="00CE0F41">
        <w:tc>
          <w:tcPr>
            <w:tcW w:w="2430" w:type="dxa"/>
            <w:gridSpan w:val="2"/>
            <w:tcBorders>
              <w:top w:val="single" w:sz="4" w:space="0" w:color="000000"/>
              <w:bottom w:val="single" w:sz="4" w:space="0" w:color="000000"/>
            </w:tcBorders>
            <w:shd w:val="clear" w:color="auto" w:fill="63666A"/>
          </w:tcPr>
          <w:p w:rsidR="00B31CA6" w:rsidRPr="0021261E" w:rsidRDefault="00B31CA6" w:rsidP="00CE0F41">
            <w:pPr>
              <w:spacing w:after="40" w:line="200" w:lineRule="atLeast"/>
              <w:rPr>
                <w:rFonts w:ascii="Arial" w:hAnsi="Arial" w:cs="Arial"/>
                <w:color w:val="FFFFFF"/>
                <w:sz w:val="20"/>
                <w:szCs w:val="20"/>
              </w:rPr>
            </w:pPr>
            <w:r w:rsidRPr="0021261E">
              <w:rPr>
                <w:rFonts w:ascii="Arial" w:hAnsi="Arial" w:cs="Arial"/>
                <w:color w:val="FFFFFF"/>
                <w:sz w:val="20"/>
                <w:szCs w:val="20"/>
              </w:rPr>
              <w:t xml:space="preserve">  CODE #</w:t>
            </w:r>
          </w:p>
        </w:tc>
        <w:tc>
          <w:tcPr>
            <w:tcW w:w="5238" w:type="dxa"/>
            <w:tcBorders>
              <w:top w:val="single" w:sz="4" w:space="0" w:color="000000"/>
              <w:bottom w:val="single" w:sz="4" w:space="0" w:color="000000"/>
            </w:tcBorders>
            <w:shd w:val="clear" w:color="auto" w:fill="63666A"/>
          </w:tcPr>
          <w:p w:rsidR="00B31CA6" w:rsidRPr="0021261E" w:rsidRDefault="00B31CA6" w:rsidP="00CE0F41">
            <w:pPr>
              <w:spacing w:after="40" w:line="200" w:lineRule="atLeast"/>
              <w:rPr>
                <w:rFonts w:ascii="Arial" w:hAnsi="Arial" w:cs="Arial"/>
                <w:color w:val="FFFFFF"/>
                <w:sz w:val="20"/>
                <w:szCs w:val="20"/>
              </w:rPr>
            </w:pPr>
            <w:r w:rsidRPr="0021261E">
              <w:rPr>
                <w:rFonts w:ascii="Arial" w:hAnsi="Arial" w:cs="Arial"/>
                <w:color w:val="FFFFFF"/>
                <w:sz w:val="20"/>
                <w:szCs w:val="20"/>
              </w:rPr>
              <w:t xml:space="preserve">                CAUSE</w:t>
            </w:r>
          </w:p>
        </w:tc>
      </w:tr>
      <w:tr w:rsidR="00B31CA6" w:rsidRPr="00B31CA6" w:rsidTr="00CE0F41">
        <w:tc>
          <w:tcPr>
            <w:tcW w:w="1710" w:type="dxa"/>
            <w:tcBorders>
              <w:top w:val="single" w:sz="4" w:space="0" w:color="000000"/>
            </w:tcBorders>
            <w:shd w:val="clear" w:color="auto" w:fill="auto"/>
          </w:tcPr>
          <w:p w:rsidR="00B31CA6" w:rsidRPr="0021261E" w:rsidRDefault="00B31CA6" w:rsidP="00CE0F41">
            <w:pPr>
              <w:spacing w:after="40" w:line="200" w:lineRule="atLeast"/>
              <w:ind w:firstLine="270"/>
              <w:jc w:val="both"/>
              <w:rPr>
                <w:rFonts w:ascii="Arial" w:hAnsi="Arial" w:cs="Arial"/>
                <w:color w:val="000000"/>
                <w:sz w:val="20"/>
                <w:szCs w:val="20"/>
              </w:rPr>
            </w:pPr>
            <w:r w:rsidRPr="0021261E">
              <w:rPr>
                <w:rFonts w:ascii="Arial" w:hAnsi="Arial" w:cs="Arial"/>
                <w:color w:val="000000"/>
                <w:sz w:val="20"/>
                <w:szCs w:val="20"/>
              </w:rPr>
              <w:t>103</w:t>
            </w:r>
          </w:p>
        </w:tc>
        <w:tc>
          <w:tcPr>
            <w:tcW w:w="5958" w:type="dxa"/>
            <w:gridSpan w:val="2"/>
            <w:tcBorders>
              <w:top w:val="single" w:sz="4" w:space="0" w:color="000000"/>
            </w:tcBorders>
            <w:shd w:val="clear" w:color="auto" w:fill="auto"/>
          </w:tcPr>
          <w:p w:rsidR="00B31CA6" w:rsidRPr="0021261E" w:rsidRDefault="00B31CA6" w:rsidP="00CE0F41">
            <w:pPr>
              <w:spacing w:after="40" w:line="200" w:lineRule="atLeast"/>
              <w:jc w:val="both"/>
              <w:rPr>
                <w:rFonts w:ascii="Arial" w:hAnsi="Arial" w:cs="Arial"/>
                <w:color w:val="000000"/>
                <w:sz w:val="20"/>
                <w:szCs w:val="20"/>
              </w:rPr>
            </w:pPr>
            <w:r w:rsidRPr="0021261E">
              <w:rPr>
                <w:rFonts w:ascii="Arial" w:hAnsi="Arial" w:cs="Arial"/>
                <w:color w:val="000000"/>
                <w:sz w:val="20"/>
                <w:szCs w:val="20"/>
              </w:rPr>
              <w:t>The hemoglobin concentration is below 6.0 g/dL</w:t>
            </w:r>
          </w:p>
        </w:tc>
      </w:tr>
      <w:tr w:rsidR="00B31CA6" w:rsidRPr="00B31CA6" w:rsidTr="00CE0F41">
        <w:tc>
          <w:tcPr>
            <w:tcW w:w="1710" w:type="dxa"/>
            <w:shd w:val="clear" w:color="auto" w:fill="auto"/>
          </w:tcPr>
          <w:p w:rsidR="00B31CA6" w:rsidRPr="0021261E" w:rsidRDefault="00B31CA6" w:rsidP="00CE0F41">
            <w:pPr>
              <w:spacing w:after="40" w:line="200" w:lineRule="atLeast"/>
              <w:ind w:firstLine="270"/>
              <w:jc w:val="both"/>
              <w:rPr>
                <w:rFonts w:ascii="Arial" w:hAnsi="Arial" w:cs="Arial"/>
                <w:color w:val="000000"/>
                <w:sz w:val="20"/>
                <w:szCs w:val="20"/>
              </w:rPr>
            </w:pPr>
            <w:r w:rsidRPr="0021261E">
              <w:rPr>
                <w:rFonts w:ascii="Arial" w:hAnsi="Arial" w:cs="Arial"/>
                <w:color w:val="000000"/>
                <w:sz w:val="20"/>
                <w:szCs w:val="20"/>
              </w:rPr>
              <w:t>104</w:t>
            </w:r>
          </w:p>
        </w:tc>
        <w:tc>
          <w:tcPr>
            <w:tcW w:w="5958" w:type="dxa"/>
            <w:gridSpan w:val="2"/>
            <w:shd w:val="clear" w:color="auto" w:fill="auto"/>
          </w:tcPr>
          <w:p w:rsidR="00B31CA6" w:rsidRPr="0021261E" w:rsidRDefault="00B31CA6" w:rsidP="00CE0F41">
            <w:pPr>
              <w:spacing w:after="40" w:line="200" w:lineRule="atLeast"/>
              <w:jc w:val="both"/>
              <w:rPr>
                <w:rFonts w:ascii="Arial" w:hAnsi="Arial" w:cs="Arial"/>
                <w:color w:val="000000"/>
                <w:sz w:val="20"/>
                <w:szCs w:val="20"/>
              </w:rPr>
            </w:pPr>
            <w:r w:rsidRPr="0021261E">
              <w:rPr>
                <w:rFonts w:ascii="Arial" w:hAnsi="Arial" w:cs="Arial"/>
                <w:color w:val="000000"/>
                <w:sz w:val="20"/>
                <w:szCs w:val="20"/>
              </w:rPr>
              <w:t>The hemoglobin is above 20.0 g/dL</w:t>
            </w:r>
          </w:p>
        </w:tc>
      </w:tr>
      <w:tr w:rsidR="00B31CA6" w:rsidRPr="00B31CA6" w:rsidTr="00CE0F41">
        <w:tc>
          <w:tcPr>
            <w:tcW w:w="1710" w:type="dxa"/>
            <w:shd w:val="clear" w:color="auto" w:fill="auto"/>
          </w:tcPr>
          <w:p w:rsidR="00B31CA6" w:rsidRPr="0021261E" w:rsidRDefault="00B31CA6" w:rsidP="00CE0F41">
            <w:pPr>
              <w:spacing w:after="40" w:line="200" w:lineRule="atLeast"/>
              <w:ind w:firstLine="270"/>
              <w:jc w:val="both"/>
              <w:rPr>
                <w:rFonts w:ascii="Arial" w:hAnsi="Arial" w:cs="Arial"/>
                <w:color w:val="000000"/>
                <w:sz w:val="20"/>
                <w:szCs w:val="20"/>
              </w:rPr>
            </w:pPr>
            <w:r w:rsidRPr="0021261E">
              <w:rPr>
                <w:rFonts w:ascii="Arial" w:hAnsi="Arial" w:cs="Arial"/>
                <w:color w:val="000000"/>
                <w:sz w:val="20"/>
                <w:szCs w:val="20"/>
              </w:rPr>
              <w:t>105</w:t>
            </w:r>
          </w:p>
        </w:tc>
        <w:tc>
          <w:tcPr>
            <w:tcW w:w="5958" w:type="dxa"/>
            <w:gridSpan w:val="2"/>
            <w:shd w:val="clear" w:color="auto" w:fill="auto"/>
          </w:tcPr>
          <w:p w:rsidR="00B31CA6" w:rsidRPr="0021261E" w:rsidRDefault="00B31CA6" w:rsidP="00CE0F41">
            <w:pPr>
              <w:spacing w:after="40" w:line="200" w:lineRule="atLeast"/>
              <w:jc w:val="both"/>
              <w:rPr>
                <w:rFonts w:ascii="Arial" w:hAnsi="Arial" w:cs="Arial"/>
                <w:color w:val="000000"/>
                <w:sz w:val="20"/>
                <w:szCs w:val="20"/>
              </w:rPr>
            </w:pPr>
            <w:r w:rsidRPr="0021261E">
              <w:rPr>
                <w:rFonts w:ascii="Arial" w:hAnsi="Arial" w:cs="Arial"/>
                <w:color w:val="000000"/>
                <w:sz w:val="20"/>
                <w:szCs w:val="20"/>
              </w:rPr>
              <w:t>The HbA1c value is below 4.0%</w:t>
            </w:r>
          </w:p>
        </w:tc>
      </w:tr>
      <w:tr w:rsidR="00B31CA6" w:rsidRPr="00B31CA6" w:rsidTr="00CE0F41">
        <w:tc>
          <w:tcPr>
            <w:tcW w:w="1710" w:type="dxa"/>
            <w:shd w:val="clear" w:color="auto" w:fill="auto"/>
          </w:tcPr>
          <w:p w:rsidR="00B31CA6" w:rsidRPr="0021261E" w:rsidRDefault="00B31CA6" w:rsidP="00CE0F41">
            <w:pPr>
              <w:spacing w:after="40" w:line="200" w:lineRule="atLeast"/>
              <w:ind w:firstLine="270"/>
              <w:jc w:val="both"/>
              <w:rPr>
                <w:rFonts w:ascii="Arial" w:hAnsi="Arial" w:cs="Arial"/>
                <w:color w:val="000000"/>
                <w:sz w:val="20"/>
                <w:szCs w:val="20"/>
              </w:rPr>
            </w:pPr>
            <w:r w:rsidRPr="0021261E">
              <w:rPr>
                <w:rFonts w:ascii="Arial" w:hAnsi="Arial" w:cs="Arial"/>
                <w:color w:val="000000"/>
                <w:sz w:val="20"/>
                <w:szCs w:val="20"/>
              </w:rPr>
              <w:t>106</w:t>
            </w:r>
          </w:p>
        </w:tc>
        <w:tc>
          <w:tcPr>
            <w:tcW w:w="5958" w:type="dxa"/>
            <w:gridSpan w:val="2"/>
            <w:shd w:val="clear" w:color="auto" w:fill="auto"/>
          </w:tcPr>
          <w:p w:rsidR="00B31CA6" w:rsidRPr="0021261E" w:rsidRDefault="00B31CA6" w:rsidP="00CE0F41">
            <w:pPr>
              <w:spacing w:after="40" w:line="200" w:lineRule="atLeast"/>
              <w:jc w:val="both"/>
              <w:rPr>
                <w:rFonts w:ascii="Arial" w:hAnsi="Arial" w:cs="Arial"/>
                <w:color w:val="000000"/>
                <w:sz w:val="20"/>
                <w:szCs w:val="20"/>
              </w:rPr>
            </w:pPr>
            <w:r w:rsidRPr="0021261E">
              <w:rPr>
                <w:rFonts w:ascii="Arial" w:hAnsi="Arial" w:cs="Arial"/>
                <w:color w:val="000000"/>
                <w:sz w:val="20"/>
                <w:szCs w:val="20"/>
              </w:rPr>
              <w:t>The HbA1c value is above 15.0%</w:t>
            </w:r>
          </w:p>
        </w:tc>
      </w:tr>
    </w:tbl>
    <w:p w:rsidR="00B31CA6" w:rsidRPr="00B31CA6" w:rsidRDefault="00B31CA6" w:rsidP="00B31CA6">
      <w:pPr>
        <w:spacing w:line="200" w:lineRule="atLeast"/>
        <w:ind w:left="360"/>
        <w:jc w:val="both"/>
        <w:rPr>
          <w:rFonts w:ascii="Arial" w:hAnsi="Arial" w:cs="Arial"/>
          <w:color w:val="000000"/>
        </w:rPr>
      </w:pPr>
      <w:r w:rsidRPr="00B31CA6">
        <w:rPr>
          <w:rFonts w:ascii="Arial" w:hAnsi="Arial" w:cs="Arial"/>
          <w:color w:val="000000"/>
        </w:rPr>
        <w:tab/>
      </w:r>
      <w:r w:rsidRPr="00B31CA6">
        <w:rPr>
          <w:rFonts w:ascii="Arial" w:hAnsi="Arial" w:cs="Arial"/>
          <w:color w:val="000000"/>
        </w:rPr>
        <w:tab/>
        <w:t>Follow the actions listed in the user manual to correct the error.</w:t>
      </w:r>
    </w:p>
    <w:p w:rsidR="00B31CA6" w:rsidRPr="00B31CA6" w:rsidRDefault="00B31CA6" w:rsidP="00B31CA6">
      <w:pPr>
        <w:spacing w:line="200" w:lineRule="atLeast"/>
        <w:ind w:left="360"/>
        <w:jc w:val="both"/>
        <w:rPr>
          <w:rFonts w:ascii="Arial" w:hAnsi="Arial" w:cs="Arial"/>
          <w:color w:val="000000"/>
        </w:rPr>
      </w:pPr>
    </w:p>
    <w:p w:rsidR="00B31CA6" w:rsidRPr="00B31CA6" w:rsidRDefault="00B31CA6" w:rsidP="00AC2E13">
      <w:pPr>
        <w:spacing w:after="40" w:line="200" w:lineRule="atLeast"/>
        <w:ind w:left="720"/>
        <w:jc w:val="both"/>
        <w:rPr>
          <w:rFonts w:ascii="Arial" w:hAnsi="Arial" w:cs="Arial"/>
          <w:b/>
          <w:color w:val="000000"/>
        </w:rPr>
      </w:pPr>
      <w:r w:rsidRPr="00B31CA6">
        <w:rPr>
          <w:rFonts w:ascii="Arial" w:hAnsi="Arial" w:cs="Arial"/>
          <w:b/>
          <w:color w:val="000000"/>
        </w:rPr>
        <w:t>Important!</w:t>
      </w:r>
    </w:p>
    <w:p w:rsidR="00B31CA6" w:rsidRPr="00B31CA6" w:rsidRDefault="00B31CA6" w:rsidP="00AC2E13">
      <w:pPr>
        <w:spacing w:line="200" w:lineRule="atLeast"/>
        <w:ind w:left="720"/>
        <w:jc w:val="both"/>
        <w:rPr>
          <w:rFonts w:ascii="Arial" w:hAnsi="Arial" w:cs="Arial"/>
          <w:color w:val="000000"/>
        </w:rPr>
      </w:pPr>
      <w:r w:rsidRPr="00B31CA6">
        <w:rPr>
          <w:rFonts w:ascii="Arial" w:hAnsi="Arial" w:cs="Arial"/>
          <w:color w:val="000000"/>
        </w:rPr>
        <w:t>The manufacturer must be notified of any test system that is perceived or validated to be outside of the performance specifications outlined in the instructions.</w:t>
      </w:r>
    </w:p>
    <w:p w:rsidR="00B31CA6" w:rsidRPr="00B31CA6" w:rsidRDefault="00B31CA6" w:rsidP="00AC2E13">
      <w:pPr>
        <w:spacing w:line="200" w:lineRule="atLeast"/>
        <w:ind w:left="720"/>
        <w:jc w:val="both"/>
        <w:rPr>
          <w:rFonts w:ascii="Arial" w:hAnsi="Arial" w:cs="Arial"/>
          <w:color w:val="000000"/>
        </w:rPr>
      </w:pPr>
    </w:p>
    <w:p w:rsidR="00B31CA6" w:rsidRPr="00B31CA6" w:rsidRDefault="00B31CA6" w:rsidP="00AC2E13">
      <w:pPr>
        <w:spacing w:after="40" w:line="200" w:lineRule="atLeast"/>
        <w:ind w:left="720"/>
        <w:jc w:val="both"/>
        <w:rPr>
          <w:rFonts w:ascii="Arial" w:hAnsi="Arial" w:cs="Arial"/>
          <w:b/>
          <w:color w:val="000000"/>
        </w:rPr>
      </w:pPr>
      <w:r w:rsidRPr="00B31CA6">
        <w:rPr>
          <w:rFonts w:ascii="Arial" w:hAnsi="Arial" w:cs="Arial"/>
          <w:b/>
          <w:color w:val="000000"/>
        </w:rPr>
        <w:t>Technical support</w:t>
      </w:r>
    </w:p>
    <w:p w:rsidR="00B31CA6" w:rsidRPr="00B31CA6" w:rsidRDefault="00B31CA6" w:rsidP="00AC2E13">
      <w:pPr>
        <w:spacing w:line="200" w:lineRule="atLeast"/>
        <w:ind w:left="720"/>
        <w:rPr>
          <w:rFonts w:ascii="Arial" w:hAnsi="Arial" w:cs="Arial"/>
          <w:color w:val="000000"/>
        </w:rPr>
      </w:pPr>
      <w:r w:rsidRPr="00B31CA6">
        <w:rPr>
          <w:rFonts w:ascii="Arial" w:hAnsi="Arial" w:cs="Arial"/>
          <w:color w:val="000000"/>
        </w:rPr>
        <w:t xml:space="preserve">The manufacturer provides a toll free line for technical support. </w:t>
      </w:r>
      <w:r w:rsidRPr="00B31CA6">
        <w:rPr>
          <w:rFonts w:ascii="Arial" w:hAnsi="Arial" w:cs="Arial"/>
          <w:color w:val="000000"/>
        </w:rPr>
        <w:br/>
      </w:r>
      <w:r w:rsidRPr="00B31CA6">
        <w:rPr>
          <w:rFonts w:ascii="Arial" w:hAnsi="Arial" w:cs="Arial"/>
          <w:b/>
          <w:color w:val="000000"/>
        </w:rPr>
        <w:t>Call 1-866-216-9505.</w:t>
      </w:r>
      <w:r w:rsidRPr="00B31CA6">
        <w:rPr>
          <w:rFonts w:ascii="Arial" w:hAnsi="Arial" w:cs="Arial"/>
          <w:color w:val="000000"/>
        </w:rPr>
        <w:t xml:space="preserve"> The toll free number is available for use only in the United States of America.</w:t>
      </w:r>
    </w:p>
    <w:p w:rsidR="00B31CA6" w:rsidRPr="00B31CA6" w:rsidRDefault="00B31CA6" w:rsidP="00AC2E13">
      <w:pPr>
        <w:spacing w:line="200" w:lineRule="atLeast"/>
        <w:ind w:left="720"/>
        <w:jc w:val="both"/>
        <w:rPr>
          <w:rFonts w:ascii="Arial" w:hAnsi="Arial" w:cs="Arial"/>
          <w:color w:val="000000"/>
          <w:lang w:val="pt-BR"/>
        </w:rPr>
      </w:pPr>
      <w:r w:rsidRPr="00B31CA6">
        <w:rPr>
          <w:rFonts w:ascii="Arial" w:hAnsi="Arial" w:cs="Arial"/>
          <w:color w:val="000000"/>
          <w:lang w:val="pt-BR"/>
        </w:rPr>
        <w:t xml:space="preserve">E-mail:  </w:t>
      </w:r>
      <w:hyperlink r:id="rId14" w:history="1">
        <w:r w:rsidRPr="00B31CA6">
          <w:rPr>
            <w:rFonts w:ascii="Arial" w:hAnsi="Arial" w:cs="Arial"/>
            <w:color w:val="0000FF"/>
            <w:u w:val="single"/>
            <w:lang w:val="pt-BR"/>
          </w:rPr>
          <w:t>Afinion.Support@abbott.com</w:t>
        </w:r>
      </w:hyperlink>
    </w:p>
    <w:p w:rsidR="00B31CA6" w:rsidRPr="00B31CA6" w:rsidRDefault="00B31CA6" w:rsidP="00B31CA6">
      <w:pPr>
        <w:spacing w:line="200" w:lineRule="atLeast"/>
        <w:ind w:left="360"/>
        <w:jc w:val="both"/>
        <w:rPr>
          <w:rFonts w:ascii="Arial" w:hAnsi="Arial" w:cs="Arial"/>
          <w:b/>
          <w:color w:val="000000"/>
          <w:lang w:val="pt-BR"/>
        </w:rPr>
      </w:pPr>
    </w:p>
    <w:p w:rsidR="00B31CA6" w:rsidRPr="0021261E" w:rsidRDefault="00B31CA6" w:rsidP="00DE28EA">
      <w:pPr>
        <w:numPr>
          <w:ilvl w:val="0"/>
          <w:numId w:val="1"/>
        </w:numPr>
        <w:spacing w:after="72" w:line="200" w:lineRule="atLeast"/>
        <w:jc w:val="both"/>
        <w:rPr>
          <w:rFonts w:ascii="Arial" w:hAnsi="Arial" w:cs="Arial"/>
          <w:b/>
          <w:u w:val="single"/>
        </w:rPr>
      </w:pPr>
      <w:r w:rsidRPr="0021261E">
        <w:rPr>
          <w:rFonts w:ascii="Arial" w:hAnsi="Arial" w:cs="Arial"/>
          <w:b/>
          <w:u w:val="single"/>
        </w:rPr>
        <w:t>Warnings and Precautions</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t xml:space="preserve">For </w:t>
      </w:r>
      <w:r w:rsidRPr="00B31CA6">
        <w:rPr>
          <w:rFonts w:ascii="Arial" w:hAnsi="Arial" w:cs="Arial"/>
          <w:i/>
          <w:color w:val="221E1F"/>
        </w:rPr>
        <w:t>in vitro</w:t>
      </w:r>
      <w:r w:rsidRPr="00B31CA6">
        <w:rPr>
          <w:rFonts w:ascii="Arial" w:hAnsi="Arial" w:cs="Arial"/>
          <w:color w:val="221E1F"/>
        </w:rPr>
        <w:t xml:space="preserve"> diagnostic use.</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t xml:space="preserve">Do not use test cartridges after the expiration date. </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t>Do not  use test cartridges that have not been stored in accordance with recommendations.</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t>Do not use the test cartridge if the foil pouch or the test cartridge itself has been damaged.</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lastRenderedPageBreak/>
        <w:t>Each foil pouch contains a desiccant bag with 1 g silica gel. This material shall not be used in the assay. Discard the desiccant bag in a suitable container. Do not swallow.</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t>Do not use the test cartridge if the desiccant bag is damaged and desiccant particles are found on the test cartridge. Do not wipe off.</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t>Do not touch the test cartridge optical reading area (figure 1).</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t>Do not reuse any part of the test cartridge.</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t>The test cartridge contains sodium azide (&lt;0.1%) as a preservative. In case of leakage from the test cartridge, avoid contact with eyes and skin.</w:t>
      </w:r>
    </w:p>
    <w:p w:rsidR="00B31CA6" w:rsidRPr="00B31CA6" w:rsidRDefault="00B31CA6" w:rsidP="00DE28EA">
      <w:pPr>
        <w:numPr>
          <w:ilvl w:val="0"/>
          <w:numId w:val="6"/>
        </w:numPr>
        <w:tabs>
          <w:tab w:val="left" w:pos="360"/>
        </w:tabs>
        <w:autoSpaceDE w:val="0"/>
        <w:autoSpaceDN w:val="0"/>
        <w:adjustRightInd w:val="0"/>
        <w:spacing w:line="141" w:lineRule="atLeast"/>
        <w:ind w:left="720"/>
        <w:contextualSpacing/>
        <w:jc w:val="both"/>
        <w:rPr>
          <w:rFonts w:ascii="Arial" w:hAnsi="Arial" w:cs="Arial"/>
          <w:color w:val="221E1F"/>
        </w:rPr>
      </w:pPr>
      <w:r w:rsidRPr="00B31CA6">
        <w:rPr>
          <w:rFonts w:ascii="Arial" w:hAnsi="Arial" w:cs="Arial"/>
          <w:color w:val="221E1F"/>
        </w:rPr>
        <w:t>The used test cartridges, sampling equipment, patient samples and controls are potentially infectious and should be disposed of immediately after use. Proper handling and disposal methods should be followed in accordance with local, state and federal regulations. Use personal protective equipment.</w:t>
      </w:r>
    </w:p>
    <w:p w:rsidR="00B31CA6" w:rsidRPr="00B31CA6" w:rsidRDefault="00B31CA6" w:rsidP="00B31CA6">
      <w:pPr>
        <w:autoSpaceDE w:val="0"/>
        <w:autoSpaceDN w:val="0"/>
        <w:adjustRightInd w:val="0"/>
        <w:ind w:left="360"/>
        <w:contextualSpacing/>
        <w:rPr>
          <w:rFonts w:ascii="Arial" w:eastAsia="GillAltOneMT-Light--Identity-H" w:hAnsi="Arial" w:cs="Arial"/>
        </w:rPr>
      </w:pPr>
    </w:p>
    <w:p w:rsidR="00B31CA6" w:rsidRPr="00C30298" w:rsidRDefault="00AC2E13" w:rsidP="00DE28EA">
      <w:pPr>
        <w:numPr>
          <w:ilvl w:val="0"/>
          <w:numId w:val="1"/>
        </w:numPr>
        <w:tabs>
          <w:tab w:val="left" w:pos="360"/>
        </w:tabs>
        <w:autoSpaceDE w:val="0"/>
        <w:autoSpaceDN w:val="0"/>
        <w:adjustRightInd w:val="0"/>
        <w:spacing w:after="72" w:line="141" w:lineRule="atLeast"/>
        <w:contextualSpacing/>
        <w:rPr>
          <w:rFonts w:ascii="Arial" w:hAnsi="Arial" w:cs="Arial"/>
          <w:b/>
          <w:u w:val="single"/>
        </w:rPr>
      </w:pPr>
      <w:r>
        <w:rPr>
          <w:rFonts w:ascii="Arial" w:hAnsi="Arial" w:cs="Arial"/>
          <w:b/>
        </w:rPr>
        <w:t xml:space="preserve">     </w:t>
      </w:r>
      <w:r w:rsidR="00B31CA6" w:rsidRPr="00C30298">
        <w:rPr>
          <w:rFonts w:ascii="Arial" w:hAnsi="Arial" w:cs="Arial"/>
          <w:b/>
          <w:u w:val="single"/>
        </w:rPr>
        <w:t>Limitations of the Test</w:t>
      </w:r>
    </w:p>
    <w:p w:rsidR="00B31CA6" w:rsidRPr="00B31CA6" w:rsidRDefault="00B31CA6" w:rsidP="00DE28EA">
      <w:pPr>
        <w:numPr>
          <w:ilvl w:val="0"/>
          <w:numId w:val="18"/>
        </w:numPr>
        <w:tabs>
          <w:tab w:val="left" w:pos="360"/>
        </w:tabs>
        <w:autoSpaceDE w:val="0"/>
        <w:autoSpaceDN w:val="0"/>
        <w:adjustRightInd w:val="0"/>
        <w:spacing w:line="141" w:lineRule="atLeast"/>
        <w:ind w:left="720"/>
        <w:jc w:val="both"/>
        <w:rPr>
          <w:rFonts w:ascii="Arial" w:hAnsi="Arial" w:cs="Arial"/>
        </w:rPr>
      </w:pPr>
      <w:r w:rsidRPr="00B31CA6">
        <w:rPr>
          <w:rFonts w:ascii="Arial" w:hAnsi="Arial" w:cs="Arial"/>
        </w:rPr>
        <w:t>Any cause of shortened erythrocyte life span will reduce exposure of erythrocytes to glucose, resulting in a decrease in HbA1c values, regardless of the method used. Caution should be used when interpreting the HbA1c results from patients with conditions such as hemolytic anemia or other hemolytic diseases, homozygous sickle cell trait, pregnancy, blood loss, polycythemia, iron deficiency etc.</w:t>
      </w:r>
    </w:p>
    <w:p w:rsidR="00B31CA6" w:rsidRPr="00B31CA6" w:rsidRDefault="00B31CA6" w:rsidP="00DE28EA">
      <w:pPr>
        <w:numPr>
          <w:ilvl w:val="0"/>
          <w:numId w:val="19"/>
        </w:numPr>
        <w:tabs>
          <w:tab w:val="left" w:pos="360"/>
        </w:tabs>
        <w:autoSpaceDE w:val="0"/>
        <w:autoSpaceDN w:val="0"/>
        <w:adjustRightInd w:val="0"/>
        <w:spacing w:line="141" w:lineRule="atLeast"/>
        <w:ind w:left="720"/>
        <w:jc w:val="both"/>
        <w:rPr>
          <w:rFonts w:ascii="Arial" w:hAnsi="Arial" w:cs="Arial"/>
        </w:rPr>
      </w:pPr>
      <w:r w:rsidRPr="00B31CA6">
        <w:rPr>
          <w:rFonts w:ascii="Arial" w:hAnsi="Arial" w:cs="Arial"/>
        </w:rPr>
        <w:t>Diluted samples cannot be used with Afinion HbA1c.</w:t>
      </w:r>
    </w:p>
    <w:p w:rsidR="00B31CA6" w:rsidRPr="00B31CA6" w:rsidRDefault="00B31CA6" w:rsidP="00DE28EA">
      <w:pPr>
        <w:numPr>
          <w:ilvl w:val="0"/>
          <w:numId w:val="20"/>
        </w:numPr>
        <w:tabs>
          <w:tab w:val="left" w:pos="360"/>
        </w:tabs>
        <w:autoSpaceDE w:val="0"/>
        <w:autoSpaceDN w:val="0"/>
        <w:adjustRightInd w:val="0"/>
        <w:spacing w:line="141" w:lineRule="atLeast"/>
        <w:ind w:left="720"/>
        <w:jc w:val="both"/>
        <w:rPr>
          <w:rFonts w:ascii="Arial" w:hAnsi="Arial" w:cs="Arial"/>
        </w:rPr>
      </w:pPr>
      <w:r w:rsidRPr="00B31CA6">
        <w:rPr>
          <w:rFonts w:ascii="Arial" w:hAnsi="Arial" w:cs="Arial"/>
        </w:rPr>
        <w:t>Coagulated or hemolyzed samples cannot be used with Afinion HbA1c. Samples with &gt;14% (2000 mg/dL) hemolysis may return an information code.</w:t>
      </w:r>
    </w:p>
    <w:p w:rsidR="00B31CA6" w:rsidRPr="00B31CA6" w:rsidRDefault="00B31CA6" w:rsidP="00DE28EA">
      <w:pPr>
        <w:numPr>
          <w:ilvl w:val="0"/>
          <w:numId w:val="21"/>
        </w:numPr>
        <w:tabs>
          <w:tab w:val="left" w:pos="360"/>
        </w:tabs>
        <w:autoSpaceDE w:val="0"/>
        <w:autoSpaceDN w:val="0"/>
        <w:adjustRightInd w:val="0"/>
        <w:spacing w:line="141" w:lineRule="atLeast"/>
        <w:ind w:left="720"/>
        <w:jc w:val="both"/>
        <w:rPr>
          <w:rFonts w:ascii="Arial" w:hAnsi="Arial" w:cs="Arial"/>
        </w:rPr>
      </w:pPr>
      <w:r w:rsidRPr="00B31CA6">
        <w:rPr>
          <w:rFonts w:ascii="Arial" w:hAnsi="Arial" w:cs="Arial"/>
        </w:rPr>
        <w:t>If the sample has a hemoglobin value below 6.0 g/dL or above 20.0 g/dL, no test results will be reported and an information code will be displayed.</w:t>
      </w:r>
    </w:p>
    <w:p w:rsidR="00B31CA6" w:rsidRPr="00B31CA6" w:rsidRDefault="00B31CA6" w:rsidP="00B31CA6">
      <w:pPr>
        <w:tabs>
          <w:tab w:val="left" w:pos="360"/>
        </w:tabs>
        <w:autoSpaceDE w:val="0"/>
        <w:autoSpaceDN w:val="0"/>
        <w:adjustRightInd w:val="0"/>
        <w:spacing w:line="141" w:lineRule="atLeast"/>
        <w:rPr>
          <w:rFonts w:ascii="Arial" w:hAnsi="Arial" w:cs="Arial"/>
        </w:rPr>
      </w:pPr>
    </w:p>
    <w:p w:rsidR="00B31CA6" w:rsidRPr="00C30298" w:rsidRDefault="00AC2E13" w:rsidP="00DE28EA">
      <w:pPr>
        <w:numPr>
          <w:ilvl w:val="0"/>
          <w:numId w:val="1"/>
        </w:numPr>
        <w:tabs>
          <w:tab w:val="left" w:pos="360"/>
        </w:tabs>
        <w:autoSpaceDE w:val="0"/>
        <w:autoSpaceDN w:val="0"/>
        <w:adjustRightInd w:val="0"/>
        <w:spacing w:after="72" w:line="141" w:lineRule="atLeast"/>
        <w:contextualSpacing/>
        <w:rPr>
          <w:rFonts w:ascii="Arial" w:hAnsi="Arial" w:cs="Arial"/>
          <w:b/>
          <w:u w:val="single"/>
        </w:rPr>
      </w:pPr>
      <w:r>
        <w:rPr>
          <w:rFonts w:ascii="Arial" w:hAnsi="Arial" w:cs="Arial"/>
          <w:b/>
        </w:rPr>
        <w:t xml:space="preserve">     </w:t>
      </w:r>
      <w:r w:rsidR="00B31CA6" w:rsidRPr="00C30298">
        <w:rPr>
          <w:rFonts w:ascii="Arial" w:hAnsi="Arial" w:cs="Arial"/>
          <w:b/>
          <w:u w:val="single"/>
        </w:rPr>
        <w:t>Interference</w:t>
      </w:r>
    </w:p>
    <w:p w:rsidR="00B31CA6" w:rsidRPr="00B31CA6" w:rsidRDefault="007B51A5" w:rsidP="00C30298">
      <w:pPr>
        <w:tabs>
          <w:tab w:val="left" w:pos="360"/>
        </w:tabs>
        <w:autoSpaceDE w:val="0"/>
        <w:autoSpaceDN w:val="0"/>
        <w:adjustRightInd w:val="0"/>
        <w:spacing w:after="40" w:line="141" w:lineRule="atLeast"/>
        <w:ind w:firstLine="360"/>
        <w:rPr>
          <w:rFonts w:ascii="Arial" w:hAnsi="Arial" w:cs="Arial"/>
        </w:rPr>
      </w:pPr>
      <w:r>
        <w:rPr>
          <w:rFonts w:ascii="Arial" w:hAnsi="Arial" w:cs="Arial"/>
        </w:rPr>
        <w:tab/>
        <w:t xml:space="preserve">NO </w:t>
      </w:r>
      <w:r w:rsidR="00B31CA6" w:rsidRPr="00B31CA6">
        <w:rPr>
          <w:rFonts w:ascii="Arial" w:hAnsi="Arial" w:cs="Arial"/>
        </w:rPr>
        <w:t xml:space="preserve">significant interference (&lt;5%) was observed up to the following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31CA6" w:rsidRPr="00B31CA6">
        <w:rPr>
          <w:rFonts w:ascii="Arial" w:hAnsi="Arial" w:cs="Arial"/>
        </w:rPr>
        <w:t>concentrations:</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de-DE"/>
        </w:rPr>
      </w:pPr>
      <w:r w:rsidRPr="00B31CA6">
        <w:rPr>
          <w:rFonts w:ascii="Arial" w:eastAsia="GillAltOneMT-Light--Identity-H" w:hAnsi="Arial" w:cs="Arial"/>
          <w:lang w:val="de-DE"/>
        </w:rPr>
        <w:t>•</w:t>
      </w:r>
      <w:r w:rsidRPr="00B31CA6">
        <w:rPr>
          <w:rFonts w:ascii="Arial" w:eastAsia="GillAltOneMT-Light--Identity-H" w:hAnsi="Arial" w:cs="Arial"/>
          <w:lang w:val="de-DE"/>
        </w:rPr>
        <w:tab/>
        <w:t>Bilirubin</w:t>
      </w:r>
      <w:r w:rsidRPr="00B31CA6">
        <w:rPr>
          <w:rFonts w:ascii="Arial" w:eastAsia="GillAltOneMT-Light--Identity-H" w:hAnsi="Arial" w:cs="Arial"/>
          <w:lang w:val="de-DE"/>
        </w:rPr>
        <w:tab/>
      </w:r>
      <w:r w:rsidRPr="00B31CA6">
        <w:rPr>
          <w:rFonts w:ascii="Arial" w:eastAsia="GillAltOneMT-Light--Identity-H" w:hAnsi="Arial" w:cs="Arial"/>
          <w:lang w:val="de-DE"/>
        </w:rPr>
        <w:tab/>
        <w:t>342 µmol/L (20 mg/dL)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rPr>
      </w:pPr>
      <w:r w:rsidRPr="00B31CA6">
        <w:rPr>
          <w:rFonts w:ascii="Arial" w:eastAsia="GillAltOneMT-Light--Identity-H" w:hAnsi="Arial" w:cs="Arial"/>
        </w:rPr>
        <w:t>•</w:t>
      </w:r>
      <w:r w:rsidRPr="00B31CA6">
        <w:rPr>
          <w:rFonts w:ascii="Arial" w:eastAsia="GillAltOneMT-Light--Identity-H" w:hAnsi="Arial" w:cs="Arial"/>
        </w:rPr>
        <w:tab/>
        <w:t>Triglycerides</w:t>
      </w:r>
      <w:r w:rsidRPr="00B31CA6">
        <w:rPr>
          <w:rFonts w:ascii="Arial" w:eastAsia="GillAltOneMT-Light--Identity-H" w:hAnsi="Arial" w:cs="Arial"/>
        </w:rPr>
        <w:tab/>
      </w:r>
      <w:r w:rsidRPr="00B31CA6">
        <w:rPr>
          <w:rFonts w:ascii="Arial" w:eastAsia="GillAltOneMT-Light--Identity-H" w:hAnsi="Arial" w:cs="Arial"/>
        </w:rPr>
        <w:tab/>
        <w:t>15.7 mmol/L (1389 mg/dL)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nl-NL"/>
        </w:rPr>
      </w:pPr>
      <w:r w:rsidRPr="00B31CA6">
        <w:rPr>
          <w:rFonts w:ascii="Arial" w:eastAsia="GillAltOneMT-Light--Identity-H" w:hAnsi="Arial" w:cs="Arial"/>
          <w:lang w:val="nl-NL"/>
        </w:rPr>
        <w:t>•</w:t>
      </w:r>
      <w:r w:rsidRPr="00B31CA6">
        <w:rPr>
          <w:rFonts w:ascii="Arial" w:eastAsia="GillAltOneMT-Light--Identity-H" w:hAnsi="Arial" w:cs="Arial"/>
          <w:lang w:val="nl-NL"/>
        </w:rPr>
        <w:tab/>
        <w:t>Cholesterol</w:t>
      </w:r>
      <w:r w:rsidRPr="00B31CA6">
        <w:rPr>
          <w:rFonts w:ascii="Arial" w:eastAsia="GillAltOneMT-Light--Identity-H" w:hAnsi="Arial" w:cs="Arial"/>
          <w:lang w:val="nl-NL"/>
        </w:rPr>
        <w:tab/>
      </w:r>
      <w:r w:rsidRPr="00B31CA6">
        <w:rPr>
          <w:rFonts w:ascii="Arial" w:eastAsia="GillAltOneMT-Light--Identity-H" w:hAnsi="Arial" w:cs="Arial"/>
          <w:lang w:val="nl-NL"/>
        </w:rPr>
        <w:tab/>
        <w:t>9.1 mmol/L (351 mg/dL)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nl-NL"/>
        </w:rPr>
      </w:pPr>
      <w:r w:rsidRPr="00B31CA6">
        <w:rPr>
          <w:rFonts w:ascii="Arial" w:eastAsia="GillAltOneMT-Light--Identity-H" w:hAnsi="Arial" w:cs="Arial"/>
          <w:lang w:val="nl-NL"/>
        </w:rPr>
        <w:t>•</w:t>
      </w:r>
      <w:r w:rsidRPr="00B31CA6">
        <w:rPr>
          <w:rFonts w:ascii="Arial" w:eastAsia="GillAltOneMT-Light--Identity-H" w:hAnsi="Arial" w:cs="Arial"/>
          <w:lang w:val="nl-NL"/>
        </w:rPr>
        <w:tab/>
        <w:t>Glucose</w:t>
      </w:r>
      <w:r w:rsidRPr="00B31CA6">
        <w:rPr>
          <w:rFonts w:ascii="Arial" w:eastAsia="GillAltOneMT-Light--Identity-H" w:hAnsi="Arial" w:cs="Arial"/>
          <w:lang w:val="nl-NL"/>
        </w:rPr>
        <w:tab/>
      </w:r>
      <w:r w:rsidRPr="00B31CA6">
        <w:rPr>
          <w:rFonts w:ascii="Arial" w:eastAsia="GillAltOneMT-Light--Identity-H" w:hAnsi="Arial" w:cs="Arial"/>
          <w:lang w:val="nl-NL"/>
        </w:rPr>
        <w:tab/>
        <w:t>27.8 mmol/L (500 mg/dL)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nl-NL"/>
        </w:rPr>
      </w:pPr>
      <w:r w:rsidRPr="00B31CA6">
        <w:rPr>
          <w:rFonts w:ascii="Arial" w:eastAsia="GillAltOneMT-Light--Identity-H" w:hAnsi="Arial" w:cs="Arial"/>
          <w:lang w:val="nl-NL"/>
        </w:rPr>
        <w:t>•</w:t>
      </w:r>
      <w:r w:rsidRPr="00B31CA6">
        <w:rPr>
          <w:rFonts w:ascii="Arial" w:eastAsia="GillAltOneMT-Light--Identity-H" w:hAnsi="Arial" w:cs="Arial"/>
          <w:lang w:val="nl-NL"/>
        </w:rPr>
        <w:tab/>
        <w:t>Fructosamine</w:t>
      </w:r>
      <w:r w:rsidRPr="00B31CA6">
        <w:rPr>
          <w:rFonts w:ascii="Arial" w:eastAsia="GillAltOneMT-Light--Identity-H" w:hAnsi="Arial" w:cs="Arial"/>
          <w:lang w:val="nl-NL"/>
        </w:rPr>
        <w:tab/>
        <w:t>680 µmol/L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nl-NL"/>
        </w:rPr>
      </w:pPr>
      <w:r w:rsidRPr="00B31CA6">
        <w:rPr>
          <w:rFonts w:ascii="Arial" w:eastAsia="GillAltOneMT-Light--Identity-H" w:hAnsi="Arial" w:cs="Arial"/>
          <w:lang w:val="nl-NL"/>
        </w:rPr>
        <w:t>•</w:t>
      </w:r>
      <w:r w:rsidRPr="00B31CA6">
        <w:rPr>
          <w:rFonts w:ascii="Arial" w:eastAsia="GillAltOneMT-Light--Identity-H" w:hAnsi="Arial" w:cs="Arial"/>
          <w:lang w:val="nl-NL"/>
        </w:rPr>
        <w:tab/>
        <w:t>Hemolysis</w:t>
      </w:r>
      <w:r w:rsidRPr="00B31CA6">
        <w:rPr>
          <w:rFonts w:ascii="Arial" w:eastAsia="GillAltOneMT-Light--Identity-H" w:hAnsi="Arial" w:cs="Arial"/>
          <w:lang w:val="nl-NL"/>
        </w:rPr>
        <w:tab/>
      </w:r>
      <w:r w:rsidRPr="00B31CA6">
        <w:rPr>
          <w:rFonts w:ascii="Arial" w:eastAsia="GillAltOneMT-Light--Identity-H" w:hAnsi="Arial" w:cs="Arial"/>
          <w:lang w:val="nl-NL"/>
        </w:rPr>
        <w:tab/>
        <w:t>5.0%</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rPr>
      </w:pPr>
      <w:r w:rsidRPr="00B31CA6">
        <w:rPr>
          <w:rFonts w:ascii="Arial" w:eastAsia="GillAltOneMT-Light--Identity-H" w:hAnsi="Arial" w:cs="Arial"/>
        </w:rPr>
        <w:t>•</w:t>
      </w:r>
      <w:r w:rsidRPr="00B31CA6">
        <w:rPr>
          <w:rFonts w:ascii="Arial" w:eastAsia="GillAltOneMT-Light--Identity-H" w:hAnsi="Arial" w:cs="Arial"/>
        </w:rPr>
        <w:tab/>
        <w:t>Anticoagulants (EDTA, heparin and citrate) at concentrations normally used in blood collection tubes.</w:t>
      </w:r>
    </w:p>
    <w:p w:rsidR="00B31CA6" w:rsidRPr="00B31CA6" w:rsidRDefault="00B31CA6" w:rsidP="00C30298">
      <w:pPr>
        <w:autoSpaceDE w:val="0"/>
        <w:autoSpaceDN w:val="0"/>
        <w:adjustRightInd w:val="0"/>
        <w:ind w:left="720"/>
        <w:contextualSpacing/>
        <w:jc w:val="both"/>
        <w:rPr>
          <w:rFonts w:ascii="Arial" w:eastAsia="GillAltOneMT-Light--Identity-H" w:hAnsi="Arial" w:cs="Arial"/>
        </w:rPr>
      </w:pPr>
    </w:p>
    <w:p w:rsidR="00B31CA6" w:rsidRPr="00B31CA6" w:rsidRDefault="00B31CA6" w:rsidP="00C30298">
      <w:pPr>
        <w:autoSpaceDE w:val="0"/>
        <w:autoSpaceDN w:val="0"/>
        <w:adjustRightInd w:val="0"/>
        <w:ind w:left="720"/>
        <w:contextualSpacing/>
        <w:jc w:val="both"/>
        <w:rPr>
          <w:rFonts w:ascii="Arial" w:eastAsia="GillAltOneMT-Light--Identity-H" w:hAnsi="Arial" w:cs="Arial"/>
        </w:rPr>
      </w:pPr>
      <w:r w:rsidRPr="00B31CA6">
        <w:rPr>
          <w:rFonts w:ascii="Arial" w:eastAsia="GillAltOneMT-Light--Identity-H" w:hAnsi="Arial" w:cs="Arial"/>
        </w:rPr>
        <w:t>Over-the-counter and prescription drugs:</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es-ES"/>
        </w:rPr>
      </w:pPr>
      <w:r w:rsidRPr="00B31CA6">
        <w:rPr>
          <w:rFonts w:ascii="Arial" w:eastAsia="GillAltOneMT-Light--Identity-H" w:hAnsi="Arial" w:cs="Arial"/>
          <w:lang w:val="es-ES"/>
        </w:rPr>
        <w:t>•</w:t>
      </w:r>
      <w:r w:rsidRPr="00B31CA6">
        <w:rPr>
          <w:rFonts w:ascii="Arial" w:eastAsia="GillAltOneMT-Light--Identity-H" w:hAnsi="Arial" w:cs="Arial"/>
          <w:lang w:val="es-ES"/>
        </w:rPr>
        <w:tab/>
        <w:t>Acetaminophen</w:t>
      </w:r>
      <w:r w:rsidRPr="00B31CA6">
        <w:rPr>
          <w:rFonts w:ascii="Arial" w:eastAsia="GillAltOneMT-Light--Identity-H" w:hAnsi="Arial" w:cs="Arial"/>
          <w:lang w:val="es-ES"/>
        </w:rPr>
        <w:tab/>
        <w:t>1.7 mmol/L (256 µg/mL)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es-ES"/>
        </w:rPr>
      </w:pPr>
      <w:r w:rsidRPr="00B31CA6">
        <w:rPr>
          <w:rFonts w:ascii="Arial" w:eastAsia="GillAltOneMT-Light--Identity-H" w:hAnsi="Arial" w:cs="Arial"/>
          <w:lang w:val="es-ES"/>
        </w:rPr>
        <w:t>•</w:t>
      </w:r>
      <w:r w:rsidRPr="00B31CA6">
        <w:rPr>
          <w:rFonts w:ascii="Arial" w:eastAsia="GillAltOneMT-Light--Identity-H" w:hAnsi="Arial" w:cs="Arial"/>
          <w:lang w:val="es-ES"/>
        </w:rPr>
        <w:tab/>
        <w:t>Ibuprofen</w:t>
      </w:r>
      <w:r w:rsidRPr="00B31CA6">
        <w:rPr>
          <w:rFonts w:ascii="Arial" w:eastAsia="GillAltOneMT-Light--Identity-H" w:hAnsi="Arial" w:cs="Arial"/>
          <w:lang w:val="es-ES"/>
        </w:rPr>
        <w:tab/>
      </w:r>
      <w:r w:rsidRPr="00B31CA6">
        <w:rPr>
          <w:rFonts w:ascii="Arial" w:eastAsia="GillAltOneMT-Light--Identity-H" w:hAnsi="Arial" w:cs="Arial"/>
          <w:lang w:val="es-ES"/>
        </w:rPr>
        <w:tab/>
        <w:t>1.8 mmol/L (372 µg/mL)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es-ES"/>
        </w:rPr>
      </w:pPr>
      <w:r w:rsidRPr="00B31CA6">
        <w:rPr>
          <w:rFonts w:ascii="Arial" w:eastAsia="GillAltOneMT-Light--Identity-H" w:hAnsi="Arial" w:cs="Arial"/>
          <w:lang w:val="es-ES"/>
        </w:rPr>
        <w:t>•</w:t>
      </w:r>
      <w:r w:rsidRPr="00B31CA6">
        <w:rPr>
          <w:rFonts w:ascii="Arial" w:eastAsia="GillAltOneMT-Light--Identity-H" w:hAnsi="Arial" w:cs="Arial"/>
          <w:lang w:val="es-ES"/>
        </w:rPr>
        <w:tab/>
        <w:t>Acetylsalicylic acid</w:t>
      </w:r>
      <w:r w:rsidRPr="00B31CA6">
        <w:rPr>
          <w:rFonts w:ascii="Arial" w:eastAsia="GillAltOneMT-Light--Identity-H" w:hAnsi="Arial" w:cs="Arial"/>
          <w:lang w:val="es-ES"/>
        </w:rPr>
        <w:tab/>
        <w:t>3.3 mmol/L (599 µg/mL)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es-ES"/>
        </w:rPr>
      </w:pPr>
      <w:r w:rsidRPr="00B31CA6">
        <w:rPr>
          <w:rFonts w:ascii="Arial" w:eastAsia="GillAltOneMT-Light--Identity-H" w:hAnsi="Arial" w:cs="Arial"/>
          <w:lang w:val="es-ES"/>
        </w:rPr>
        <w:t>•</w:t>
      </w:r>
      <w:r w:rsidRPr="00B31CA6">
        <w:rPr>
          <w:rFonts w:ascii="Arial" w:eastAsia="GillAltOneMT-Light--Identity-H" w:hAnsi="Arial" w:cs="Arial"/>
          <w:lang w:val="es-ES"/>
        </w:rPr>
        <w:tab/>
        <w:t>Salicylic acid</w:t>
      </w:r>
      <w:r w:rsidRPr="00B31CA6">
        <w:rPr>
          <w:rFonts w:ascii="Arial" w:eastAsia="GillAltOneMT-Light--Identity-H" w:hAnsi="Arial" w:cs="Arial"/>
          <w:lang w:val="es-ES"/>
        </w:rPr>
        <w:tab/>
      </w:r>
      <w:r w:rsidRPr="00B31CA6">
        <w:rPr>
          <w:rFonts w:ascii="Arial" w:eastAsia="GillAltOneMT-Light--Identity-H" w:hAnsi="Arial" w:cs="Arial"/>
          <w:lang w:val="es-ES"/>
        </w:rPr>
        <w:tab/>
        <w:t>4.3 mmol/L (593 µg/mL)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lang w:val="es-ES"/>
        </w:rPr>
      </w:pPr>
      <w:r w:rsidRPr="00B31CA6">
        <w:rPr>
          <w:rFonts w:ascii="Arial" w:eastAsia="GillAltOneMT-Light--Identity-H" w:hAnsi="Arial" w:cs="Arial"/>
          <w:lang w:val="es-ES"/>
        </w:rPr>
        <w:lastRenderedPageBreak/>
        <w:t>•</w:t>
      </w:r>
      <w:r w:rsidRPr="00B31CA6">
        <w:rPr>
          <w:rFonts w:ascii="Arial" w:eastAsia="GillAltOneMT-Light--Identity-H" w:hAnsi="Arial" w:cs="Arial"/>
          <w:lang w:val="es-ES"/>
        </w:rPr>
        <w:tab/>
        <w:t>Glyburide</w:t>
      </w:r>
      <w:r w:rsidRPr="00B31CA6">
        <w:rPr>
          <w:rFonts w:ascii="Arial" w:eastAsia="GillAltOneMT-Light--Identity-H" w:hAnsi="Arial" w:cs="Arial"/>
          <w:lang w:val="es-ES"/>
        </w:rPr>
        <w:tab/>
      </w:r>
      <w:r w:rsidRPr="00B31CA6">
        <w:rPr>
          <w:rFonts w:ascii="Arial" w:eastAsia="GillAltOneMT-Light--Identity-H" w:hAnsi="Arial" w:cs="Arial"/>
          <w:lang w:val="es-ES"/>
        </w:rPr>
        <w:tab/>
        <w:t>3.9 µmol/L</w:t>
      </w:r>
    </w:p>
    <w:p w:rsidR="00B31CA6" w:rsidRPr="00B31CA6" w:rsidRDefault="00B31CA6" w:rsidP="00C30298">
      <w:pPr>
        <w:autoSpaceDE w:val="0"/>
        <w:autoSpaceDN w:val="0"/>
        <w:adjustRightInd w:val="0"/>
        <w:ind w:left="1440" w:hanging="360"/>
        <w:contextualSpacing/>
        <w:jc w:val="both"/>
        <w:rPr>
          <w:rFonts w:ascii="Arial" w:eastAsia="GillAltOneMT-Light--Identity-H" w:hAnsi="Arial" w:cs="Arial"/>
        </w:rPr>
      </w:pPr>
      <w:r w:rsidRPr="00B31CA6">
        <w:rPr>
          <w:rFonts w:ascii="Arial" w:eastAsia="GillAltOneMT-Light--Identity-H" w:hAnsi="Arial" w:cs="Arial"/>
        </w:rPr>
        <w:t>•</w:t>
      </w:r>
      <w:r w:rsidRPr="00B31CA6">
        <w:rPr>
          <w:rFonts w:ascii="Arial" w:eastAsia="GillAltOneMT-Light--Identity-H" w:hAnsi="Arial" w:cs="Arial"/>
        </w:rPr>
        <w:tab/>
        <w:t>Metformin</w:t>
      </w:r>
      <w:r w:rsidRPr="00B31CA6">
        <w:rPr>
          <w:rFonts w:ascii="Arial" w:eastAsia="GillAltOneMT-Light--Identity-H" w:hAnsi="Arial" w:cs="Arial"/>
        </w:rPr>
        <w:tab/>
      </w:r>
      <w:r w:rsidRPr="00B31CA6">
        <w:rPr>
          <w:rFonts w:ascii="Arial" w:eastAsia="GillAltOneMT-Light--Identity-H" w:hAnsi="Arial" w:cs="Arial"/>
        </w:rPr>
        <w:tab/>
        <w:t>310 µmol/L</w:t>
      </w:r>
    </w:p>
    <w:p w:rsidR="00B31CA6" w:rsidRPr="00B31CA6" w:rsidRDefault="00B31CA6" w:rsidP="00C30298">
      <w:pPr>
        <w:autoSpaceDE w:val="0"/>
        <w:autoSpaceDN w:val="0"/>
        <w:adjustRightInd w:val="0"/>
        <w:ind w:left="720"/>
        <w:contextualSpacing/>
        <w:jc w:val="both"/>
        <w:rPr>
          <w:rFonts w:ascii="Arial" w:eastAsia="GillAltOneMT-Light--Identity-H" w:hAnsi="Arial" w:cs="Arial"/>
        </w:rPr>
      </w:pPr>
      <w:r w:rsidRPr="00B31CA6">
        <w:rPr>
          <w:rFonts w:ascii="Arial" w:eastAsia="GillAltOneMT-Light--Identity-H" w:hAnsi="Arial" w:cs="Arial"/>
        </w:rPr>
        <w:t>No significant interference (&lt;5%) was observed at expected serum levels for the above-mentioned drugs.</w:t>
      </w:r>
    </w:p>
    <w:p w:rsidR="000D5BA3" w:rsidRDefault="000D5BA3" w:rsidP="00C30298">
      <w:pPr>
        <w:autoSpaceDE w:val="0"/>
        <w:autoSpaceDN w:val="0"/>
        <w:adjustRightInd w:val="0"/>
        <w:spacing w:after="40"/>
        <w:ind w:left="720"/>
        <w:jc w:val="both"/>
        <w:rPr>
          <w:rFonts w:ascii="Arial" w:eastAsia="GillAltOneMT-Light--Identity-H" w:hAnsi="Arial" w:cs="Arial"/>
          <w:b/>
        </w:rPr>
      </w:pPr>
    </w:p>
    <w:p w:rsidR="00B31CA6" w:rsidRPr="00B31CA6" w:rsidRDefault="00B31CA6" w:rsidP="00C30298">
      <w:pPr>
        <w:autoSpaceDE w:val="0"/>
        <w:autoSpaceDN w:val="0"/>
        <w:adjustRightInd w:val="0"/>
        <w:spacing w:after="40"/>
        <w:ind w:left="720"/>
        <w:jc w:val="both"/>
        <w:rPr>
          <w:rFonts w:ascii="Arial" w:eastAsia="GillAltOneMT-Light--Identity-H" w:hAnsi="Arial" w:cs="Arial"/>
          <w:b/>
        </w:rPr>
      </w:pPr>
      <w:r w:rsidRPr="00B31CA6">
        <w:rPr>
          <w:rFonts w:ascii="Arial" w:eastAsia="GillAltOneMT-Light--Identity-H" w:hAnsi="Arial" w:cs="Arial"/>
          <w:b/>
        </w:rPr>
        <w:t>Important!</w:t>
      </w:r>
    </w:p>
    <w:p w:rsidR="00B31CA6" w:rsidRPr="00B31CA6" w:rsidRDefault="00B31CA6" w:rsidP="00C30298">
      <w:pPr>
        <w:autoSpaceDE w:val="0"/>
        <w:autoSpaceDN w:val="0"/>
        <w:adjustRightInd w:val="0"/>
        <w:ind w:left="720"/>
        <w:contextualSpacing/>
        <w:jc w:val="both"/>
        <w:rPr>
          <w:rFonts w:ascii="Arial" w:eastAsia="GillAltOneMT-Light--Identity-H" w:hAnsi="Arial" w:cs="Arial"/>
        </w:rPr>
      </w:pPr>
      <w:r w:rsidRPr="00B31CA6">
        <w:rPr>
          <w:rFonts w:ascii="Arial" w:eastAsia="GillAltOneMT-Light--Identity-H" w:hAnsi="Arial" w:cs="Arial"/>
        </w:rPr>
        <w:t>It is possible that other substances and/or factors not listed above may interfere with the test and cause false results.</w:t>
      </w:r>
    </w:p>
    <w:p w:rsidR="00B31CA6" w:rsidRPr="00B31CA6" w:rsidRDefault="00B31CA6" w:rsidP="00B31CA6">
      <w:pPr>
        <w:tabs>
          <w:tab w:val="left" w:pos="360"/>
        </w:tabs>
        <w:autoSpaceDE w:val="0"/>
        <w:autoSpaceDN w:val="0"/>
        <w:adjustRightInd w:val="0"/>
        <w:spacing w:after="120" w:line="141" w:lineRule="atLeast"/>
        <w:ind w:left="360"/>
        <w:contextualSpacing/>
        <w:rPr>
          <w:rFonts w:ascii="Arial" w:hAnsi="Arial" w:cs="Arial"/>
          <w:b/>
        </w:rPr>
      </w:pPr>
    </w:p>
    <w:p w:rsidR="00B31CA6" w:rsidRPr="000D5BA3" w:rsidRDefault="007B51A5" w:rsidP="00DE28EA">
      <w:pPr>
        <w:numPr>
          <w:ilvl w:val="0"/>
          <w:numId w:val="1"/>
        </w:numPr>
        <w:tabs>
          <w:tab w:val="left" w:pos="360"/>
        </w:tabs>
        <w:autoSpaceDE w:val="0"/>
        <w:autoSpaceDN w:val="0"/>
        <w:adjustRightInd w:val="0"/>
        <w:spacing w:after="72" w:line="141" w:lineRule="atLeast"/>
        <w:contextualSpacing/>
        <w:rPr>
          <w:rFonts w:ascii="Arial" w:hAnsi="Arial" w:cs="Arial"/>
          <w:b/>
          <w:u w:val="single"/>
        </w:rPr>
      </w:pPr>
      <w:r>
        <w:rPr>
          <w:rFonts w:ascii="Arial" w:hAnsi="Arial" w:cs="Arial"/>
          <w:b/>
        </w:rPr>
        <w:tab/>
      </w:r>
      <w:r w:rsidR="00B31CA6" w:rsidRPr="000D5BA3">
        <w:rPr>
          <w:rFonts w:ascii="Arial" w:hAnsi="Arial" w:cs="Arial"/>
          <w:b/>
          <w:u w:val="single"/>
        </w:rPr>
        <w:t>Performance Characteristics</w:t>
      </w:r>
    </w:p>
    <w:p w:rsidR="00B31CA6" w:rsidRDefault="00B31CA6" w:rsidP="007B51A5">
      <w:pPr>
        <w:tabs>
          <w:tab w:val="left" w:pos="360"/>
        </w:tabs>
        <w:autoSpaceDE w:val="0"/>
        <w:autoSpaceDN w:val="0"/>
        <w:adjustRightInd w:val="0"/>
        <w:spacing w:after="40" w:line="141" w:lineRule="atLeast"/>
        <w:ind w:left="720"/>
        <w:rPr>
          <w:rFonts w:ascii="Arial" w:hAnsi="Arial" w:cs="Arial"/>
        </w:rPr>
      </w:pPr>
      <w:r w:rsidRPr="00B31CA6">
        <w:rPr>
          <w:rFonts w:ascii="Arial" w:hAnsi="Arial" w:cs="Arial"/>
        </w:rPr>
        <w:t xml:space="preserve">The performance data presented in this section are representative data from internal and external studies. Results obtained in individual laboratories may vary.   </w:t>
      </w:r>
    </w:p>
    <w:p w:rsidR="000D5BA3" w:rsidRDefault="000D5BA3" w:rsidP="007B51A5">
      <w:pPr>
        <w:tabs>
          <w:tab w:val="left" w:pos="360"/>
        </w:tabs>
        <w:autoSpaceDE w:val="0"/>
        <w:autoSpaceDN w:val="0"/>
        <w:adjustRightInd w:val="0"/>
        <w:spacing w:after="40" w:line="141" w:lineRule="atLeast"/>
        <w:ind w:left="720"/>
        <w:rPr>
          <w:rFonts w:ascii="Arial" w:hAnsi="Arial" w:cs="Arial"/>
        </w:rPr>
      </w:pPr>
    </w:p>
    <w:p w:rsidR="00003E20" w:rsidRDefault="000D5BA3" w:rsidP="00DE28EA">
      <w:pPr>
        <w:pStyle w:val="ListParagraph"/>
        <w:numPr>
          <w:ilvl w:val="0"/>
          <w:numId w:val="1"/>
        </w:numPr>
        <w:autoSpaceDE w:val="0"/>
        <w:autoSpaceDN w:val="0"/>
        <w:adjustRightInd w:val="0"/>
        <w:spacing w:after="240"/>
        <w:ind w:left="360"/>
        <w:jc w:val="both"/>
        <w:rPr>
          <w:rFonts w:ascii="Arial" w:eastAsia="GillAltOneMT-Light--Identity-H" w:hAnsi="Arial" w:cs="Arial"/>
          <w:b/>
          <w:u w:val="single"/>
        </w:rPr>
      </w:pPr>
      <w:r w:rsidRPr="000D5BA3">
        <w:rPr>
          <w:rFonts w:ascii="Arial" w:eastAsia="GillAltOneMT-Light--Identity-H" w:hAnsi="Arial" w:cs="Arial"/>
          <w:b/>
        </w:rPr>
        <w:tab/>
      </w:r>
      <w:r w:rsidRPr="000D5BA3">
        <w:rPr>
          <w:rFonts w:ascii="Arial" w:eastAsia="GillAltOneMT-Light--Identity-H" w:hAnsi="Arial" w:cs="Arial"/>
          <w:b/>
          <w:u w:val="single"/>
        </w:rPr>
        <w:t>Analytical specificity</w:t>
      </w:r>
    </w:p>
    <w:p w:rsidR="00003E20" w:rsidRPr="00003E20" w:rsidRDefault="00003E20" w:rsidP="00003E20">
      <w:pPr>
        <w:pStyle w:val="ListParagraph"/>
        <w:autoSpaceDE w:val="0"/>
        <w:autoSpaceDN w:val="0"/>
        <w:adjustRightInd w:val="0"/>
        <w:spacing w:after="240"/>
        <w:jc w:val="both"/>
        <w:rPr>
          <w:rFonts w:ascii="Arial" w:eastAsia="GillAltOneMT-Light--Identity-H" w:hAnsi="Arial" w:cs="Arial"/>
          <w:b/>
          <w:u w:val="single"/>
        </w:rPr>
      </w:pPr>
      <w:r w:rsidRPr="00003E20">
        <w:rPr>
          <w:rFonts w:ascii="Arial" w:eastAsia="GillAltOneMT-Light--Identity-H" w:hAnsi="Arial" w:cs="Arial"/>
        </w:rPr>
        <w:t xml:space="preserve">The following hemoglobin (Hb) variants have been analyzed and found not to affect the </w:t>
      </w:r>
      <w:r w:rsidRPr="00003E20">
        <w:rPr>
          <w:rFonts w:ascii="Arial" w:hAnsi="Arial" w:cs="Arial"/>
        </w:rPr>
        <w:t xml:space="preserve">Afinion </w:t>
      </w:r>
      <w:r w:rsidRPr="00003E20">
        <w:rPr>
          <w:rFonts w:ascii="Arial" w:eastAsia="GillAltOneMT-Light--Identity-H" w:hAnsi="Arial" w:cs="Arial"/>
        </w:rPr>
        <w:t>HbA1c test result:  HbAC, HbAD, HbAE, HbF, HbAJ and HbAS</w:t>
      </w:r>
      <w:r w:rsidRPr="00003E20">
        <w:rPr>
          <w:rFonts w:ascii="Arial" w:eastAsia="GillAltOneMT-Light--Identity-H" w:hAnsi="Arial" w:cs="Arial"/>
          <w:vertAlign w:val="superscript"/>
        </w:rPr>
        <w:t>6</w:t>
      </w:r>
      <w:r w:rsidRPr="00003E20">
        <w:rPr>
          <w:rFonts w:ascii="Arial" w:eastAsia="GillAltOneMT-Light--Identity-H" w:hAnsi="Arial" w:cs="Arial"/>
        </w:rPr>
        <w:t xml:space="preserve">. Carbamylated hemoglobin does not affect the </w:t>
      </w:r>
      <w:r w:rsidRPr="00003E20">
        <w:rPr>
          <w:rFonts w:ascii="Arial" w:hAnsi="Arial" w:cs="Arial"/>
        </w:rPr>
        <w:t>Afinion</w:t>
      </w:r>
      <w:r w:rsidRPr="00003E20">
        <w:rPr>
          <w:rFonts w:ascii="Arial" w:eastAsia="GillAltOneMT-Light--Identity-H" w:hAnsi="Arial" w:cs="Arial"/>
        </w:rPr>
        <w:t xml:space="preserve"> HbA1c test result</w:t>
      </w:r>
      <w:r w:rsidRPr="00003E20">
        <w:rPr>
          <w:rFonts w:ascii="Arial" w:eastAsia="GillAltOneMT-Light--Identity-H" w:hAnsi="Arial" w:cs="Arial"/>
          <w:vertAlign w:val="superscript"/>
        </w:rPr>
        <w:t>6</w:t>
      </w:r>
      <w:r w:rsidRPr="00003E20">
        <w:rPr>
          <w:rFonts w:ascii="Arial" w:eastAsia="GillAltOneMT-Light--Identity-H" w:hAnsi="Arial" w:cs="Arial"/>
        </w:rPr>
        <w:t xml:space="preserve">. Pre-glycated hemoglobin does not affect the </w:t>
      </w:r>
      <w:r w:rsidRPr="00003E20">
        <w:rPr>
          <w:rFonts w:ascii="Arial" w:hAnsi="Arial" w:cs="Arial"/>
        </w:rPr>
        <w:t>Afinion</w:t>
      </w:r>
      <w:r w:rsidRPr="00003E20">
        <w:rPr>
          <w:rFonts w:ascii="Arial" w:eastAsia="GillAltOneMT-Light--Identity-H" w:hAnsi="Arial" w:cs="Arial"/>
        </w:rPr>
        <w:t xml:space="preserve"> HbA1c result.</w:t>
      </w:r>
    </w:p>
    <w:p w:rsidR="00B31CA6" w:rsidRPr="00B31CA6" w:rsidRDefault="00B31CA6" w:rsidP="00003E20">
      <w:pPr>
        <w:pStyle w:val="ListParagraph"/>
        <w:tabs>
          <w:tab w:val="left" w:pos="360"/>
        </w:tabs>
        <w:autoSpaceDE w:val="0"/>
        <w:autoSpaceDN w:val="0"/>
        <w:adjustRightInd w:val="0"/>
        <w:spacing w:after="40" w:line="141" w:lineRule="atLeast"/>
        <w:rPr>
          <w:rFonts w:ascii="Arial" w:hAnsi="Arial" w:cs="Arial"/>
          <w:color w:val="000000"/>
        </w:rPr>
      </w:pPr>
    </w:p>
    <w:p w:rsidR="00B31CA6" w:rsidRPr="00B31CA6" w:rsidRDefault="00B31CA6" w:rsidP="00DE28EA">
      <w:pPr>
        <w:numPr>
          <w:ilvl w:val="0"/>
          <w:numId w:val="1"/>
        </w:numPr>
        <w:spacing w:after="72" w:line="200" w:lineRule="atLeast"/>
        <w:rPr>
          <w:rFonts w:ascii="Arial" w:hAnsi="Arial" w:cs="Arial"/>
          <w:b/>
        </w:rPr>
      </w:pPr>
      <w:r w:rsidRPr="00B31CA6">
        <w:rPr>
          <w:rFonts w:ascii="Arial" w:hAnsi="Arial" w:cs="Arial"/>
          <w:b/>
        </w:rPr>
        <w:t>References</w:t>
      </w:r>
    </w:p>
    <w:p w:rsidR="00B31CA6" w:rsidRPr="00B31CA6" w:rsidRDefault="00B31CA6" w:rsidP="00DE28EA">
      <w:pPr>
        <w:numPr>
          <w:ilvl w:val="0"/>
          <w:numId w:val="4"/>
        </w:numPr>
        <w:autoSpaceDE w:val="0"/>
        <w:autoSpaceDN w:val="0"/>
        <w:adjustRightInd w:val="0"/>
        <w:contextualSpacing/>
        <w:jc w:val="both"/>
        <w:rPr>
          <w:rFonts w:ascii="Arial" w:eastAsia="GillAltOneMT-Light--Identity-H" w:hAnsi="Arial" w:cs="Arial"/>
        </w:rPr>
      </w:pPr>
      <w:r w:rsidRPr="00B31CA6">
        <w:rPr>
          <w:rFonts w:ascii="Arial" w:eastAsia="GillAltOneMT-Light--Identity-H" w:hAnsi="Arial" w:cs="Arial"/>
        </w:rPr>
        <w:t>Lenzi S et al.,The Clinical Usefulness of Glycated Hemoglobin in Monitoring Diabetes Mellitus: A long-Term Study. Clin Chem 1987; 33:55-56.</w:t>
      </w:r>
    </w:p>
    <w:p w:rsidR="00B31CA6" w:rsidRPr="00B31CA6" w:rsidRDefault="00B31CA6" w:rsidP="00DE28EA">
      <w:pPr>
        <w:numPr>
          <w:ilvl w:val="0"/>
          <w:numId w:val="4"/>
        </w:numPr>
        <w:autoSpaceDE w:val="0"/>
        <w:autoSpaceDN w:val="0"/>
        <w:adjustRightInd w:val="0"/>
        <w:contextualSpacing/>
        <w:jc w:val="both"/>
        <w:rPr>
          <w:rFonts w:ascii="Arial" w:eastAsia="GillAltOneMT-Light--Identity-H" w:hAnsi="Arial" w:cs="Arial"/>
        </w:rPr>
      </w:pPr>
      <w:r w:rsidRPr="00B31CA6">
        <w:rPr>
          <w:rFonts w:ascii="Arial" w:eastAsia="GillAltOneMT-Light--Identity-H" w:hAnsi="Arial" w:cs="Arial"/>
        </w:rPr>
        <w:t>Frantzen F, Studies on glycated hemoglobin and new analytical methods for its determination. Dr. philos. thesis. NTNU,Trondheim 1998. ISBN 82-7861-116-5.</w:t>
      </w:r>
    </w:p>
    <w:p w:rsidR="00B31CA6" w:rsidRPr="00B31CA6" w:rsidRDefault="00B31CA6" w:rsidP="00DE28EA">
      <w:pPr>
        <w:numPr>
          <w:ilvl w:val="0"/>
          <w:numId w:val="4"/>
        </w:numPr>
        <w:autoSpaceDE w:val="0"/>
        <w:autoSpaceDN w:val="0"/>
        <w:adjustRightInd w:val="0"/>
        <w:contextualSpacing/>
        <w:jc w:val="both"/>
        <w:rPr>
          <w:rFonts w:ascii="Arial" w:eastAsia="GillAltOneMT-Light--Identity-H" w:hAnsi="Arial" w:cs="Arial"/>
        </w:rPr>
      </w:pPr>
      <w:r w:rsidRPr="00B31CA6">
        <w:rPr>
          <w:rFonts w:ascii="Arial" w:eastAsia="GillAltOneMT-Light--Identity-H" w:hAnsi="Arial" w:cs="Arial"/>
        </w:rPr>
        <w:t>The Diabetes Control and Complications Trial Research Group,The Effect of Intensive Treatment of Diabetes on the Development and Progression of Long-Term Complications in Insulin-Dependent Diabetes Mellitus. N Engl J Med 1993; 329:977-986.</w:t>
      </w:r>
    </w:p>
    <w:p w:rsidR="00B31CA6" w:rsidRPr="00B31CA6" w:rsidRDefault="00B31CA6" w:rsidP="00DE28EA">
      <w:pPr>
        <w:numPr>
          <w:ilvl w:val="3"/>
          <w:numId w:val="4"/>
        </w:numPr>
        <w:autoSpaceDE w:val="0"/>
        <w:autoSpaceDN w:val="0"/>
        <w:adjustRightInd w:val="0"/>
        <w:ind w:left="720" w:hanging="450"/>
        <w:contextualSpacing/>
        <w:jc w:val="both"/>
        <w:rPr>
          <w:rFonts w:ascii="Arial" w:eastAsia="GillAltOneMT-Light--Identity-H" w:hAnsi="Arial" w:cs="Arial"/>
        </w:rPr>
      </w:pPr>
      <w:r w:rsidRPr="00B31CA6">
        <w:rPr>
          <w:rFonts w:ascii="Arial" w:eastAsia="GillAltOneMT-Light--Identity-H" w:hAnsi="Arial" w:cs="Arial"/>
        </w:rPr>
        <w:t>Sacks DB et al., Guidelines and Recommendations for Laboratory Analysis in the Diagnosis and Management of Diabetes Mellitus. Clin Chem 2002; 48:436-472.</w:t>
      </w:r>
    </w:p>
    <w:p w:rsidR="00B31CA6" w:rsidRPr="00B31CA6" w:rsidRDefault="00B31CA6" w:rsidP="00DE28EA">
      <w:pPr>
        <w:numPr>
          <w:ilvl w:val="3"/>
          <w:numId w:val="4"/>
        </w:numPr>
        <w:autoSpaceDE w:val="0"/>
        <w:autoSpaceDN w:val="0"/>
        <w:adjustRightInd w:val="0"/>
        <w:ind w:left="720" w:hanging="450"/>
        <w:contextualSpacing/>
        <w:jc w:val="both"/>
        <w:rPr>
          <w:rFonts w:ascii="Arial" w:eastAsia="GillAltOneMT-Light--Identity-H" w:hAnsi="Arial" w:cs="Arial"/>
        </w:rPr>
      </w:pPr>
      <w:r w:rsidRPr="00B31CA6">
        <w:rPr>
          <w:rFonts w:ascii="Arial" w:eastAsia="GillAltOneMT-Light--Identity-H" w:hAnsi="Arial" w:cs="Arial"/>
        </w:rPr>
        <w:t>Stratton IM et al., Association of glycaemia with macrovascular and microvascular complications of type 2 diabetes: prospective observational study (UKPDS 35). BMJ 2000; 321:405-412.</w:t>
      </w:r>
    </w:p>
    <w:p w:rsidR="00B31CA6" w:rsidRPr="00B31CA6" w:rsidRDefault="00B31CA6" w:rsidP="00DE28EA">
      <w:pPr>
        <w:numPr>
          <w:ilvl w:val="3"/>
          <w:numId w:val="4"/>
        </w:numPr>
        <w:autoSpaceDE w:val="0"/>
        <w:autoSpaceDN w:val="0"/>
        <w:adjustRightInd w:val="0"/>
        <w:ind w:left="720" w:hanging="450"/>
        <w:contextualSpacing/>
        <w:jc w:val="both"/>
        <w:rPr>
          <w:rFonts w:ascii="Arial" w:eastAsia="GillAltOneMT-Light--Identity-H" w:hAnsi="Arial" w:cs="Arial"/>
        </w:rPr>
      </w:pPr>
      <w:r w:rsidRPr="00B31CA6">
        <w:rPr>
          <w:rFonts w:ascii="Arial" w:eastAsia="GillAltOneMT-Light--Identity-H" w:hAnsi="Arial" w:cs="Arial"/>
        </w:rPr>
        <w:t>Jeppsson JO et al., Approved IFCC Reference Method for the Measurement of HbA1c in Human Blood, Clin Chem Lab Med 2002; 40(1):78-89.</w:t>
      </w:r>
    </w:p>
    <w:p w:rsidR="00B31CA6" w:rsidRPr="00B31CA6" w:rsidRDefault="00B31CA6" w:rsidP="00DE28EA">
      <w:pPr>
        <w:numPr>
          <w:ilvl w:val="3"/>
          <w:numId w:val="4"/>
        </w:numPr>
        <w:autoSpaceDE w:val="0"/>
        <w:autoSpaceDN w:val="0"/>
        <w:adjustRightInd w:val="0"/>
        <w:ind w:left="720" w:hanging="450"/>
        <w:contextualSpacing/>
        <w:jc w:val="both"/>
        <w:rPr>
          <w:rFonts w:ascii="Arial" w:eastAsia="GillAltOneMT-Light--Identity-H" w:hAnsi="Arial" w:cs="Arial"/>
        </w:rPr>
      </w:pPr>
      <w:r w:rsidRPr="00B31CA6">
        <w:rPr>
          <w:rFonts w:ascii="Arial" w:eastAsia="GillAltOneMT-Light--Identity-H" w:hAnsi="Arial" w:cs="Arial"/>
        </w:rPr>
        <w:t>Weykamp et al., The IFCC Reference Measurement System for HbA1c: a 6-year progress report. Clin Chem 2008; 54(2):240-248.</w:t>
      </w:r>
    </w:p>
    <w:p w:rsidR="00B31CA6" w:rsidRPr="00B31CA6" w:rsidRDefault="00B31CA6" w:rsidP="00DE28EA">
      <w:pPr>
        <w:numPr>
          <w:ilvl w:val="3"/>
          <w:numId w:val="4"/>
        </w:numPr>
        <w:autoSpaceDE w:val="0"/>
        <w:autoSpaceDN w:val="0"/>
        <w:adjustRightInd w:val="0"/>
        <w:ind w:left="720" w:hanging="450"/>
        <w:contextualSpacing/>
        <w:jc w:val="both"/>
        <w:rPr>
          <w:rFonts w:ascii="Arial" w:eastAsia="GillAltOneMT-Light--Identity-H" w:hAnsi="Arial" w:cs="Arial"/>
        </w:rPr>
      </w:pPr>
      <w:r w:rsidRPr="00B31CA6">
        <w:rPr>
          <w:rFonts w:ascii="Arial" w:eastAsia="GillAltOneMT-Light--Identity-H" w:hAnsi="Arial" w:cs="Arial"/>
        </w:rPr>
        <w:t>Hoelzel W et. Al., IFCC reference system for measurement of hemoglobin A1c in human blood and the national standardization schemes in the United States, Japan and Sweden: a method comparison study. Clin Chem 2004; 50(1):166-174.</w:t>
      </w:r>
    </w:p>
    <w:p w:rsidR="00B31CA6" w:rsidRPr="00DE0FC7" w:rsidRDefault="00B31CA6" w:rsidP="00B31CA6">
      <w:pPr>
        <w:numPr>
          <w:ilvl w:val="3"/>
          <w:numId w:val="4"/>
        </w:numPr>
        <w:tabs>
          <w:tab w:val="left" w:pos="720"/>
        </w:tabs>
        <w:autoSpaceDE w:val="0"/>
        <w:autoSpaceDN w:val="0"/>
        <w:adjustRightInd w:val="0"/>
        <w:ind w:left="720" w:hanging="540"/>
        <w:contextualSpacing/>
        <w:jc w:val="both"/>
        <w:rPr>
          <w:rFonts w:ascii="Arial" w:eastAsia="GillAltOneMT-Light--Identity-H" w:hAnsi="Arial" w:cs="Arial"/>
        </w:rPr>
      </w:pPr>
      <w:r w:rsidRPr="00B31CA6">
        <w:rPr>
          <w:rFonts w:ascii="Arial" w:eastAsia="GillAltOneMT-Light--Identity-H" w:hAnsi="Arial" w:cs="Arial"/>
        </w:rPr>
        <w:t>American Diabetes Association. Glycemic Target. Diabetes Care 2019;42Suppl. 1):S61-S70.</w:t>
      </w:r>
      <w:bookmarkStart w:id="0" w:name="_GoBack"/>
      <w:bookmarkEnd w:id="0"/>
    </w:p>
    <w:sectPr w:rsidR="00B31CA6" w:rsidRPr="00DE0FC7" w:rsidSect="00E47DEB">
      <w:headerReference w:type="default" r:id="rId15"/>
      <w:footerReference w:type="default" r:id="rId16"/>
      <w:pgSz w:w="12240" w:h="15840" w:code="1"/>
      <w:pgMar w:top="1152" w:right="1440" w:bottom="1152" w:left="1440" w:header="144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9E" w:rsidRDefault="00373B9E">
      <w:r>
        <w:separator/>
      </w:r>
    </w:p>
  </w:endnote>
  <w:endnote w:type="continuationSeparator" w:id="0">
    <w:p w:rsidR="00373B9E" w:rsidRDefault="003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AltOneMT-Light--Identity-H">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AltOneMT-LightItalic--Iden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Default="00AD18BE">
    <w:pPr>
      <w:spacing w:line="19" w:lineRule="exact"/>
    </w:pPr>
    <w:r>
      <w:rPr>
        <w:noProof/>
      </w:rPr>
      <mc:AlternateContent>
        <mc:Choice Requires="wps">
          <w:drawing>
            <wp:anchor distT="0" distB="0" distL="114300" distR="114300" simplePos="0" relativeHeight="251659264"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D311"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9838F9" w:rsidRDefault="00CF2746">
    <w:pPr>
      <w:tabs>
        <w:tab w:val="left" w:pos="-1440"/>
      </w:tabs>
      <w:ind w:left="7920" w:hanging="7920"/>
      <w:rPr>
        <w:rFonts w:ascii="Arial" w:hAnsi="Arial" w:cs="Arial"/>
        <w:color w:val="000000"/>
        <w:sz w:val="16"/>
        <w:szCs w:val="16"/>
      </w:rPr>
    </w:pP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DE0FC7">
      <w:rPr>
        <w:rFonts w:ascii="Arial" w:hAnsi="Arial" w:cs="Arial"/>
        <w:noProof/>
        <w:sz w:val="16"/>
        <w:szCs w:val="16"/>
      </w:rPr>
      <w:t>6</w:t>
    </w:r>
    <w:r w:rsidRPr="005E63FD">
      <w:rPr>
        <w:rFonts w:ascii="Arial" w:hAnsi="Arial" w:cs="Arial"/>
        <w:sz w:val="16"/>
        <w:szCs w:val="16"/>
      </w:rPr>
      <w:fldChar w:fldCharType="end"/>
    </w:r>
    <w:r w:rsidRPr="005E63FD">
      <w:rPr>
        <w:rFonts w:ascii="Arial" w:hAnsi="Arial" w:cs="Arial"/>
        <w:sz w:val="16"/>
        <w:szCs w:val="16"/>
      </w:rPr>
      <w:t xml:space="preserve"> of</w:t>
    </w:r>
    <w:r>
      <w:rPr>
        <w:rFonts w:ascii="Arial" w:hAnsi="Arial" w:cs="Arial"/>
        <w:sz w:val="16"/>
        <w:szCs w:val="16"/>
      </w:rPr>
      <w:t xml:space="preserve"> </w:t>
    </w:r>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DE0FC7">
      <w:rPr>
        <w:rFonts w:ascii="Arial" w:hAnsi="Arial" w:cs="Arial"/>
        <w:noProof/>
        <w:sz w:val="16"/>
        <w:szCs w:val="16"/>
      </w:rPr>
      <w:t>11</w:t>
    </w:r>
    <w:r w:rsidRPr="005E63F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9E" w:rsidRDefault="00373B9E">
      <w:r>
        <w:separator/>
      </w:r>
    </w:p>
  </w:footnote>
  <w:footnote w:type="continuationSeparator" w:id="0">
    <w:p w:rsidR="00373B9E" w:rsidRDefault="0037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Pr="00BB20F9" w:rsidRDefault="00CF2746">
    <w:pPr>
      <w:jc w:val="right"/>
      <w:rPr>
        <w:rFonts w:ascii="Arial" w:hAnsi="Arial" w:cs="Arial"/>
        <w:sz w:val="16"/>
        <w:szCs w:val="16"/>
      </w:rPr>
    </w:pPr>
    <w:r w:rsidRPr="005E63FD">
      <w:rPr>
        <w:rFonts w:ascii="Arial" w:hAnsi="Arial" w:cs="Arial"/>
        <w:sz w:val="16"/>
        <w:szCs w:val="16"/>
      </w:rPr>
      <w:t>The Chickasaw Nation</w:t>
    </w:r>
  </w:p>
  <w:p w:rsidR="00CF2746" w:rsidRDefault="00CF2746"/>
  <w:p w:rsidR="00CF2746" w:rsidRDefault="00AD18BE">
    <w:pPr>
      <w:spacing w:line="19" w:lineRule="exact"/>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BF2F2"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dcg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CZ+NXd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CF2746" w:rsidRDefault="00CF274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741"/>
    <w:multiLevelType w:val="hybridMultilevel"/>
    <w:tmpl w:val="A1023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87F36"/>
    <w:multiLevelType w:val="hybridMultilevel"/>
    <w:tmpl w:val="BBC6444E"/>
    <w:lvl w:ilvl="0" w:tplc="5FB049BA">
      <w:start w:val="100"/>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9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15:restartNumberingAfterBreak="0">
    <w:nsid w:val="11620014"/>
    <w:multiLevelType w:val="hybridMultilevel"/>
    <w:tmpl w:val="6DB4EC4A"/>
    <w:lvl w:ilvl="0" w:tplc="46E07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07F55"/>
    <w:multiLevelType w:val="hybridMultilevel"/>
    <w:tmpl w:val="0DD86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7644D"/>
    <w:multiLevelType w:val="hybridMultilevel"/>
    <w:tmpl w:val="513E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56408"/>
    <w:multiLevelType w:val="hybridMultilevel"/>
    <w:tmpl w:val="C35AF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EA5BC4"/>
    <w:multiLevelType w:val="hybridMultilevel"/>
    <w:tmpl w:val="A0FC8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E19D4"/>
    <w:multiLevelType w:val="hybridMultilevel"/>
    <w:tmpl w:val="103A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65066"/>
    <w:multiLevelType w:val="hybridMultilevel"/>
    <w:tmpl w:val="1CE8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07339"/>
    <w:multiLevelType w:val="hybridMultilevel"/>
    <w:tmpl w:val="462A2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AA6AE5"/>
    <w:multiLevelType w:val="hybridMultilevel"/>
    <w:tmpl w:val="61C2D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8B52A1"/>
    <w:multiLevelType w:val="hybridMultilevel"/>
    <w:tmpl w:val="575278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842445"/>
    <w:multiLevelType w:val="hybridMultilevel"/>
    <w:tmpl w:val="6770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43400E"/>
    <w:multiLevelType w:val="hybridMultilevel"/>
    <w:tmpl w:val="24B20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718AE"/>
    <w:multiLevelType w:val="hybridMultilevel"/>
    <w:tmpl w:val="FD344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BD50EB"/>
    <w:multiLevelType w:val="hybridMultilevel"/>
    <w:tmpl w:val="2DDCA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2F4CDB"/>
    <w:multiLevelType w:val="hybridMultilevel"/>
    <w:tmpl w:val="7536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5596D"/>
    <w:multiLevelType w:val="hybridMultilevel"/>
    <w:tmpl w:val="A936E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C722B"/>
    <w:multiLevelType w:val="hybridMultilevel"/>
    <w:tmpl w:val="E5AC9248"/>
    <w:lvl w:ilvl="0" w:tplc="5FB049BA">
      <w:start w:val="100"/>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2419D"/>
    <w:multiLevelType w:val="hybridMultilevel"/>
    <w:tmpl w:val="4022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C03656"/>
    <w:multiLevelType w:val="hybridMultilevel"/>
    <w:tmpl w:val="A42C9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387090"/>
    <w:multiLevelType w:val="hybridMultilevel"/>
    <w:tmpl w:val="811454CC"/>
    <w:lvl w:ilvl="0" w:tplc="26387F3A">
      <w:numFmt w:val="bullet"/>
      <w:lvlText w:val="•"/>
      <w:lvlJc w:val="left"/>
      <w:pPr>
        <w:ind w:left="1440" w:hanging="360"/>
      </w:pPr>
      <w:rPr>
        <w:rFonts w:ascii="Arial" w:eastAsia="GillAltOneMT-Light--Identity-H"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30A05"/>
    <w:multiLevelType w:val="hybridMultilevel"/>
    <w:tmpl w:val="59AC9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580E83"/>
    <w:multiLevelType w:val="hybridMultilevel"/>
    <w:tmpl w:val="C6E6E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B5479D"/>
    <w:multiLevelType w:val="singleLevel"/>
    <w:tmpl w:val="32DA57CC"/>
    <w:lvl w:ilvl="0">
      <w:start w:val="1"/>
      <w:numFmt w:val="upperLetter"/>
      <w:lvlText w:val="%1."/>
      <w:legacy w:legacy="1" w:legacySpace="0" w:legacyIndent="360"/>
      <w:lvlJc w:val="left"/>
      <w:pPr>
        <w:ind w:left="720" w:hanging="360"/>
      </w:pPr>
    </w:lvl>
  </w:abstractNum>
  <w:abstractNum w:abstractNumId="26" w15:restartNumberingAfterBreak="0">
    <w:nsid w:val="7248082B"/>
    <w:multiLevelType w:val="hybridMultilevel"/>
    <w:tmpl w:val="FEB8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36243"/>
    <w:multiLevelType w:val="hybridMultilevel"/>
    <w:tmpl w:val="02FE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E2AD9"/>
    <w:multiLevelType w:val="singleLevel"/>
    <w:tmpl w:val="04090013"/>
    <w:lvl w:ilvl="0">
      <w:start w:val="1"/>
      <w:numFmt w:val="upperRoman"/>
      <w:lvlText w:val="%1."/>
      <w:lvlJc w:val="right"/>
      <w:pPr>
        <w:ind w:left="720" w:hanging="360"/>
      </w:pPr>
      <w:rPr>
        <w:b/>
        <w:i w:val="0"/>
        <w:strike w:val="0"/>
        <w:sz w:val="20"/>
        <w:szCs w:val="20"/>
      </w:rPr>
    </w:lvl>
  </w:abstractNum>
  <w:abstractNum w:abstractNumId="29" w15:restartNumberingAfterBreak="0">
    <w:nsid w:val="7EF95ECC"/>
    <w:multiLevelType w:val="hybridMultilevel"/>
    <w:tmpl w:val="157C8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5"/>
  </w:num>
  <w:num w:numId="3">
    <w:abstractNumId w:val="12"/>
  </w:num>
  <w:num w:numId="4">
    <w:abstractNumId w:val="4"/>
  </w:num>
  <w:num w:numId="5">
    <w:abstractNumId w:val="22"/>
  </w:num>
  <w:num w:numId="6">
    <w:abstractNumId w:val="0"/>
  </w:num>
  <w:num w:numId="7">
    <w:abstractNumId w:val="18"/>
  </w:num>
  <w:num w:numId="8">
    <w:abstractNumId w:val="1"/>
  </w:num>
  <w:num w:numId="9">
    <w:abstractNumId w:val="19"/>
  </w:num>
  <w:num w:numId="10">
    <w:abstractNumId w:val="7"/>
  </w:num>
  <w:num w:numId="11">
    <w:abstractNumId w:val="3"/>
  </w:num>
  <w:num w:numId="12">
    <w:abstractNumId w:val="14"/>
  </w:num>
  <w:num w:numId="13">
    <w:abstractNumId w:val="20"/>
  </w:num>
  <w:num w:numId="14">
    <w:abstractNumId w:val="23"/>
  </w:num>
  <w:num w:numId="15">
    <w:abstractNumId w:val="16"/>
  </w:num>
  <w:num w:numId="16">
    <w:abstractNumId w:val="13"/>
  </w:num>
  <w:num w:numId="17">
    <w:abstractNumId w:val="21"/>
  </w:num>
  <w:num w:numId="18">
    <w:abstractNumId w:val="15"/>
  </w:num>
  <w:num w:numId="19">
    <w:abstractNumId w:val="29"/>
  </w:num>
  <w:num w:numId="20">
    <w:abstractNumId w:val="11"/>
  </w:num>
  <w:num w:numId="21">
    <w:abstractNumId w:val="6"/>
  </w:num>
  <w:num w:numId="22">
    <w:abstractNumId w:val="17"/>
  </w:num>
  <w:num w:numId="23">
    <w:abstractNumId w:val="26"/>
  </w:num>
  <w:num w:numId="24">
    <w:abstractNumId w:val="9"/>
  </w:num>
  <w:num w:numId="25">
    <w:abstractNumId w:val="27"/>
  </w:num>
  <w:num w:numId="26">
    <w:abstractNumId w:val="5"/>
  </w:num>
  <w:num w:numId="27">
    <w:abstractNumId w:val="8"/>
  </w:num>
  <w:num w:numId="28">
    <w:abstractNumId w:val="10"/>
  </w:num>
  <w:num w:numId="29">
    <w:abstractNumId w:val="2"/>
  </w:num>
  <w:num w:numId="3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66"/>
    <w:rsid w:val="000006E0"/>
    <w:rsid w:val="00003E20"/>
    <w:rsid w:val="000149E6"/>
    <w:rsid w:val="00044F92"/>
    <w:rsid w:val="00050E1F"/>
    <w:rsid w:val="00073A85"/>
    <w:rsid w:val="00077D3E"/>
    <w:rsid w:val="0008078F"/>
    <w:rsid w:val="00081857"/>
    <w:rsid w:val="000962E0"/>
    <w:rsid w:val="000A67EB"/>
    <w:rsid w:val="000C6C75"/>
    <w:rsid w:val="000C765E"/>
    <w:rsid w:val="000D5BA3"/>
    <w:rsid w:val="00100310"/>
    <w:rsid w:val="0010740F"/>
    <w:rsid w:val="00151B0C"/>
    <w:rsid w:val="00157743"/>
    <w:rsid w:val="001743A0"/>
    <w:rsid w:val="00183866"/>
    <w:rsid w:val="001B4002"/>
    <w:rsid w:val="001C4CC4"/>
    <w:rsid w:val="001D229C"/>
    <w:rsid w:val="001D6375"/>
    <w:rsid w:val="0021261E"/>
    <w:rsid w:val="00222B94"/>
    <w:rsid w:val="00223574"/>
    <w:rsid w:val="00225AEB"/>
    <w:rsid w:val="00242AD5"/>
    <w:rsid w:val="0024383F"/>
    <w:rsid w:val="00245121"/>
    <w:rsid w:val="00255774"/>
    <w:rsid w:val="00257CC5"/>
    <w:rsid w:val="0028069F"/>
    <w:rsid w:val="00297E57"/>
    <w:rsid w:val="002A054D"/>
    <w:rsid w:val="002B75E2"/>
    <w:rsid w:val="002C339D"/>
    <w:rsid w:val="002D5B8F"/>
    <w:rsid w:val="00315C14"/>
    <w:rsid w:val="00326558"/>
    <w:rsid w:val="00341025"/>
    <w:rsid w:val="00366008"/>
    <w:rsid w:val="00373B9E"/>
    <w:rsid w:val="00380FC9"/>
    <w:rsid w:val="003A1C5C"/>
    <w:rsid w:val="003C241D"/>
    <w:rsid w:val="003C7C33"/>
    <w:rsid w:val="003E226E"/>
    <w:rsid w:val="004020F8"/>
    <w:rsid w:val="00415B74"/>
    <w:rsid w:val="004214E2"/>
    <w:rsid w:val="00462B95"/>
    <w:rsid w:val="00467B43"/>
    <w:rsid w:val="00477373"/>
    <w:rsid w:val="004937A8"/>
    <w:rsid w:val="004C64DA"/>
    <w:rsid w:val="004E2045"/>
    <w:rsid w:val="004E267A"/>
    <w:rsid w:val="004F10D2"/>
    <w:rsid w:val="004F45F3"/>
    <w:rsid w:val="00535573"/>
    <w:rsid w:val="0054110A"/>
    <w:rsid w:val="00591425"/>
    <w:rsid w:val="00596FE2"/>
    <w:rsid w:val="005A463E"/>
    <w:rsid w:val="005C7BF6"/>
    <w:rsid w:val="005D1296"/>
    <w:rsid w:val="005D6CA6"/>
    <w:rsid w:val="005E0F49"/>
    <w:rsid w:val="005E167D"/>
    <w:rsid w:val="005E63FD"/>
    <w:rsid w:val="005F10BC"/>
    <w:rsid w:val="006178CB"/>
    <w:rsid w:val="0062211C"/>
    <w:rsid w:val="00622E3C"/>
    <w:rsid w:val="00627F06"/>
    <w:rsid w:val="0063029F"/>
    <w:rsid w:val="00645840"/>
    <w:rsid w:val="00646309"/>
    <w:rsid w:val="00660A84"/>
    <w:rsid w:val="00691DB8"/>
    <w:rsid w:val="00693CE4"/>
    <w:rsid w:val="006A03B3"/>
    <w:rsid w:val="006B2BA3"/>
    <w:rsid w:val="006D5A14"/>
    <w:rsid w:val="0071084C"/>
    <w:rsid w:val="00715221"/>
    <w:rsid w:val="00723585"/>
    <w:rsid w:val="00753371"/>
    <w:rsid w:val="00760706"/>
    <w:rsid w:val="00761C15"/>
    <w:rsid w:val="0077083F"/>
    <w:rsid w:val="00774FBD"/>
    <w:rsid w:val="00777CA8"/>
    <w:rsid w:val="00786E5D"/>
    <w:rsid w:val="007B51A5"/>
    <w:rsid w:val="007C7A6F"/>
    <w:rsid w:val="007D5B36"/>
    <w:rsid w:val="007E1294"/>
    <w:rsid w:val="007E46E7"/>
    <w:rsid w:val="007F49E5"/>
    <w:rsid w:val="00830FEE"/>
    <w:rsid w:val="00845B73"/>
    <w:rsid w:val="0085692D"/>
    <w:rsid w:val="0085724B"/>
    <w:rsid w:val="008C20A7"/>
    <w:rsid w:val="008D1ADB"/>
    <w:rsid w:val="008E3430"/>
    <w:rsid w:val="008E6CA1"/>
    <w:rsid w:val="008F3F15"/>
    <w:rsid w:val="00916939"/>
    <w:rsid w:val="00927D08"/>
    <w:rsid w:val="0094211C"/>
    <w:rsid w:val="00951302"/>
    <w:rsid w:val="00956943"/>
    <w:rsid w:val="009741AE"/>
    <w:rsid w:val="0098098D"/>
    <w:rsid w:val="009838F9"/>
    <w:rsid w:val="009A6179"/>
    <w:rsid w:val="009B3BC9"/>
    <w:rsid w:val="009C4C4B"/>
    <w:rsid w:val="009E489C"/>
    <w:rsid w:val="009F61EA"/>
    <w:rsid w:val="009F7F4E"/>
    <w:rsid w:val="00A03169"/>
    <w:rsid w:val="00A05224"/>
    <w:rsid w:val="00A074F5"/>
    <w:rsid w:val="00A07736"/>
    <w:rsid w:val="00A16B71"/>
    <w:rsid w:val="00A20E99"/>
    <w:rsid w:val="00A261C9"/>
    <w:rsid w:val="00A30BE6"/>
    <w:rsid w:val="00A30C4E"/>
    <w:rsid w:val="00A52EA0"/>
    <w:rsid w:val="00A56464"/>
    <w:rsid w:val="00A6113D"/>
    <w:rsid w:val="00A619AE"/>
    <w:rsid w:val="00A6248D"/>
    <w:rsid w:val="00A70BD0"/>
    <w:rsid w:val="00A773C8"/>
    <w:rsid w:val="00A808F3"/>
    <w:rsid w:val="00A86D6A"/>
    <w:rsid w:val="00A902C2"/>
    <w:rsid w:val="00A90865"/>
    <w:rsid w:val="00A9157C"/>
    <w:rsid w:val="00AA2F87"/>
    <w:rsid w:val="00AC2E13"/>
    <w:rsid w:val="00AC59F3"/>
    <w:rsid w:val="00AD18BE"/>
    <w:rsid w:val="00AD30BC"/>
    <w:rsid w:val="00AF0361"/>
    <w:rsid w:val="00AF1938"/>
    <w:rsid w:val="00B31CA6"/>
    <w:rsid w:val="00B4192B"/>
    <w:rsid w:val="00B62E69"/>
    <w:rsid w:val="00B9108B"/>
    <w:rsid w:val="00BB20F9"/>
    <w:rsid w:val="00BB7530"/>
    <w:rsid w:val="00BF7375"/>
    <w:rsid w:val="00C009F6"/>
    <w:rsid w:val="00C16E91"/>
    <w:rsid w:val="00C30298"/>
    <w:rsid w:val="00C73D3C"/>
    <w:rsid w:val="00C76E06"/>
    <w:rsid w:val="00C972C8"/>
    <w:rsid w:val="00CA02EF"/>
    <w:rsid w:val="00CE5F37"/>
    <w:rsid w:val="00CF2746"/>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D2D34"/>
    <w:rsid w:val="00DE0FC7"/>
    <w:rsid w:val="00DE28EA"/>
    <w:rsid w:val="00DF3D94"/>
    <w:rsid w:val="00DF4A06"/>
    <w:rsid w:val="00E06350"/>
    <w:rsid w:val="00E1060B"/>
    <w:rsid w:val="00E1104F"/>
    <w:rsid w:val="00E13FF1"/>
    <w:rsid w:val="00E14A6C"/>
    <w:rsid w:val="00E20EDC"/>
    <w:rsid w:val="00E24CD2"/>
    <w:rsid w:val="00E31A64"/>
    <w:rsid w:val="00E47DEB"/>
    <w:rsid w:val="00E65051"/>
    <w:rsid w:val="00E73714"/>
    <w:rsid w:val="00E74562"/>
    <w:rsid w:val="00E87565"/>
    <w:rsid w:val="00E95578"/>
    <w:rsid w:val="00EA766E"/>
    <w:rsid w:val="00EA7A74"/>
    <w:rsid w:val="00EB22EA"/>
    <w:rsid w:val="00EF6961"/>
    <w:rsid w:val="00F05F39"/>
    <w:rsid w:val="00F11D85"/>
    <w:rsid w:val="00F52975"/>
    <w:rsid w:val="00F5445D"/>
    <w:rsid w:val="00F745CB"/>
    <w:rsid w:val="00F80794"/>
    <w:rsid w:val="00F86ADE"/>
    <w:rsid w:val="00F93896"/>
    <w:rsid w:val="00FB4929"/>
    <w:rsid w:val="00FE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9D1BB1"/>
  <w15:docId w15:val="{DBDFD0D1-BFF2-49C5-AF94-3F391716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pPr>
    <w:rPr>
      <w:rFonts w:ascii="Arial" w:hAnsi="Arial"/>
    </w:rPr>
  </w:style>
  <w:style w:type="paragraph" w:styleId="Title">
    <w:name w:val="Title"/>
    <w:basedOn w:val="Normal"/>
    <w:qFormat/>
    <w:pPr>
      <w:jc w:val="center"/>
    </w:pPr>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rsid w:val="004E2045"/>
    <w:pPr>
      <w:spacing w:after="120"/>
      <w:ind w:left="360"/>
    </w:pPr>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semiHidden/>
    <w:rsid w:val="0085724B"/>
    <w:rPr>
      <w:rFonts w:ascii="Tahoma" w:hAnsi="Tahoma" w:cs="Tahoma"/>
      <w:sz w:val="16"/>
      <w:szCs w:val="16"/>
    </w:rPr>
  </w:style>
  <w:style w:type="table" w:styleId="TableGrid">
    <w:name w:val="Table Grid"/>
    <w:basedOn w:val="TableNormal"/>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96FE2"/>
    <w:rPr>
      <w:color w:val="606420"/>
      <w:u w:val="single"/>
    </w:rPr>
  </w:style>
  <w:style w:type="character" w:customStyle="1" w:styleId="HeaderChar">
    <w:name w:val="Header Char"/>
    <w:link w:val="Header"/>
    <w:rsid w:val="0098098D"/>
    <w:rPr>
      <w:sz w:val="24"/>
      <w:szCs w:val="24"/>
    </w:rPr>
  </w:style>
  <w:style w:type="paragraph" w:styleId="ListParagraph">
    <w:name w:val="List Paragraph"/>
    <w:basedOn w:val="Normal"/>
    <w:uiPriority w:val="34"/>
    <w:qFormat/>
    <w:rsid w:val="00E11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afinion.support@ale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creator>Regina Klupenger</dc:creator>
  <cp:lastModifiedBy>Melissa Washington</cp:lastModifiedBy>
  <cp:revision>5</cp:revision>
  <cp:lastPrinted>2021-11-12T15:34:00Z</cp:lastPrinted>
  <dcterms:created xsi:type="dcterms:W3CDTF">2021-11-12T16:05:00Z</dcterms:created>
  <dcterms:modified xsi:type="dcterms:W3CDTF">2021-12-07T21:27:00Z</dcterms:modified>
</cp:coreProperties>
</file>