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866" w:rsidRPr="00183866" w:rsidRDefault="00183866" w:rsidP="000A67EB">
      <w:pPr>
        <w:pStyle w:val="Title"/>
        <w:jc w:val="both"/>
        <w:rPr>
          <w:b w:val="0"/>
          <w:sz w:val="24"/>
          <w:szCs w:val="24"/>
        </w:rPr>
      </w:pPr>
    </w:p>
    <w:p w:rsidR="00BF2D94" w:rsidRPr="000D059C" w:rsidRDefault="005D1296" w:rsidP="00BF2D94">
      <w:pPr>
        <w:rPr>
          <w:b/>
          <w:bCs/>
          <w:sz w:val="32"/>
          <w:szCs w:val="32"/>
        </w:rPr>
      </w:pPr>
      <w:r>
        <w:rPr>
          <w:sz w:val="32"/>
          <w:szCs w:val="32"/>
        </w:rPr>
        <w:t xml:space="preserve">    </w:t>
      </w:r>
      <w:r w:rsidR="00C16E91">
        <w:rPr>
          <w:sz w:val="32"/>
          <w:szCs w:val="32"/>
        </w:rPr>
        <w:tab/>
      </w:r>
      <w:r w:rsidR="00BF2D94">
        <w:rPr>
          <w:noProof/>
        </w:rPr>
        <w:drawing>
          <wp:anchor distT="0" distB="0" distL="114300" distR="114300" simplePos="0" relativeHeight="251659264" behindDoc="0" locked="0" layoutInCell="1" allowOverlap="1" wp14:anchorId="6797D420" wp14:editId="46B1BA66">
            <wp:simplePos x="0" y="0"/>
            <wp:positionH relativeFrom="column">
              <wp:posOffset>243840</wp:posOffset>
            </wp:positionH>
            <wp:positionV relativeFrom="paragraph">
              <wp:posOffset>6985</wp:posOffset>
            </wp:positionV>
            <wp:extent cx="982980" cy="822325"/>
            <wp:effectExtent l="0" t="0" r="7620" b="0"/>
            <wp:wrapThrough wrapText="bothSides">
              <wp:wrapPolygon edited="0">
                <wp:start x="0" y="0"/>
                <wp:lineTo x="0" y="21016"/>
                <wp:lineTo x="21349" y="21016"/>
                <wp:lineTo x="21349" y="0"/>
                <wp:lineTo x="0" y="0"/>
              </wp:wrapPolygon>
            </wp:wrapThrough>
            <wp:docPr id="5" name="Picture 5" descr="cid:7df522e7-de1a-421d-acff-b3074c42741b@chickasaw.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7df522e7-de1a-421d-acff-b3074c42741b@chickasaw.net"/>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2980" cy="822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2D94">
        <w:rPr>
          <w:noProof/>
        </w:rPr>
        <w:t xml:space="preserve">       </w:t>
      </w:r>
      <w:r w:rsidR="00BF2D94">
        <w:rPr>
          <w:sz w:val="32"/>
          <w:szCs w:val="32"/>
        </w:rPr>
        <w:tab/>
      </w:r>
    </w:p>
    <w:p w:rsidR="00BF2D94" w:rsidRDefault="00BF2D94" w:rsidP="00BF2D94">
      <w:pPr>
        <w:rPr>
          <w:b/>
          <w:bCs/>
          <w:sz w:val="32"/>
          <w:szCs w:val="32"/>
        </w:rPr>
      </w:pPr>
      <w:r w:rsidRPr="000D059C">
        <w:rPr>
          <w:b/>
          <w:bCs/>
        </w:rPr>
        <w:t xml:space="preserve">Employee Health </w:t>
      </w:r>
      <w:r>
        <w:rPr>
          <w:b/>
          <w:bCs/>
        </w:rPr>
        <w:tab/>
      </w:r>
      <w:r>
        <w:rPr>
          <w:b/>
          <w:bCs/>
        </w:rPr>
        <w:tab/>
      </w:r>
      <w:proofErr w:type="spellStart"/>
      <w:r w:rsidR="00A13B41">
        <w:rPr>
          <w:b/>
          <w:bCs/>
        </w:rPr>
        <w:t>Chembio</w:t>
      </w:r>
      <w:proofErr w:type="spellEnd"/>
      <w:r w:rsidR="00A13B41">
        <w:rPr>
          <w:b/>
          <w:bCs/>
        </w:rPr>
        <w:t xml:space="preserve"> HIV 1/2 Stat-</w:t>
      </w:r>
      <w:r w:rsidR="00E43D89">
        <w:rPr>
          <w:b/>
          <w:bCs/>
        </w:rPr>
        <w:t xml:space="preserve"> .</w:t>
      </w:r>
      <w:bookmarkStart w:id="0" w:name="_GoBack"/>
      <w:bookmarkEnd w:id="0"/>
      <w:r w:rsidR="00A13B41">
        <w:rPr>
          <w:b/>
          <w:bCs/>
        </w:rPr>
        <w:t>Pak</w:t>
      </w:r>
    </w:p>
    <w:p w:rsidR="00A93438" w:rsidRDefault="00A93438" w:rsidP="00BF2D94">
      <w:pPr>
        <w:rPr>
          <w:b/>
          <w:bCs/>
        </w:rPr>
      </w:pPr>
      <w:r>
        <w:rPr>
          <w:b/>
          <w:bCs/>
          <w:sz w:val="32"/>
          <w:szCs w:val="32"/>
        </w:rPr>
        <w:tab/>
      </w:r>
      <w:r w:rsidRPr="000D059C">
        <w:rPr>
          <w:b/>
          <w:bCs/>
        </w:rPr>
        <w:t>Clinic</w:t>
      </w:r>
      <w:r>
        <w:rPr>
          <w:b/>
          <w:bCs/>
          <w:sz w:val="32"/>
          <w:szCs w:val="32"/>
        </w:rPr>
        <w:tab/>
      </w:r>
      <w:r>
        <w:rPr>
          <w:b/>
          <w:bCs/>
          <w:sz w:val="32"/>
          <w:szCs w:val="32"/>
        </w:rPr>
        <w:tab/>
      </w:r>
      <w:r>
        <w:rPr>
          <w:b/>
          <w:bCs/>
          <w:sz w:val="32"/>
          <w:szCs w:val="32"/>
        </w:rPr>
        <w:tab/>
      </w:r>
      <w:r>
        <w:rPr>
          <w:b/>
          <w:bCs/>
          <w:sz w:val="32"/>
          <w:szCs w:val="32"/>
        </w:rPr>
        <w:tab/>
      </w:r>
    </w:p>
    <w:p w:rsidR="00BF2D94" w:rsidRPr="000D059C" w:rsidRDefault="00BF2D94" w:rsidP="00BF2D94">
      <w:pPr>
        <w:rPr>
          <w:b/>
          <w:bCs/>
          <w:sz w:val="32"/>
          <w:szCs w:val="32"/>
        </w:rPr>
      </w:pPr>
      <w:r>
        <w:rPr>
          <w:b/>
          <w:bCs/>
          <w:sz w:val="32"/>
          <w:szCs w:val="32"/>
        </w:rPr>
        <w:t xml:space="preserve">    </w:t>
      </w:r>
    </w:p>
    <w:p w:rsidR="00BF2D94" w:rsidRPr="000D059C" w:rsidRDefault="00BF2D94" w:rsidP="00BF2D94">
      <w:pPr>
        <w:rPr>
          <w:sz w:val="32"/>
          <w:szCs w:val="32"/>
        </w:rPr>
      </w:pPr>
    </w:p>
    <w:p w:rsidR="00BF2D94" w:rsidRDefault="00BF2D94" w:rsidP="00BF2D94">
      <w:pPr>
        <w:rPr>
          <w:rFonts w:ascii="Arial" w:hAnsi="Arial"/>
        </w:rPr>
      </w:pPr>
    </w:p>
    <w:tbl>
      <w:tblPr>
        <w:tblW w:w="9101" w:type="dxa"/>
        <w:tblInd w:w="210" w:type="dxa"/>
        <w:tblLayout w:type="fixed"/>
        <w:tblCellMar>
          <w:left w:w="120" w:type="dxa"/>
          <w:right w:w="120" w:type="dxa"/>
        </w:tblCellMar>
        <w:tblLook w:val="0000" w:firstRow="0" w:lastRow="0" w:firstColumn="0" w:lastColumn="0" w:noHBand="0" w:noVBand="0"/>
      </w:tblPr>
      <w:tblGrid>
        <w:gridCol w:w="4683"/>
        <w:gridCol w:w="4418"/>
      </w:tblGrid>
      <w:tr w:rsidR="00BF2D94" w:rsidTr="00D018D2">
        <w:trPr>
          <w:trHeight w:val="209"/>
        </w:trPr>
        <w:tc>
          <w:tcPr>
            <w:tcW w:w="4683" w:type="dxa"/>
            <w:tcBorders>
              <w:top w:val="single" w:sz="7" w:space="0" w:color="000000"/>
              <w:left w:val="single" w:sz="7" w:space="0" w:color="000000"/>
              <w:bottom w:val="single" w:sz="7" w:space="0" w:color="000000"/>
              <w:right w:val="single" w:sz="7" w:space="0" w:color="000000"/>
            </w:tcBorders>
            <w:vAlign w:val="center"/>
          </w:tcPr>
          <w:p w:rsidR="00BF2D94" w:rsidRDefault="00BF2D94" w:rsidP="00D018D2">
            <w:pPr>
              <w:spacing w:after="58"/>
              <w:rPr>
                <w:rFonts w:ascii="Arial" w:hAnsi="Arial"/>
              </w:rPr>
            </w:pPr>
            <w:r>
              <w:rPr>
                <w:rFonts w:ascii="Arial" w:hAnsi="Arial"/>
              </w:rPr>
              <w:t>Effective Date: December 2021</w:t>
            </w:r>
          </w:p>
        </w:tc>
        <w:tc>
          <w:tcPr>
            <w:tcW w:w="4418" w:type="dxa"/>
            <w:tcBorders>
              <w:top w:val="single" w:sz="7" w:space="0" w:color="000000"/>
              <w:left w:val="single" w:sz="7" w:space="0" w:color="000000"/>
              <w:bottom w:val="single" w:sz="7" w:space="0" w:color="000000"/>
              <w:right w:val="single" w:sz="7" w:space="0" w:color="000000"/>
            </w:tcBorders>
            <w:vAlign w:val="center"/>
          </w:tcPr>
          <w:p w:rsidR="00BF2D94" w:rsidRDefault="00BF2D94" w:rsidP="00D018D2">
            <w:pPr>
              <w:spacing w:after="58"/>
              <w:rPr>
                <w:rFonts w:ascii="Arial" w:hAnsi="Arial"/>
              </w:rPr>
            </w:pPr>
            <w:r>
              <w:rPr>
                <w:rFonts w:ascii="Arial" w:hAnsi="Arial"/>
              </w:rPr>
              <w:t>Department: Laboratory</w:t>
            </w:r>
          </w:p>
        </w:tc>
      </w:tr>
      <w:tr w:rsidR="00BF2D94" w:rsidTr="00D018D2">
        <w:trPr>
          <w:trHeight w:val="604"/>
        </w:trPr>
        <w:tc>
          <w:tcPr>
            <w:tcW w:w="4683" w:type="dxa"/>
            <w:tcBorders>
              <w:top w:val="single" w:sz="7" w:space="0" w:color="000000"/>
              <w:left w:val="single" w:sz="7" w:space="0" w:color="000000"/>
              <w:bottom w:val="single" w:sz="7" w:space="0" w:color="000000"/>
              <w:right w:val="single" w:sz="7" w:space="0" w:color="000000"/>
            </w:tcBorders>
            <w:vAlign w:val="center"/>
          </w:tcPr>
          <w:p w:rsidR="00BF2D94" w:rsidRPr="00081857" w:rsidRDefault="00BF2D94" w:rsidP="00D018D2">
            <w:pPr>
              <w:spacing w:after="58"/>
              <w:rPr>
                <w:rFonts w:ascii="Arial" w:hAnsi="Arial"/>
                <w:color w:val="FF0000"/>
              </w:rPr>
            </w:pPr>
            <w:r w:rsidRPr="009838F9">
              <w:rPr>
                <w:rFonts w:ascii="Arial" w:hAnsi="Arial"/>
                <w:color w:val="000000"/>
              </w:rPr>
              <w:t>Date of Review:</w:t>
            </w:r>
            <w:r>
              <w:rPr>
                <w:rFonts w:ascii="Arial" w:hAnsi="Arial"/>
                <w:color w:val="000000"/>
              </w:rPr>
              <w:t xml:space="preserve"> December 2023</w:t>
            </w:r>
          </w:p>
        </w:tc>
        <w:tc>
          <w:tcPr>
            <w:tcW w:w="4418" w:type="dxa"/>
            <w:tcBorders>
              <w:top w:val="single" w:sz="7" w:space="0" w:color="000000"/>
              <w:left w:val="single" w:sz="7" w:space="0" w:color="000000"/>
              <w:bottom w:val="single" w:sz="7" w:space="0" w:color="000000"/>
              <w:right w:val="single" w:sz="7" w:space="0" w:color="000000"/>
            </w:tcBorders>
            <w:vAlign w:val="center"/>
          </w:tcPr>
          <w:p w:rsidR="00BF2D94" w:rsidRPr="00DB69AC" w:rsidRDefault="00BF2D94" w:rsidP="00D018D2">
            <w:pPr>
              <w:spacing w:after="58"/>
              <w:rPr>
                <w:rFonts w:ascii="Arial" w:hAnsi="Arial"/>
              </w:rPr>
            </w:pPr>
            <w:r>
              <w:rPr>
                <w:rFonts w:ascii="Arial" w:hAnsi="Arial"/>
              </w:rPr>
              <w:t>Created/Maintained by: Laboratory Management</w:t>
            </w:r>
          </w:p>
        </w:tc>
      </w:tr>
    </w:tbl>
    <w:p w:rsidR="00BF2D94" w:rsidRDefault="00BF2D94" w:rsidP="00BF2D94"/>
    <w:p w:rsidR="0046402C" w:rsidRDefault="00A93438" w:rsidP="0063141A">
      <w:pPr>
        <w:pStyle w:val="Title"/>
        <w:jc w:val="both"/>
        <w:rPr>
          <w:sz w:val="32"/>
          <w:szCs w:val="32"/>
        </w:rPr>
      </w:pPr>
      <w:r>
        <w:rPr>
          <w:sz w:val="32"/>
          <w:szCs w:val="32"/>
        </w:rPr>
        <w:tab/>
      </w:r>
    </w:p>
    <w:p w:rsidR="0046402C" w:rsidRDefault="0046402C" w:rsidP="0063141A">
      <w:pPr>
        <w:pStyle w:val="Title"/>
        <w:jc w:val="both"/>
        <w:rPr>
          <w:rFonts w:asciiTheme="minorHAnsi" w:hAnsiTheme="minorHAnsi" w:cstheme="minorHAnsi"/>
          <w:b w:val="0"/>
          <w:sz w:val="20"/>
          <w:szCs w:val="20"/>
        </w:rPr>
      </w:pPr>
      <w:r w:rsidRPr="0046402C">
        <w:rPr>
          <w:rFonts w:asciiTheme="minorHAnsi" w:hAnsiTheme="minorHAnsi" w:cstheme="minorHAnsi"/>
          <w:b w:val="0"/>
          <w:sz w:val="20"/>
          <w:szCs w:val="20"/>
        </w:rPr>
        <w:t xml:space="preserve">Read this Product Insert completely before using the product. Follow the instructions carefully when performing the test as not doing so may result in inaccurate Test Results. Users of this test should follow the CDC Universal Precautions for prevention of transmission of Human Immunodeficiency Virus, Hepatitis B Virus, and other blood borne pathogens.1 STORAGE: Store at 8 to 30°C (46 to 86°F) </w:t>
      </w:r>
    </w:p>
    <w:p w:rsidR="0046402C" w:rsidRDefault="0046402C" w:rsidP="0063141A">
      <w:pPr>
        <w:pStyle w:val="Title"/>
        <w:jc w:val="both"/>
        <w:rPr>
          <w:rFonts w:asciiTheme="minorHAnsi" w:hAnsiTheme="minorHAnsi" w:cstheme="minorHAnsi"/>
          <w:b w:val="0"/>
          <w:sz w:val="20"/>
          <w:szCs w:val="20"/>
        </w:rPr>
      </w:pPr>
    </w:p>
    <w:p w:rsidR="0046402C" w:rsidRPr="0046402C" w:rsidRDefault="0046402C" w:rsidP="0063141A">
      <w:pPr>
        <w:pStyle w:val="Title"/>
        <w:jc w:val="both"/>
        <w:rPr>
          <w:rFonts w:asciiTheme="minorHAnsi" w:hAnsiTheme="minorHAnsi" w:cstheme="minorHAnsi"/>
          <w:sz w:val="20"/>
          <w:szCs w:val="20"/>
        </w:rPr>
      </w:pPr>
      <w:r w:rsidRPr="0046402C">
        <w:rPr>
          <w:rFonts w:asciiTheme="minorHAnsi" w:hAnsiTheme="minorHAnsi" w:cstheme="minorHAnsi"/>
          <w:sz w:val="20"/>
          <w:szCs w:val="20"/>
        </w:rPr>
        <w:t xml:space="preserve">CLIA Complexity: WAIVED FOR FINGERSTICK WHOLE BLOOD AND VENIPUNCTURE WHOLE BLOOD. ANY MODIFICATION BY THE LABORATORY TO THE TEST SYSTEM OR FDA APPROVED TEST SYSTEM INSTRUCTIONS WILL RESULT IN THE TEST NO LONGER MEETING THE REQUIREMENTS FOR WAIVED CATEGORY. </w:t>
      </w:r>
    </w:p>
    <w:p w:rsidR="0046402C" w:rsidRDefault="0046402C" w:rsidP="0063141A">
      <w:pPr>
        <w:pStyle w:val="Title"/>
        <w:jc w:val="both"/>
        <w:rPr>
          <w:rFonts w:asciiTheme="minorHAnsi" w:hAnsiTheme="minorHAnsi" w:cstheme="minorHAnsi"/>
          <w:b w:val="0"/>
          <w:sz w:val="20"/>
          <w:szCs w:val="20"/>
        </w:rPr>
      </w:pPr>
    </w:p>
    <w:p w:rsidR="0046402C" w:rsidRDefault="0046402C" w:rsidP="0063141A">
      <w:pPr>
        <w:pStyle w:val="Title"/>
        <w:jc w:val="both"/>
        <w:rPr>
          <w:rFonts w:asciiTheme="minorHAnsi" w:hAnsiTheme="minorHAnsi" w:cstheme="minorHAnsi"/>
          <w:b w:val="0"/>
          <w:sz w:val="20"/>
          <w:szCs w:val="20"/>
        </w:rPr>
      </w:pPr>
      <w:r w:rsidRPr="0046402C">
        <w:rPr>
          <w:rFonts w:asciiTheme="minorHAnsi" w:hAnsiTheme="minorHAnsi" w:cstheme="minorHAnsi"/>
          <w:b w:val="0"/>
          <w:sz w:val="20"/>
          <w:szCs w:val="20"/>
        </w:rPr>
        <w:t>CLIA Complexity: MODERATE FOR SERUM AND PLASMA SAMPLES</w:t>
      </w:r>
      <w:r w:rsidR="00796734">
        <w:rPr>
          <w:rFonts w:asciiTheme="minorHAnsi" w:hAnsiTheme="minorHAnsi" w:cstheme="minorHAnsi"/>
          <w:b w:val="0"/>
          <w:sz w:val="20"/>
          <w:szCs w:val="20"/>
        </w:rPr>
        <w:t xml:space="preserve"> (not applicable) </w:t>
      </w:r>
    </w:p>
    <w:p w:rsidR="0046402C" w:rsidRDefault="0046402C" w:rsidP="0063141A">
      <w:pPr>
        <w:pStyle w:val="Title"/>
        <w:jc w:val="both"/>
        <w:rPr>
          <w:rFonts w:asciiTheme="minorHAnsi" w:hAnsiTheme="minorHAnsi" w:cstheme="minorHAnsi"/>
          <w:b w:val="0"/>
          <w:sz w:val="20"/>
          <w:szCs w:val="20"/>
        </w:rPr>
      </w:pPr>
    </w:p>
    <w:p w:rsidR="00796734" w:rsidRDefault="00796734" w:rsidP="0063141A">
      <w:pPr>
        <w:pStyle w:val="Title"/>
        <w:jc w:val="both"/>
        <w:rPr>
          <w:rFonts w:asciiTheme="minorHAnsi" w:hAnsiTheme="minorHAnsi" w:cstheme="minorHAnsi"/>
          <w:sz w:val="20"/>
          <w:szCs w:val="20"/>
          <w:u w:val="single"/>
        </w:rPr>
      </w:pPr>
      <w:r>
        <w:rPr>
          <w:rFonts w:asciiTheme="minorHAnsi" w:hAnsiTheme="minorHAnsi" w:cstheme="minorHAnsi"/>
          <w:sz w:val="20"/>
          <w:szCs w:val="20"/>
          <w:u w:val="single"/>
        </w:rPr>
        <w:t>NAME AND INTENDED USE</w:t>
      </w:r>
      <w:r w:rsidR="0046402C" w:rsidRPr="00796734">
        <w:rPr>
          <w:rFonts w:asciiTheme="minorHAnsi" w:hAnsiTheme="minorHAnsi" w:cstheme="minorHAnsi"/>
          <w:sz w:val="20"/>
          <w:szCs w:val="20"/>
          <w:u w:val="single"/>
        </w:rPr>
        <w:t>:</w:t>
      </w:r>
    </w:p>
    <w:p w:rsidR="00796734" w:rsidRDefault="00796734" w:rsidP="0063141A">
      <w:pPr>
        <w:pStyle w:val="Title"/>
        <w:jc w:val="both"/>
        <w:rPr>
          <w:rFonts w:asciiTheme="minorHAnsi" w:hAnsiTheme="minorHAnsi" w:cstheme="minorHAnsi"/>
          <w:b w:val="0"/>
          <w:sz w:val="20"/>
          <w:szCs w:val="20"/>
        </w:rPr>
      </w:pPr>
    </w:p>
    <w:p w:rsidR="00B16733" w:rsidRDefault="0046402C" w:rsidP="0063141A">
      <w:pPr>
        <w:pStyle w:val="Title"/>
        <w:jc w:val="both"/>
        <w:rPr>
          <w:rFonts w:asciiTheme="minorHAnsi" w:hAnsiTheme="minorHAnsi" w:cstheme="minorHAnsi"/>
          <w:b w:val="0"/>
          <w:sz w:val="20"/>
          <w:szCs w:val="20"/>
        </w:rPr>
      </w:pPr>
      <w:r w:rsidRPr="0046402C">
        <w:rPr>
          <w:rFonts w:asciiTheme="minorHAnsi" w:hAnsiTheme="minorHAnsi" w:cstheme="minorHAnsi"/>
          <w:b w:val="0"/>
          <w:sz w:val="20"/>
          <w:szCs w:val="20"/>
        </w:rPr>
        <w:t xml:space="preserve">The </w:t>
      </w:r>
      <w:proofErr w:type="spellStart"/>
      <w:r w:rsidRPr="0046402C">
        <w:rPr>
          <w:rFonts w:asciiTheme="minorHAnsi" w:hAnsiTheme="minorHAnsi" w:cstheme="minorHAnsi"/>
          <w:b w:val="0"/>
          <w:sz w:val="20"/>
          <w:szCs w:val="20"/>
        </w:rPr>
        <w:t>Chembio</w:t>
      </w:r>
      <w:proofErr w:type="spellEnd"/>
      <w:r w:rsidRPr="0046402C">
        <w:rPr>
          <w:rFonts w:asciiTheme="minorHAnsi" w:hAnsiTheme="minorHAnsi" w:cstheme="minorHAnsi"/>
          <w:b w:val="0"/>
          <w:sz w:val="20"/>
          <w:szCs w:val="20"/>
        </w:rPr>
        <w:t xml:space="preserve"> HIV 1/2 STAT-PAK® Assay is a single-use </w:t>
      </w:r>
      <w:proofErr w:type="spellStart"/>
      <w:r w:rsidRPr="0046402C">
        <w:rPr>
          <w:rFonts w:asciiTheme="minorHAnsi" w:hAnsiTheme="minorHAnsi" w:cstheme="minorHAnsi"/>
          <w:b w:val="0"/>
          <w:sz w:val="20"/>
          <w:szCs w:val="20"/>
        </w:rPr>
        <w:t>immunochromatographic</w:t>
      </w:r>
      <w:proofErr w:type="spellEnd"/>
      <w:r w:rsidRPr="0046402C">
        <w:rPr>
          <w:rFonts w:asciiTheme="minorHAnsi" w:hAnsiTheme="minorHAnsi" w:cstheme="minorHAnsi"/>
          <w:b w:val="0"/>
          <w:sz w:val="20"/>
          <w:szCs w:val="20"/>
        </w:rPr>
        <w:t xml:space="preserve"> test for the detection of antibodies to Human Immunodeficiency Virus Type 1 (HIV-1) and Type 2 (HIV-2) in </w:t>
      </w:r>
      <w:proofErr w:type="spellStart"/>
      <w:r w:rsidRPr="0046402C">
        <w:rPr>
          <w:rFonts w:asciiTheme="minorHAnsi" w:hAnsiTheme="minorHAnsi" w:cstheme="minorHAnsi"/>
          <w:b w:val="0"/>
          <w:sz w:val="20"/>
          <w:szCs w:val="20"/>
        </w:rPr>
        <w:t>fingerstick</w:t>
      </w:r>
      <w:proofErr w:type="spellEnd"/>
      <w:r w:rsidRPr="0046402C">
        <w:rPr>
          <w:rFonts w:asciiTheme="minorHAnsi" w:hAnsiTheme="minorHAnsi" w:cstheme="minorHAnsi"/>
          <w:b w:val="0"/>
          <w:sz w:val="20"/>
          <w:szCs w:val="20"/>
        </w:rPr>
        <w:t xml:space="preserve"> whole blood, venous whole blood, serum</w:t>
      </w:r>
      <w:r w:rsidR="00796734">
        <w:rPr>
          <w:rFonts w:asciiTheme="minorHAnsi" w:hAnsiTheme="minorHAnsi" w:cstheme="minorHAnsi"/>
          <w:b w:val="0"/>
          <w:sz w:val="20"/>
          <w:szCs w:val="20"/>
        </w:rPr>
        <w:t>,</w:t>
      </w:r>
      <w:r w:rsidRPr="0046402C">
        <w:rPr>
          <w:rFonts w:asciiTheme="minorHAnsi" w:hAnsiTheme="minorHAnsi" w:cstheme="minorHAnsi"/>
          <w:b w:val="0"/>
          <w:sz w:val="20"/>
          <w:szCs w:val="20"/>
        </w:rPr>
        <w:t xml:space="preserve"> or plasma specimens. The </w:t>
      </w:r>
      <w:proofErr w:type="spellStart"/>
      <w:r w:rsidRPr="0046402C">
        <w:rPr>
          <w:rFonts w:asciiTheme="minorHAnsi" w:hAnsiTheme="minorHAnsi" w:cstheme="minorHAnsi"/>
          <w:b w:val="0"/>
          <w:sz w:val="20"/>
          <w:szCs w:val="20"/>
        </w:rPr>
        <w:t>Chembio</w:t>
      </w:r>
      <w:proofErr w:type="spellEnd"/>
      <w:r w:rsidRPr="0046402C">
        <w:rPr>
          <w:rFonts w:asciiTheme="minorHAnsi" w:hAnsiTheme="minorHAnsi" w:cstheme="minorHAnsi"/>
          <w:b w:val="0"/>
          <w:sz w:val="20"/>
          <w:szCs w:val="20"/>
        </w:rPr>
        <w:t xml:space="preserve"> HIV 1/2 STAT-PAK® Assay is intended for use as a point-of-care test to aid in the diagnosis of infection with HIV-1 and HIV-2. This test is suitable for use in multi-test algorithms designed for the statistical validation of rapid HIV test results. When multiple rapid HIV tests are available, this test should be used in appropriate multi-test algorithms. </w:t>
      </w:r>
    </w:p>
    <w:p w:rsidR="00B16733" w:rsidRPr="00796734" w:rsidRDefault="00B16733" w:rsidP="0063141A">
      <w:pPr>
        <w:pStyle w:val="Title"/>
        <w:jc w:val="both"/>
        <w:rPr>
          <w:rFonts w:asciiTheme="minorHAnsi" w:hAnsiTheme="minorHAnsi" w:cstheme="minorHAnsi"/>
          <w:b w:val="0"/>
          <w:sz w:val="20"/>
          <w:szCs w:val="20"/>
          <w:u w:val="single"/>
        </w:rPr>
      </w:pPr>
    </w:p>
    <w:p w:rsidR="00B16733" w:rsidRDefault="0046402C" w:rsidP="0063141A">
      <w:pPr>
        <w:pStyle w:val="Title"/>
        <w:jc w:val="both"/>
        <w:rPr>
          <w:rFonts w:asciiTheme="minorHAnsi" w:hAnsiTheme="minorHAnsi" w:cstheme="minorHAnsi"/>
          <w:b w:val="0"/>
          <w:sz w:val="20"/>
          <w:szCs w:val="20"/>
          <w:u w:val="single"/>
        </w:rPr>
      </w:pPr>
      <w:r w:rsidRPr="00796734">
        <w:rPr>
          <w:rFonts w:asciiTheme="minorHAnsi" w:hAnsiTheme="minorHAnsi" w:cstheme="minorHAnsi"/>
          <w:sz w:val="20"/>
          <w:szCs w:val="20"/>
          <w:u w:val="single"/>
        </w:rPr>
        <w:t>RESTRICTIONS</w:t>
      </w:r>
      <w:r w:rsidRPr="00796734">
        <w:rPr>
          <w:rFonts w:asciiTheme="minorHAnsi" w:hAnsiTheme="minorHAnsi" w:cstheme="minorHAnsi"/>
          <w:b w:val="0"/>
          <w:sz w:val="20"/>
          <w:szCs w:val="20"/>
          <w:u w:val="single"/>
        </w:rPr>
        <w:t xml:space="preserve"> </w:t>
      </w:r>
    </w:p>
    <w:p w:rsidR="00796734" w:rsidRPr="00796734" w:rsidRDefault="00796734" w:rsidP="0063141A">
      <w:pPr>
        <w:pStyle w:val="Title"/>
        <w:jc w:val="both"/>
        <w:rPr>
          <w:rFonts w:asciiTheme="minorHAnsi" w:hAnsiTheme="minorHAnsi" w:cstheme="minorHAnsi"/>
          <w:b w:val="0"/>
          <w:sz w:val="20"/>
          <w:szCs w:val="20"/>
          <w:u w:val="single"/>
        </w:rPr>
      </w:pPr>
    </w:p>
    <w:p w:rsidR="00B16733" w:rsidRDefault="0046402C" w:rsidP="00796734">
      <w:pPr>
        <w:pStyle w:val="Title"/>
        <w:numPr>
          <w:ilvl w:val="0"/>
          <w:numId w:val="37"/>
        </w:numPr>
        <w:jc w:val="both"/>
        <w:rPr>
          <w:rFonts w:asciiTheme="minorHAnsi" w:hAnsiTheme="minorHAnsi" w:cstheme="minorHAnsi"/>
          <w:b w:val="0"/>
          <w:sz w:val="20"/>
          <w:szCs w:val="20"/>
        </w:rPr>
      </w:pPr>
      <w:r w:rsidRPr="0046402C">
        <w:rPr>
          <w:rFonts w:asciiTheme="minorHAnsi" w:hAnsiTheme="minorHAnsi" w:cstheme="minorHAnsi"/>
          <w:b w:val="0"/>
          <w:sz w:val="20"/>
          <w:szCs w:val="20"/>
        </w:rPr>
        <w:t xml:space="preserve">Sale of the </w:t>
      </w:r>
      <w:proofErr w:type="spellStart"/>
      <w:r w:rsidRPr="0046402C">
        <w:rPr>
          <w:rFonts w:asciiTheme="minorHAnsi" w:hAnsiTheme="minorHAnsi" w:cstheme="minorHAnsi"/>
          <w:b w:val="0"/>
          <w:sz w:val="20"/>
          <w:szCs w:val="20"/>
        </w:rPr>
        <w:t>Chembio</w:t>
      </w:r>
      <w:proofErr w:type="spellEnd"/>
      <w:r w:rsidRPr="0046402C">
        <w:rPr>
          <w:rFonts w:asciiTheme="minorHAnsi" w:hAnsiTheme="minorHAnsi" w:cstheme="minorHAnsi"/>
          <w:b w:val="0"/>
          <w:sz w:val="20"/>
          <w:szCs w:val="20"/>
        </w:rPr>
        <w:t xml:space="preserve"> HIV 1/2 STAT-PAK® Assay is restricted to clinical laboratories that have an adequate quality assurance program, including planned systematic activities that provide adequate confidence that requirements for quality will be met and where there is assurance that operators will receive and use the instructional materials. </w:t>
      </w:r>
    </w:p>
    <w:p w:rsidR="00B16733" w:rsidRDefault="0046402C" w:rsidP="00796734">
      <w:pPr>
        <w:pStyle w:val="Title"/>
        <w:numPr>
          <w:ilvl w:val="0"/>
          <w:numId w:val="37"/>
        </w:numPr>
        <w:jc w:val="both"/>
        <w:rPr>
          <w:rFonts w:asciiTheme="minorHAnsi" w:hAnsiTheme="minorHAnsi" w:cstheme="minorHAnsi"/>
          <w:b w:val="0"/>
          <w:sz w:val="20"/>
          <w:szCs w:val="20"/>
        </w:rPr>
      </w:pPr>
      <w:r w:rsidRPr="0046402C">
        <w:rPr>
          <w:rFonts w:asciiTheme="minorHAnsi" w:hAnsiTheme="minorHAnsi" w:cstheme="minorHAnsi"/>
          <w:b w:val="0"/>
          <w:sz w:val="20"/>
          <w:szCs w:val="20"/>
        </w:rPr>
        <w:t xml:space="preserve">The </w:t>
      </w:r>
      <w:proofErr w:type="spellStart"/>
      <w:r w:rsidRPr="0046402C">
        <w:rPr>
          <w:rFonts w:asciiTheme="minorHAnsi" w:hAnsiTheme="minorHAnsi" w:cstheme="minorHAnsi"/>
          <w:b w:val="0"/>
          <w:sz w:val="20"/>
          <w:szCs w:val="20"/>
        </w:rPr>
        <w:t>Chembio</w:t>
      </w:r>
      <w:proofErr w:type="spellEnd"/>
      <w:r w:rsidRPr="0046402C">
        <w:rPr>
          <w:rFonts w:asciiTheme="minorHAnsi" w:hAnsiTheme="minorHAnsi" w:cstheme="minorHAnsi"/>
          <w:b w:val="0"/>
          <w:sz w:val="20"/>
          <w:szCs w:val="20"/>
        </w:rPr>
        <w:t xml:space="preserve"> HIV 1/2 STAT-PAK® Assay is approved for use only by an agent of a clinical laboratory. </w:t>
      </w:r>
    </w:p>
    <w:p w:rsidR="00B16733" w:rsidRDefault="0046402C" w:rsidP="00796734">
      <w:pPr>
        <w:pStyle w:val="Title"/>
        <w:numPr>
          <w:ilvl w:val="0"/>
          <w:numId w:val="37"/>
        </w:numPr>
        <w:jc w:val="both"/>
        <w:rPr>
          <w:rFonts w:asciiTheme="minorHAnsi" w:hAnsiTheme="minorHAnsi" w:cstheme="minorHAnsi"/>
          <w:b w:val="0"/>
          <w:sz w:val="20"/>
          <w:szCs w:val="20"/>
        </w:rPr>
      </w:pPr>
      <w:r w:rsidRPr="0046402C">
        <w:rPr>
          <w:rFonts w:asciiTheme="minorHAnsi" w:hAnsiTheme="minorHAnsi" w:cstheme="minorHAnsi"/>
          <w:b w:val="0"/>
          <w:sz w:val="20"/>
          <w:szCs w:val="20"/>
        </w:rPr>
        <w:t xml:space="preserve">Non-clinical testing sites that offer waived rapid HIV tests must either have their own CLIA Certificate of Waiver or have an agreement to work under the CLIA Certificate of an existing laboratory. </w:t>
      </w:r>
    </w:p>
    <w:p w:rsidR="00B16733" w:rsidRDefault="0046402C" w:rsidP="00796734">
      <w:pPr>
        <w:pStyle w:val="Title"/>
        <w:numPr>
          <w:ilvl w:val="0"/>
          <w:numId w:val="37"/>
        </w:numPr>
        <w:jc w:val="both"/>
        <w:rPr>
          <w:rFonts w:asciiTheme="minorHAnsi" w:hAnsiTheme="minorHAnsi" w:cstheme="minorHAnsi"/>
          <w:b w:val="0"/>
          <w:sz w:val="20"/>
          <w:szCs w:val="20"/>
        </w:rPr>
      </w:pPr>
      <w:r w:rsidRPr="0046402C">
        <w:rPr>
          <w:rFonts w:asciiTheme="minorHAnsi" w:hAnsiTheme="minorHAnsi" w:cstheme="minorHAnsi"/>
          <w:b w:val="0"/>
          <w:sz w:val="20"/>
          <w:szCs w:val="20"/>
        </w:rPr>
        <w:t xml:space="preserve">Test subjects must receive the “Subject Information Notice” prior to specimen collection and appropriate information when test results are provided. </w:t>
      </w:r>
    </w:p>
    <w:p w:rsidR="00B16733" w:rsidRDefault="0046402C" w:rsidP="00796734">
      <w:pPr>
        <w:pStyle w:val="Title"/>
        <w:numPr>
          <w:ilvl w:val="0"/>
          <w:numId w:val="37"/>
        </w:numPr>
        <w:jc w:val="both"/>
        <w:rPr>
          <w:rFonts w:asciiTheme="minorHAnsi" w:hAnsiTheme="minorHAnsi" w:cstheme="minorHAnsi"/>
          <w:b w:val="0"/>
          <w:sz w:val="20"/>
          <w:szCs w:val="20"/>
        </w:rPr>
      </w:pPr>
      <w:r w:rsidRPr="0046402C">
        <w:rPr>
          <w:rFonts w:asciiTheme="minorHAnsi" w:hAnsiTheme="minorHAnsi" w:cstheme="minorHAnsi"/>
          <w:b w:val="0"/>
          <w:sz w:val="20"/>
          <w:szCs w:val="20"/>
        </w:rPr>
        <w:t xml:space="preserve">The </w:t>
      </w:r>
      <w:proofErr w:type="spellStart"/>
      <w:r w:rsidRPr="0046402C">
        <w:rPr>
          <w:rFonts w:asciiTheme="minorHAnsi" w:hAnsiTheme="minorHAnsi" w:cstheme="minorHAnsi"/>
          <w:b w:val="0"/>
          <w:sz w:val="20"/>
          <w:szCs w:val="20"/>
        </w:rPr>
        <w:t>Chembio</w:t>
      </w:r>
      <w:proofErr w:type="spellEnd"/>
      <w:r w:rsidRPr="0046402C">
        <w:rPr>
          <w:rFonts w:asciiTheme="minorHAnsi" w:hAnsiTheme="minorHAnsi" w:cstheme="minorHAnsi"/>
          <w:b w:val="0"/>
          <w:sz w:val="20"/>
          <w:szCs w:val="20"/>
        </w:rPr>
        <w:t xml:space="preserve"> HIV 1/2 STAT-PAK® Assay is not approved for use to screen blood, plasma, cell or tissue donors. </w:t>
      </w:r>
    </w:p>
    <w:p w:rsidR="00B16733" w:rsidRDefault="00B16733" w:rsidP="0063141A">
      <w:pPr>
        <w:pStyle w:val="Title"/>
        <w:jc w:val="both"/>
        <w:rPr>
          <w:rFonts w:asciiTheme="minorHAnsi" w:hAnsiTheme="minorHAnsi" w:cstheme="minorHAnsi"/>
          <w:b w:val="0"/>
          <w:sz w:val="20"/>
          <w:szCs w:val="20"/>
        </w:rPr>
      </w:pPr>
    </w:p>
    <w:p w:rsidR="00796734" w:rsidRDefault="0046402C" w:rsidP="0063141A">
      <w:pPr>
        <w:pStyle w:val="Title"/>
        <w:jc w:val="both"/>
        <w:rPr>
          <w:rFonts w:asciiTheme="minorHAnsi" w:hAnsiTheme="minorHAnsi" w:cstheme="minorHAnsi"/>
          <w:sz w:val="20"/>
          <w:szCs w:val="20"/>
          <w:u w:val="single"/>
        </w:rPr>
      </w:pPr>
      <w:r w:rsidRPr="00796734">
        <w:rPr>
          <w:rFonts w:asciiTheme="minorHAnsi" w:hAnsiTheme="minorHAnsi" w:cstheme="minorHAnsi"/>
          <w:sz w:val="20"/>
          <w:szCs w:val="20"/>
          <w:u w:val="single"/>
        </w:rPr>
        <w:t>SUMMARY AND EXPLANATION OF THE TEST</w:t>
      </w:r>
      <w:r w:rsidR="00B16733" w:rsidRPr="00796734">
        <w:rPr>
          <w:rFonts w:asciiTheme="minorHAnsi" w:hAnsiTheme="minorHAnsi" w:cstheme="minorHAnsi"/>
          <w:sz w:val="20"/>
          <w:szCs w:val="20"/>
          <w:u w:val="single"/>
        </w:rPr>
        <w:t>:</w:t>
      </w:r>
      <w:r w:rsidRPr="00796734">
        <w:rPr>
          <w:rFonts w:asciiTheme="minorHAnsi" w:hAnsiTheme="minorHAnsi" w:cstheme="minorHAnsi"/>
          <w:sz w:val="20"/>
          <w:szCs w:val="20"/>
          <w:u w:val="single"/>
        </w:rPr>
        <w:t xml:space="preserve"> </w:t>
      </w:r>
    </w:p>
    <w:p w:rsidR="00796734" w:rsidRPr="00796734" w:rsidRDefault="00796734" w:rsidP="0063141A">
      <w:pPr>
        <w:pStyle w:val="Title"/>
        <w:jc w:val="both"/>
        <w:rPr>
          <w:rFonts w:asciiTheme="minorHAnsi" w:hAnsiTheme="minorHAnsi" w:cstheme="minorHAnsi"/>
          <w:sz w:val="20"/>
          <w:szCs w:val="20"/>
          <w:u w:val="single"/>
        </w:rPr>
      </w:pPr>
    </w:p>
    <w:p w:rsidR="00B16733" w:rsidRDefault="0046402C" w:rsidP="0063141A">
      <w:pPr>
        <w:pStyle w:val="Title"/>
        <w:jc w:val="both"/>
        <w:rPr>
          <w:rFonts w:asciiTheme="minorHAnsi" w:hAnsiTheme="minorHAnsi" w:cstheme="minorHAnsi"/>
          <w:b w:val="0"/>
          <w:sz w:val="20"/>
          <w:szCs w:val="20"/>
        </w:rPr>
      </w:pPr>
      <w:r w:rsidRPr="0046402C">
        <w:rPr>
          <w:rFonts w:asciiTheme="minorHAnsi" w:hAnsiTheme="minorHAnsi" w:cstheme="minorHAnsi"/>
          <w:b w:val="0"/>
          <w:sz w:val="20"/>
          <w:szCs w:val="20"/>
        </w:rPr>
        <w:t xml:space="preserve">Discovered in 1983, the Human Immunodeficiency Virus is a retrovirus and identified as the etiologic agent for the Acquired Immunodeficiency Syndrome (AIDS), and AIDS related complex.2 AIDS is characterized by changes in the </w:t>
      </w:r>
      <w:r w:rsidRPr="0046402C">
        <w:rPr>
          <w:rFonts w:asciiTheme="minorHAnsi" w:hAnsiTheme="minorHAnsi" w:cstheme="minorHAnsi"/>
          <w:b w:val="0"/>
          <w:sz w:val="20"/>
          <w:szCs w:val="20"/>
        </w:rPr>
        <w:lastRenderedPageBreak/>
        <w:t>population of T-cell lymphocytes that play a key role in the immune defense system. In the infected individual the virus causes a depletion of a subpopulation of T-cells, called T-helper cells, which leaves these patients susceptible</w:t>
      </w:r>
      <w:r w:rsidR="00B16733">
        <w:rPr>
          <w:rFonts w:asciiTheme="minorHAnsi" w:hAnsiTheme="minorHAnsi" w:cstheme="minorHAnsi"/>
          <w:b w:val="0"/>
          <w:sz w:val="20"/>
          <w:szCs w:val="20"/>
        </w:rPr>
        <w:t xml:space="preserve"> </w:t>
      </w:r>
      <w:r w:rsidR="00B16733" w:rsidRPr="00B16733">
        <w:rPr>
          <w:rFonts w:asciiTheme="minorHAnsi" w:hAnsiTheme="minorHAnsi" w:cstheme="minorHAnsi"/>
          <w:b w:val="0"/>
          <w:sz w:val="20"/>
          <w:szCs w:val="20"/>
        </w:rPr>
        <w:t xml:space="preserve">to opportunistic infections and certain malignancies. The major routes of transmission are sexual contact, exposure to contaminated blood or blood products (including sharing of contaminated syringes and needles) and mother-to-newborn transmission.3-5 Although there has been a decrease in the rate of infection in certain countries, the number of persons infected with HIV globally has continued to increase. By the end of 2005 there were approximately 40.3 million people living with HIV/AIDS, an increase from nearly 37.5 million in 2003. An estimated 5 million people were newly infected with HIV in 2005. In the same year more than 3 million died of AIDS-related illness; more than 500,000 of these were children.6 HIV infection, AIDS and AIDS related complex have become a leading cause of illness and death in the United States for the past two decades. As of December 2001, a total of 774,467 persons were reported with AIDS and 448,060 of these persons had died. Approximately 800,000 – 900,000 persons in the United States are infected with HIV and approximately 80,000 - 280,000 of these persons may not be aware of their infected status.7 The HIV virus consists of a genomic RNA molecule protected by a capsid and an envelope. The HIV envelope is the major target for a humoral antibody response. The presence of the virus in patients causes the immune system to elicit the production of antibodies. The detection of these antibodies can be used as a diagnostic tool. Enzyme Immunoassays (EIAs), Western Blots (WB), Nucleic Amplification Test (NAT) assay and various other test systems are currently available for detection of HIV-1 and HIV-2 infection.8-12 The </w:t>
      </w:r>
      <w:proofErr w:type="spellStart"/>
      <w:r w:rsidR="00B16733" w:rsidRPr="00B16733">
        <w:rPr>
          <w:rFonts w:asciiTheme="minorHAnsi" w:hAnsiTheme="minorHAnsi" w:cstheme="minorHAnsi"/>
          <w:b w:val="0"/>
          <w:sz w:val="20"/>
          <w:szCs w:val="20"/>
        </w:rPr>
        <w:t>Chembio</w:t>
      </w:r>
      <w:proofErr w:type="spellEnd"/>
      <w:r w:rsidR="00B16733" w:rsidRPr="00B16733">
        <w:rPr>
          <w:rFonts w:asciiTheme="minorHAnsi" w:hAnsiTheme="minorHAnsi" w:cstheme="minorHAnsi"/>
          <w:b w:val="0"/>
          <w:sz w:val="20"/>
          <w:szCs w:val="20"/>
        </w:rPr>
        <w:t xml:space="preserve"> HIV 1/2 STAT-PAK® Assay utilizes immobilized antigens for the detection of antibodies to HIV-1 and HIV-2, and is a point-of-care test to aid in the diagnosis of infection with HIV-1 and HIV-2.</w:t>
      </w:r>
    </w:p>
    <w:p w:rsidR="00B16733" w:rsidRDefault="00B16733" w:rsidP="0063141A">
      <w:pPr>
        <w:pStyle w:val="Title"/>
        <w:jc w:val="both"/>
        <w:rPr>
          <w:rFonts w:asciiTheme="minorHAnsi" w:hAnsiTheme="minorHAnsi" w:cstheme="minorHAnsi"/>
          <w:b w:val="0"/>
          <w:sz w:val="20"/>
          <w:szCs w:val="20"/>
        </w:rPr>
      </w:pPr>
    </w:p>
    <w:p w:rsidR="00796734" w:rsidRDefault="00B16733" w:rsidP="0063141A">
      <w:pPr>
        <w:pStyle w:val="Title"/>
        <w:jc w:val="both"/>
        <w:rPr>
          <w:rFonts w:asciiTheme="minorHAnsi" w:hAnsiTheme="minorHAnsi" w:cstheme="minorHAnsi"/>
          <w:b w:val="0"/>
          <w:sz w:val="20"/>
          <w:szCs w:val="20"/>
        </w:rPr>
      </w:pPr>
      <w:r w:rsidRPr="00796734">
        <w:rPr>
          <w:rFonts w:asciiTheme="minorHAnsi" w:hAnsiTheme="minorHAnsi" w:cstheme="minorHAnsi"/>
          <w:sz w:val="20"/>
          <w:szCs w:val="20"/>
          <w:u w:val="single"/>
        </w:rPr>
        <w:t>BIOLOGICAL PRINCIPLES OF THE TEST</w:t>
      </w:r>
      <w:r w:rsidRPr="00796734">
        <w:rPr>
          <w:rFonts w:asciiTheme="minorHAnsi" w:hAnsiTheme="minorHAnsi" w:cstheme="minorHAnsi"/>
          <w:sz w:val="20"/>
          <w:szCs w:val="20"/>
          <w:u w:val="single"/>
        </w:rPr>
        <w:t>:</w:t>
      </w:r>
      <w:r w:rsidRPr="00B16733">
        <w:rPr>
          <w:rFonts w:asciiTheme="minorHAnsi" w:hAnsiTheme="minorHAnsi" w:cstheme="minorHAnsi"/>
          <w:b w:val="0"/>
          <w:sz w:val="20"/>
          <w:szCs w:val="20"/>
        </w:rPr>
        <w:t xml:space="preserve"> </w:t>
      </w:r>
    </w:p>
    <w:p w:rsidR="00796734" w:rsidRDefault="00796734" w:rsidP="0063141A">
      <w:pPr>
        <w:pStyle w:val="Title"/>
        <w:jc w:val="both"/>
        <w:rPr>
          <w:rFonts w:asciiTheme="minorHAnsi" w:hAnsiTheme="minorHAnsi" w:cstheme="minorHAnsi"/>
          <w:b w:val="0"/>
          <w:sz w:val="20"/>
          <w:szCs w:val="20"/>
        </w:rPr>
      </w:pPr>
    </w:p>
    <w:p w:rsidR="00A93438" w:rsidRDefault="00B16733" w:rsidP="0063141A">
      <w:pPr>
        <w:pStyle w:val="Title"/>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The </w:t>
      </w:r>
      <w:proofErr w:type="spellStart"/>
      <w:r w:rsidRPr="00B16733">
        <w:rPr>
          <w:rFonts w:asciiTheme="minorHAnsi" w:hAnsiTheme="minorHAnsi" w:cstheme="minorHAnsi"/>
          <w:b w:val="0"/>
          <w:sz w:val="20"/>
          <w:szCs w:val="20"/>
        </w:rPr>
        <w:t>Chembio</w:t>
      </w:r>
      <w:proofErr w:type="spellEnd"/>
      <w:r w:rsidRPr="00B16733">
        <w:rPr>
          <w:rFonts w:asciiTheme="minorHAnsi" w:hAnsiTheme="minorHAnsi" w:cstheme="minorHAnsi"/>
          <w:b w:val="0"/>
          <w:sz w:val="20"/>
          <w:szCs w:val="20"/>
        </w:rPr>
        <w:t xml:space="preserve"> HIV 1/2 STAT-PAK® Assay employs a unique combination of a specific antibody binding protein which is conjugated to colloidal gold dye particles and HIV-1/2 antigens which are bound to the solid phase membrane. The venous or capillary (</w:t>
      </w:r>
      <w:proofErr w:type="spellStart"/>
      <w:r w:rsidRPr="00B16733">
        <w:rPr>
          <w:rFonts w:asciiTheme="minorHAnsi" w:hAnsiTheme="minorHAnsi" w:cstheme="minorHAnsi"/>
          <w:b w:val="0"/>
          <w:sz w:val="20"/>
          <w:szCs w:val="20"/>
        </w:rPr>
        <w:t>fingerstick</w:t>
      </w:r>
      <w:proofErr w:type="spellEnd"/>
      <w:r w:rsidRPr="00B16733">
        <w:rPr>
          <w:rFonts w:asciiTheme="minorHAnsi" w:hAnsiTheme="minorHAnsi" w:cstheme="minorHAnsi"/>
          <w:b w:val="0"/>
          <w:sz w:val="20"/>
          <w:szCs w:val="20"/>
        </w:rPr>
        <w:t>) whole blood, serum or plasma is applied to the SAMPLE (S) well of test device followed by the addition of Running Buffer. The Buffer facilitates the lateral flow of the specimen and test reagents and promotes the binding of the antibodies to the antigen. The specimen/buffer mixture migrates along the test strip by capillary action, reconstituting the conjugate. If present, the antibodies bind to the colloidal gold conjugated antibody binding protein. In a reactive sample, the dye conjugated-immune complex migrates on the nitrocellulose membrane and is captured by the antigens immobilized in the TEST (T) area producing a pink/purple line. In the absence of HIV-1 and HIV-2 antibodies, there is no pink/purple line in the TEST (T) area. The sample continues to migrate along the membrane and produces a pink/purple line in the CONTROL (C) area containing immunoglobulin G antigens. This procedural control serves to demonstrate that specimen and reagents have been properly applied and have migrated through the device.</w:t>
      </w:r>
      <w:r w:rsidR="00A93438" w:rsidRPr="00B16733">
        <w:rPr>
          <w:rFonts w:asciiTheme="minorHAnsi" w:hAnsiTheme="minorHAnsi" w:cstheme="minorHAnsi"/>
          <w:b w:val="0"/>
          <w:sz w:val="20"/>
          <w:szCs w:val="20"/>
        </w:rPr>
        <w:tab/>
      </w:r>
    </w:p>
    <w:p w:rsidR="00B16733" w:rsidRPr="00796734" w:rsidRDefault="00B16733" w:rsidP="0063141A">
      <w:pPr>
        <w:pStyle w:val="Title"/>
        <w:jc w:val="both"/>
        <w:rPr>
          <w:rFonts w:asciiTheme="minorHAnsi" w:hAnsiTheme="minorHAnsi" w:cstheme="minorHAnsi"/>
          <w:b w:val="0"/>
          <w:sz w:val="20"/>
          <w:szCs w:val="20"/>
          <w:u w:val="single"/>
        </w:rPr>
      </w:pPr>
    </w:p>
    <w:p w:rsidR="00B16733" w:rsidRDefault="00B16733" w:rsidP="0063141A">
      <w:pPr>
        <w:pStyle w:val="Title"/>
        <w:jc w:val="both"/>
        <w:rPr>
          <w:rFonts w:asciiTheme="minorHAnsi" w:hAnsiTheme="minorHAnsi" w:cstheme="minorHAnsi"/>
          <w:sz w:val="20"/>
          <w:szCs w:val="20"/>
          <w:u w:val="single"/>
        </w:rPr>
      </w:pPr>
      <w:r w:rsidRPr="00796734">
        <w:rPr>
          <w:rFonts w:asciiTheme="minorHAnsi" w:hAnsiTheme="minorHAnsi" w:cstheme="minorHAnsi"/>
          <w:sz w:val="20"/>
          <w:szCs w:val="20"/>
          <w:u w:val="single"/>
        </w:rPr>
        <w:t>MATERIALS PROVIDED</w:t>
      </w:r>
    </w:p>
    <w:p w:rsidR="00796734" w:rsidRPr="00796734" w:rsidRDefault="00796734" w:rsidP="0063141A">
      <w:pPr>
        <w:pStyle w:val="Title"/>
        <w:jc w:val="both"/>
        <w:rPr>
          <w:rFonts w:asciiTheme="minorHAnsi" w:hAnsiTheme="minorHAnsi" w:cstheme="minorHAnsi"/>
          <w:sz w:val="20"/>
          <w:szCs w:val="20"/>
          <w:u w:val="single"/>
        </w:rPr>
      </w:pPr>
    </w:p>
    <w:p w:rsidR="00B16733" w:rsidRDefault="00B16733" w:rsidP="0063141A">
      <w:pPr>
        <w:pStyle w:val="Title"/>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Each Kit contains the components to perform 20 tests: </w:t>
      </w:r>
    </w:p>
    <w:p w:rsidR="00B16733" w:rsidRDefault="00B16733" w:rsidP="0063141A">
      <w:pPr>
        <w:pStyle w:val="Title"/>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20 STAT-PAK® Individually Pouched Test Devices </w:t>
      </w:r>
    </w:p>
    <w:p w:rsidR="00B16733" w:rsidRDefault="00B16733" w:rsidP="0063141A">
      <w:pPr>
        <w:pStyle w:val="Title"/>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20 Copies of Subject Information Notice </w:t>
      </w:r>
    </w:p>
    <w:p w:rsidR="00B16733" w:rsidRDefault="00B16733" w:rsidP="0063141A">
      <w:pPr>
        <w:pStyle w:val="Title"/>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20 Disposable 5μL Sample Loops </w:t>
      </w:r>
    </w:p>
    <w:p w:rsidR="00B16733" w:rsidRDefault="00B16733" w:rsidP="0063141A">
      <w:pPr>
        <w:pStyle w:val="Title"/>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1 HIV Running Buffer (3.5mL) </w:t>
      </w:r>
    </w:p>
    <w:p w:rsidR="00B16733" w:rsidRDefault="00B16733" w:rsidP="0063141A">
      <w:pPr>
        <w:pStyle w:val="Title"/>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1 Product Insert for the </w:t>
      </w:r>
      <w:proofErr w:type="spellStart"/>
      <w:r w:rsidRPr="00B16733">
        <w:rPr>
          <w:rFonts w:asciiTheme="minorHAnsi" w:hAnsiTheme="minorHAnsi" w:cstheme="minorHAnsi"/>
          <w:b w:val="0"/>
          <w:sz w:val="20"/>
          <w:szCs w:val="20"/>
        </w:rPr>
        <w:t>Chembio</w:t>
      </w:r>
      <w:proofErr w:type="spellEnd"/>
      <w:r w:rsidRPr="00B16733">
        <w:rPr>
          <w:rFonts w:asciiTheme="minorHAnsi" w:hAnsiTheme="minorHAnsi" w:cstheme="minorHAnsi"/>
          <w:b w:val="0"/>
          <w:sz w:val="20"/>
          <w:szCs w:val="20"/>
        </w:rPr>
        <w:t xml:space="preserve"> HIV 1/2 STAT-PAK® Assay </w:t>
      </w:r>
    </w:p>
    <w:p w:rsidR="00B16733" w:rsidRDefault="00B16733" w:rsidP="0063141A">
      <w:pPr>
        <w:pStyle w:val="Title"/>
        <w:jc w:val="both"/>
        <w:rPr>
          <w:rFonts w:asciiTheme="minorHAnsi" w:hAnsiTheme="minorHAnsi" w:cstheme="minorHAnsi"/>
          <w:b w:val="0"/>
          <w:sz w:val="20"/>
          <w:szCs w:val="20"/>
        </w:rPr>
      </w:pPr>
    </w:p>
    <w:p w:rsidR="00B16733" w:rsidRPr="00796734" w:rsidRDefault="00B16733" w:rsidP="0063141A">
      <w:pPr>
        <w:pStyle w:val="Title"/>
        <w:jc w:val="both"/>
        <w:rPr>
          <w:rFonts w:asciiTheme="minorHAnsi" w:hAnsiTheme="minorHAnsi" w:cstheme="minorHAnsi"/>
          <w:sz w:val="20"/>
          <w:szCs w:val="20"/>
          <w:u w:val="single"/>
        </w:rPr>
      </w:pPr>
      <w:r w:rsidRPr="00796734">
        <w:rPr>
          <w:rFonts w:asciiTheme="minorHAnsi" w:hAnsiTheme="minorHAnsi" w:cstheme="minorHAnsi"/>
          <w:sz w:val="20"/>
          <w:szCs w:val="20"/>
          <w:u w:val="single"/>
        </w:rPr>
        <w:t xml:space="preserve">MATERIALS REQUIRED AND AVAILABLE AS AN ACCESSORY TO THE KIT </w:t>
      </w:r>
    </w:p>
    <w:p w:rsidR="00B16733" w:rsidRDefault="00B16733" w:rsidP="0063141A">
      <w:pPr>
        <w:pStyle w:val="Title"/>
        <w:jc w:val="both"/>
        <w:rPr>
          <w:rFonts w:asciiTheme="minorHAnsi" w:hAnsiTheme="minorHAnsi" w:cstheme="minorHAnsi"/>
          <w:b w:val="0"/>
          <w:sz w:val="20"/>
          <w:szCs w:val="20"/>
        </w:rPr>
      </w:pPr>
      <w:proofErr w:type="spellStart"/>
      <w:r w:rsidRPr="00B16733">
        <w:rPr>
          <w:rFonts w:asciiTheme="minorHAnsi" w:hAnsiTheme="minorHAnsi" w:cstheme="minorHAnsi"/>
          <w:b w:val="0"/>
          <w:sz w:val="20"/>
          <w:szCs w:val="20"/>
        </w:rPr>
        <w:t>Chembio</w:t>
      </w:r>
      <w:proofErr w:type="spellEnd"/>
      <w:r w:rsidRPr="00B16733">
        <w:rPr>
          <w:rFonts w:asciiTheme="minorHAnsi" w:hAnsiTheme="minorHAnsi" w:cstheme="minorHAnsi"/>
          <w:b w:val="0"/>
          <w:sz w:val="20"/>
          <w:szCs w:val="20"/>
        </w:rPr>
        <w:t xml:space="preserve"> HIV Reactive/Nonreactive Controls (Catalog # 60-9549-0). </w:t>
      </w:r>
    </w:p>
    <w:p w:rsidR="00B16733" w:rsidRDefault="00B16733" w:rsidP="0063141A">
      <w:pPr>
        <w:pStyle w:val="Title"/>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Each package contains: </w:t>
      </w:r>
    </w:p>
    <w:p w:rsidR="00B16733" w:rsidRDefault="00B16733" w:rsidP="0063141A">
      <w:pPr>
        <w:pStyle w:val="Title"/>
        <w:jc w:val="both"/>
        <w:rPr>
          <w:rFonts w:asciiTheme="minorHAnsi" w:hAnsiTheme="minorHAnsi" w:cstheme="minorHAnsi"/>
          <w:b w:val="0"/>
          <w:sz w:val="20"/>
          <w:szCs w:val="20"/>
        </w:rPr>
      </w:pPr>
      <w:r w:rsidRPr="00B16733">
        <w:rPr>
          <w:rFonts w:asciiTheme="minorHAnsi" w:hAnsiTheme="minorHAnsi" w:cstheme="minorHAnsi"/>
          <w:b w:val="0"/>
          <w:sz w:val="20"/>
          <w:szCs w:val="20"/>
        </w:rPr>
        <w:t>1 HIV 1 Reactive Control (0.25mL)</w:t>
      </w:r>
    </w:p>
    <w:p w:rsidR="00B16733" w:rsidRDefault="00B16733" w:rsidP="0063141A">
      <w:pPr>
        <w:pStyle w:val="Title"/>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1 HIV 2 Reactive Control (0.25mL) </w:t>
      </w:r>
    </w:p>
    <w:p w:rsidR="00B16733" w:rsidRDefault="00B16733" w:rsidP="0063141A">
      <w:pPr>
        <w:pStyle w:val="Title"/>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1 Nonreactive Control (0.25mL) </w:t>
      </w:r>
    </w:p>
    <w:p w:rsidR="00B16733" w:rsidRDefault="00B16733" w:rsidP="0063141A">
      <w:pPr>
        <w:pStyle w:val="Title"/>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1 Product Insert for the </w:t>
      </w:r>
      <w:proofErr w:type="spellStart"/>
      <w:r w:rsidRPr="00B16733">
        <w:rPr>
          <w:rFonts w:asciiTheme="minorHAnsi" w:hAnsiTheme="minorHAnsi" w:cstheme="minorHAnsi"/>
          <w:b w:val="0"/>
          <w:sz w:val="20"/>
          <w:szCs w:val="20"/>
        </w:rPr>
        <w:t>Chembio</w:t>
      </w:r>
      <w:proofErr w:type="spellEnd"/>
      <w:r w:rsidRPr="00B16733">
        <w:rPr>
          <w:rFonts w:asciiTheme="minorHAnsi" w:hAnsiTheme="minorHAnsi" w:cstheme="minorHAnsi"/>
          <w:b w:val="0"/>
          <w:sz w:val="20"/>
          <w:szCs w:val="20"/>
        </w:rPr>
        <w:t xml:space="preserve"> HIV Reactive/Nonreactive Controls </w:t>
      </w:r>
    </w:p>
    <w:p w:rsidR="00B16733" w:rsidRDefault="00B16733" w:rsidP="0063141A">
      <w:pPr>
        <w:pStyle w:val="Title"/>
        <w:jc w:val="both"/>
        <w:rPr>
          <w:rFonts w:asciiTheme="minorHAnsi" w:hAnsiTheme="minorHAnsi" w:cstheme="minorHAnsi"/>
          <w:b w:val="0"/>
          <w:sz w:val="20"/>
          <w:szCs w:val="20"/>
        </w:rPr>
      </w:pPr>
    </w:p>
    <w:p w:rsidR="00796734" w:rsidRDefault="00796734" w:rsidP="0063141A">
      <w:pPr>
        <w:pStyle w:val="Title"/>
        <w:jc w:val="both"/>
        <w:rPr>
          <w:rFonts w:asciiTheme="minorHAnsi" w:hAnsiTheme="minorHAnsi" w:cstheme="minorHAnsi"/>
          <w:sz w:val="20"/>
          <w:szCs w:val="20"/>
          <w:u w:val="single"/>
        </w:rPr>
      </w:pPr>
    </w:p>
    <w:p w:rsidR="00B16733" w:rsidRPr="00796734" w:rsidRDefault="00B16733" w:rsidP="0063141A">
      <w:pPr>
        <w:pStyle w:val="Title"/>
        <w:jc w:val="both"/>
        <w:rPr>
          <w:rFonts w:asciiTheme="minorHAnsi" w:hAnsiTheme="minorHAnsi" w:cstheme="minorHAnsi"/>
          <w:sz w:val="20"/>
          <w:szCs w:val="20"/>
          <w:u w:val="single"/>
        </w:rPr>
      </w:pPr>
      <w:r w:rsidRPr="00796734">
        <w:rPr>
          <w:rFonts w:asciiTheme="minorHAnsi" w:hAnsiTheme="minorHAnsi" w:cstheme="minorHAnsi"/>
          <w:sz w:val="20"/>
          <w:szCs w:val="20"/>
          <w:u w:val="single"/>
        </w:rPr>
        <w:lastRenderedPageBreak/>
        <w:t xml:space="preserve">MATERIALS REQUIRED BUT NOT PROVIDED </w:t>
      </w:r>
    </w:p>
    <w:p w:rsidR="00B16733" w:rsidRDefault="00B16733" w:rsidP="00796734">
      <w:pPr>
        <w:pStyle w:val="Title"/>
        <w:numPr>
          <w:ilvl w:val="0"/>
          <w:numId w:val="37"/>
        </w:numPr>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Clock, watch, or other timing device </w:t>
      </w:r>
    </w:p>
    <w:p w:rsidR="00B16733" w:rsidRDefault="00B16733" w:rsidP="00796734">
      <w:pPr>
        <w:pStyle w:val="Title"/>
        <w:numPr>
          <w:ilvl w:val="0"/>
          <w:numId w:val="37"/>
        </w:numPr>
        <w:jc w:val="both"/>
        <w:rPr>
          <w:rFonts w:asciiTheme="minorHAnsi" w:hAnsiTheme="minorHAnsi" w:cstheme="minorHAnsi"/>
          <w:b w:val="0"/>
          <w:sz w:val="20"/>
          <w:szCs w:val="20"/>
        </w:rPr>
      </w:pPr>
      <w:proofErr w:type="spellStart"/>
      <w:r w:rsidRPr="00B16733">
        <w:rPr>
          <w:rFonts w:asciiTheme="minorHAnsi" w:hAnsiTheme="minorHAnsi" w:cstheme="minorHAnsi"/>
          <w:b w:val="0"/>
          <w:sz w:val="20"/>
          <w:szCs w:val="20"/>
        </w:rPr>
        <w:t>Pipettor</w:t>
      </w:r>
      <w:proofErr w:type="spellEnd"/>
      <w:r w:rsidRPr="00B16733">
        <w:rPr>
          <w:rFonts w:asciiTheme="minorHAnsi" w:hAnsiTheme="minorHAnsi" w:cstheme="minorHAnsi"/>
          <w:b w:val="0"/>
          <w:sz w:val="20"/>
          <w:szCs w:val="20"/>
        </w:rPr>
        <w:t xml:space="preserve"> capable of delivering 5μL of sample may be used in lieu of the disposable 5μL sample loop supplied with the Kit (for other than </w:t>
      </w:r>
      <w:proofErr w:type="spellStart"/>
      <w:r w:rsidRPr="00B16733">
        <w:rPr>
          <w:rFonts w:asciiTheme="minorHAnsi" w:hAnsiTheme="minorHAnsi" w:cstheme="minorHAnsi"/>
          <w:b w:val="0"/>
          <w:sz w:val="20"/>
          <w:szCs w:val="20"/>
        </w:rPr>
        <w:t>fingerstick</w:t>
      </w:r>
      <w:proofErr w:type="spellEnd"/>
      <w:r w:rsidRPr="00B16733">
        <w:rPr>
          <w:rFonts w:asciiTheme="minorHAnsi" w:hAnsiTheme="minorHAnsi" w:cstheme="minorHAnsi"/>
          <w:b w:val="0"/>
          <w:sz w:val="20"/>
          <w:szCs w:val="20"/>
        </w:rPr>
        <w:t xml:space="preserve"> whole blood specimens) </w:t>
      </w:r>
    </w:p>
    <w:p w:rsidR="00B16733" w:rsidRDefault="00B16733" w:rsidP="00796734">
      <w:pPr>
        <w:pStyle w:val="Title"/>
        <w:numPr>
          <w:ilvl w:val="0"/>
          <w:numId w:val="37"/>
        </w:numPr>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Disposable gloves </w:t>
      </w:r>
    </w:p>
    <w:p w:rsidR="00B16733" w:rsidRDefault="00B16733" w:rsidP="00796734">
      <w:pPr>
        <w:pStyle w:val="Title"/>
        <w:numPr>
          <w:ilvl w:val="0"/>
          <w:numId w:val="37"/>
        </w:numPr>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Sterile gauze (for </w:t>
      </w:r>
      <w:proofErr w:type="spellStart"/>
      <w:r w:rsidRPr="00B16733">
        <w:rPr>
          <w:rFonts w:asciiTheme="minorHAnsi" w:hAnsiTheme="minorHAnsi" w:cstheme="minorHAnsi"/>
          <w:b w:val="0"/>
          <w:sz w:val="20"/>
          <w:szCs w:val="20"/>
        </w:rPr>
        <w:t>fingerstick</w:t>
      </w:r>
      <w:proofErr w:type="spellEnd"/>
      <w:r w:rsidRPr="00B16733">
        <w:rPr>
          <w:rFonts w:asciiTheme="minorHAnsi" w:hAnsiTheme="minorHAnsi" w:cstheme="minorHAnsi"/>
          <w:b w:val="0"/>
          <w:sz w:val="20"/>
          <w:szCs w:val="20"/>
        </w:rPr>
        <w:t xml:space="preserve"> whole blood specimens)</w:t>
      </w:r>
    </w:p>
    <w:p w:rsidR="00B16733" w:rsidRDefault="00B16733" w:rsidP="00796734">
      <w:pPr>
        <w:pStyle w:val="Title"/>
        <w:numPr>
          <w:ilvl w:val="0"/>
          <w:numId w:val="37"/>
        </w:numPr>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Antiseptic wipes • Biohazard disposal container </w:t>
      </w:r>
    </w:p>
    <w:p w:rsidR="00B16733" w:rsidRDefault="00B16733" w:rsidP="00796734">
      <w:pPr>
        <w:pStyle w:val="Title"/>
        <w:numPr>
          <w:ilvl w:val="0"/>
          <w:numId w:val="37"/>
        </w:numPr>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Sterile Safety Lancet (for </w:t>
      </w:r>
      <w:proofErr w:type="spellStart"/>
      <w:r w:rsidRPr="00B16733">
        <w:rPr>
          <w:rFonts w:asciiTheme="minorHAnsi" w:hAnsiTheme="minorHAnsi" w:cstheme="minorHAnsi"/>
          <w:b w:val="0"/>
          <w:sz w:val="20"/>
          <w:szCs w:val="20"/>
        </w:rPr>
        <w:t>fingerstick</w:t>
      </w:r>
      <w:proofErr w:type="spellEnd"/>
      <w:r w:rsidRPr="00B16733">
        <w:rPr>
          <w:rFonts w:asciiTheme="minorHAnsi" w:hAnsiTheme="minorHAnsi" w:cstheme="minorHAnsi"/>
          <w:b w:val="0"/>
          <w:sz w:val="20"/>
          <w:szCs w:val="20"/>
        </w:rPr>
        <w:t xml:space="preserve"> whole blood specimens) </w:t>
      </w:r>
    </w:p>
    <w:p w:rsidR="00B16733" w:rsidRDefault="00B16733" w:rsidP="00796734">
      <w:pPr>
        <w:pStyle w:val="Title"/>
        <w:numPr>
          <w:ilvl w:val="0"/>
          <w:numId w:val="37"/>
        </w:numPr>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Collection devices for specimens (other than </w:t>
      </w:r>
      <w:proofErr w:type="spellStart"/>
      <w:r w:rsidRPr="00B16733">
        <w:rPr>
          <w:rFonts w:asciiTheme="minorHAnsi" w:hAnsiTheme="minorHAnsi" w:cstheme="minorHAnsi"/>
          <w:b w:val="0"/>
          <w:sz w:val="20"/>
          <w:szCs w:val="20"/>
        </w:rPr>
        <w:t>fingerstick</w:t>
      </w:r>
      <w:proofErr w:type="spellEnd"/>
      <w:r w:rsidRPr="00B16733">
        <w:rPr>
          <w:rFonts w:asciiTheme="minorHAnsi" w:hAnsiTheme="minorHAnsi" w:cstheme="minorHAnsi"/>
          <w:b w:val="0"/>
          <w:sz w:val="20"/>
          <w:szCs w:val="20"/>
        </w:rPr>
        <w:t xml:space="preserve"> whole blood specimens</w:t>
      </w:r>
    </w:p>
    <w:p w:rsidR="00B16733" w:rsidRDefault="00B16733" w:rsidP="0063141A">
      <w:pPr>
        <w:pStyle w:val="Title"/>
        <w:jc w:val="both"/>
        <w:rPr>
          <w:rFonts w:asciiTheme="minorHAnsi" w:hAnsiTheme="minorHAnsi" w:cstheme="minorHAnsi"/>
          <w:b w:val="0"/>
          <w:sz w:val="20"/>
          <w:szCs w:val="20"/>
        </w:rPr>
      </w:pPr>
    </w:p>
    <w:p w:rsidR="00B16733" w:rsidRDefault="00B16733" w:rsidP="0063141A">
      <w:pPr>
        <w:pStyle w:val="Title"/>
        <w:jc w:val="both"/>
        <w:rPr>
          <w:rFonts w:asciiTheme="minorHAnsi" w:hAnsiTheme="minorHAnsi" w:cstheme="minorHAnsi"/>
          <w:sz w:val="20"/>
          <w:szCs w:val="20"/>
          <w:u w:val="single"/>
        </w:rPr>
      </w:pPr>
      <w:proofErr w:type="gramStart"/>
      <w:r w:rsidRPr="00B16733">
        <w:rPr>
          <w:rFonts w:asciiTheme="minorHAnsi" w:hAnsiTheme="minorHAnsi" w:cstheme="minorHAnsi"/>
          <w:sz w:val="20"/>
          <w:szCs w:val="20"/>
          <w:u w:val="single"/>
        </w:rPr>
        <w:t xml:space="preserve">WARNINGS </w:t>
      </w:r>
      <w:r w:rsidR="00796734">
        <w:rPr>
          <w:rFonts w:asciiTheme="minorHAnsi" w:hAnsiTheme="minorHAnsi" w:cstheme="minorHAnsi"/>
          <w:sz w:val="20"/>
          <w:szCs w:val="20"/>
          <w:u w:val="single"/>
        </w:rPr>
        <w:t>:</w:t>
      </w:r>
      <w:proofErr w:type="gramEnd"/>
    </w:p>
    <w:p w:rsidR="00796734" w:rsidRPr="00B16733" w:rsidRDefault="00796734" w:rsidP="0063141A">
      <w:pPr>
        <w:pStyle w:val="Title"/>
        <w:jc w:val="both"/>
        <w:rPr>
          <w:rFonts w:asciiTheme="minorHAnsi" w:hAnsiTheme="minorHAnsi" w:cstheme="minorHAnsi"/>
          <w:sz w:val="20"/>
          <w:szCs w:val="20"/>
          <w:u w:val="single"/>
        </w:rPr>
      </w:pPr>
    </w:p>
    <w:p w:rsidR="00B16733" w:rsidRPr="00B16733" w:rsidRDefault="00B16733" w:rsidP="0063141A">
      <w:pPr>
        <w:pStyle w:val="Title"/>
        <w:jc w:val="both"/>
        <w:rPr>
          <w:rFonts w:asciiTheme="minorHAnsi" w:hAnsiTheme="minorHAnsi" w:cstheme="minorHAnsi"/>
          <w:sz w:val="20"/>
          <w:szCs w:val="20"/>
          <w:u w:val="single"/>
        </w:rPr>
      </w:pPr>
      <w:r w:rsidRPr="00B16733">
        <w:rPr>
          <w:rFonts w:asciiTheme="minorHAnsi" w:hAnsiTheme="minorHAnsi" w:cstheme="minorHAnsi"/>
          <w:sz w:val="20"/>
          <w:szCs w:val="20"/>
          <w:u w:val="single"/>
        </w:rPr>
        <w:t xml:space="preserve">For IN VITRO diagnostic use </w:t>
      </w:r>
    </w:p>
    <w:p w:rsidR="00B16733" w:rsidRDefault="00B16733" w:rsidP="00796734">
      <w:pPr>
        <w:pStyle w:val="Title"/>
        <w:numPr>
          <w:ilvl w:val="0"/>
          <w:numId w:val="35"/>
        </w:numPr>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Read the Product Insert completely before using this assay. Follow the instructions carefully as not doing so may result in inaccurate Test Results. </w:t>
      </w:r>
    </w:p>
    <w:p w:rsidR="00B16733" w:rsidRDefault="00B16733" w:rsidP="00796734">
      <w:pPr>
        <w:pStyle w:val="Title"/>
        <w:numPr>
          <w:ilvl w:val="0"/>
          <w:numId w:val="35"/>
        </w:numPr>
        <w:jc w:val="both"/>
        <w:rPr>
          <w:rFonts w:asciiTheme="minorHAnsi" w:hAnsiTheme="minorHAnsi" w:cstheme="minorHAnsi"/>
          <w:b w:val="0"/>
          <w:sz w:val="20"/>
          <w:szCs w:val="20"/>
        </w:rPr>
      </w:pPr>
      <w:r w:rsidRPr="00B16733">
        <w:rPr>
          <w:rFonts w:asciiTheme="minorHAnsi" w:hAnsiTheme="minorHAnsi" w:cstheme="minorHAnsi"/>
          <w:b w:val="0"/>
          <w:sz w:val="20"/>
          <w:szCs w:val="20"/>
        </w:rPr>
        <w:t>Users of this test should follow the CDC Universal Precautions for prevention of transmission of Human Immunodeficiency Virus, Hepatitis B Virus, a</w:t>
      </w:r>
      <w:r>
        <w:rPr>
          <w:rFonts w:asciiTheme="minorHAnsi" w:hAnsiTheme="minorHAnsi" w:cstheme="minorHAnsi"/>
          <w:b w:val="0"/>
          <w:sz w:val="20"/>
          <w:szCs w:val="20"/>
        </w:rPr>
        <w:t xml:space="preserve">nd other </w:t>
      </w:r>
      <w:proofErr w:type="spellStart"/>
      <w:r>
        <w:rPr>
          <w:rFonts w:asciiTheme="minorHAnsi" w:hAnsiTheme="minorHAnsi" w:cstheme="minorHAnsi"/>
          <w:b w:val="0"/>
          <w:sz w:val="20"/>
          <w:szCs w:val="20"/>
        </w:rPr>
        <w:t>bloodborne</w:t>
      </w:r>
      <w:proofErr w:type="spellEnd"/>
      <w:r>
        <w:rPr>
          <w:rFonts w:asciiTheme="minorHAnsi" w:hAnsiTheme="minorHAnsi" w:cstheme="minorHAnsi"/>
          <w:b w:val="0"/>
          <w:sz w:val="20"/>
          <w:szCs w:val="20"/>
        </w:rPr>
        <w:t xml:space="preserve"> pathogens.</w:t>
      </w:r>
    </w:p>
    <w:p w:rsidR="00B16733" w:rsidRDefault="00B16733" w:rsidP="00796734">
      <w:pPr>
        <w:pStyle w:val="Title"/>
        <w:numPr>
          <w:ilvl w:val="0"/>
          <w:numId w:val="35"/>
        </w:numPr>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Use of this test Kit with specimen types other than those specifically approved for use with this device may result in inaccurate Test Results. </w:t>
      </w:r>
    </w:p>
    <w:p w:rsidR="00B16733" w:rsidRDefault="00B16733" w:rsidP="00796734">
      <w:pPr>
        <w:pStyle w:val="Title"/>
        <w:numPr>
          <w:ilvl w:val="0"/>
          <w:numId w:val="35"/>
        </w:numPr>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This test is CLIA-waived for use only with </w:t>
      </w:r>
      <w:proofErr w:type="spellStart"/>
      <w:r w:rsidRPr="00B16733">
        <w:rPr>
          <w:rFonts w:asciiTheme="minorHAnsi" w:hAnsiTheme="minorHAnsi" w:cstheme="minorHAnsi"/>
          <w:b w:val="0"/>
          <w:sz w:val="20"/>
          <w:szCs w:val="20"/>
        </w:rPr>
        <w:t>fingerstick</w:t>
      </w:r>
      <w:proofErr w:type="spellEnd"/>
      <w:r w:rsidRPr="00B16733">
        <w:rPr>
          <w:rFonts w:asciiTheme="minorHAnsi" w:hAnsiTheme="minorHAnsi" w:cstheme="minorHAnsi"/>
          <w:b w:val="0"/>
          <w:sz w:val="20"/>
          <w:szCs w:val="20"/>
        </w:rPr>
        <w:t xml:space="preserve"> whole blood and venipuncture whole blood samples. </w:t>
      </w:r>
    </w:p>
    <w:p w:rsidR="00B16733" w:rsidRDefault="00B16733" w:rsidP="00796734">
      <w:pPr>
        <w:pStyle w:val="Title"/>
        <w:numPr>
          <w:ilvl w:val="0"/>
          <w:numId w:val="35"/>
        </w:numPr>
        <w:jc w:val="both"/>
        <w:rPr>
          <w:rFonts w:asciiTheme="minorHAnsi" w:hAnsiTheme="minorHAnsi" w:cstheme="minorHAnsi"/>
          <w:b w:val="0"/>
          <w:sz w:val="20"/>
          <w:szCs w:val="20"/>
        </w:rPr>
      </w:pPr>
      <w:r w:rsidRPr="00B16733">
        <w:rPr>
          <w:rFonts w:asciiTheme="minorHAnsi" w:hAnsiTheme="minorHAnsi" w:cstheme="minorHAnsi"/>
          <w:b w:val="0"/>
          <w:sz w:val="20"/>
          <w:szCs w:val="20"/>
        </w:rPr>
        <w:t>This test should be performed at 18 to 30°C (64 to 86°F). If stored refrigerated, ensure that the pouch is brought to operating temperature before performing testing.</w:t>
      </w:r>
    </w:p>
    <w:p w:rsidR="00B16733" w:rsidRDefault="00B16733" w:rsidP="00796734">
      <w:pPr>
        <w:pStyle w:val="Title"/>
        <w:numPr>
          <w:ilvl w:val="0"/>
          <w:numId w:val="35"/>
        </w:numPr>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If the test Kit is stored at temperatures outside the storage temperature 8 to 30°C (46 to 86°F), or used outside the operating temperature 18 to 30°C (64 to 86°F), use the Kit Controls to ensure proper performance of the test. </w:t>
      </w:r>
    </w:p>
    <w:p w:rsidR="00B16733" w:rsidRDefault="00B16733" w:rsidP="00796734">
      <w:pPr>
        <w:pStyle w:val="Title"/>
        <w:numPr>
          <w:ilvl w:val="0"/>
          <w:numId w:val="35"/>
        </w:numPr>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An individual infected with HIV-1 and/or HIV-2 who is receiving highly active antiretroviral therapy (HAART) may produce false negative results. </w:t>
      </w:r>
    </w:p>
    <w:p w:rsidR="00B16733" w:rsidRDefault="00B16733" w:rsidP="0063141A">
      <w:pPr>
        <w:pStyle w:val="Title"/>
        <w:jc w:val="both"/>
        <w:rPr>
          <w:rFonts w:asciiTheme="minorHAnsi" w:hAnsiTheme="minorHAnsi" w:cstheme="minorHAnsi"/>
          <w:b w:val="0"/>
          <w:sz w:val="20"/>
          <w:szCs w:val="20"/>
        </w:rPr>
      </w:pPr>
    </w:p>
    <w:p w:rsidR="00B16733" w:rsidRDefault="00B16733" w:rsidP="0063141A">
      <w:pPr>
        <w:pStyle w:val="Title"/>
        <w:jc w:val="both"/>
        <w:rPr>
          <w:rFonts w:asciiTheme="minorHAnsi" w:hAnsiTheme="minorHAnsi" w:cstheme="minorHAnsi"/>
          <w:sz w:val="20"/>
          <w:szCs w:val="20"/>
          <w:u w:val="single"/>
        </w:rPr>
      </w:pPr>
      <w:proofErr w:type="gramStart"/>
      <w:r w:rsidRPr="00B16733">
        <w:rPr>
          <w:rFonts w:asciiTheme="minorHAnsi" w:hAnsiTheme="minorHAnsi" w:cstheme="minorHAnsi"/>
          <w:sz w:val="20"/>
          <w:szCs w:val="20"/>
          <w:u w:val="single"/>
        </w:rPr>
        <w:t xml:space="preserve">PRECAUTIONS </w:t>
      </w:r>
      <w:r w:rsidR="00796734">
        <w:rPr>
          <w:rFonts w:asciiTheme="minorHAnsi" w:hAnsiTheme="minorHAnsi" w:cstheme="minorHAnsi"/>
          <w:sz w:val="20"/>
          <w:szCs w:val="20"/>
          <w:u w:val="single"/>
        </w:rPr>
        <w:t>:</w:t>
      </w:r>
      <w:proofErr w:type="gramEnd"/>
    </w:p>
    <w:p w:rsidR="00796734" w:rsidRPr="00B16733" w:rsidRDefault="00796734" w:rsidP="0063141A">
      <w:pPr>
        <w:pStyle w:val="Title"/>
        <w:jc w:val="both"/>
        <w:rPr>
          <w:rFonts w:asciiTheme="minorHAnsi" w:hAnsiTheme="minorHAnsi" w:cstheme="minorHAnsi"/>
          <w:sz w:val="20"/>
          <w:szCs w:val="20"/>
          <w:u w:val="single"/>
        </w:rPr>
      </w:pPr>
    </w:p>
    <w:p w:rsidR="00B16733" w:rsidRPr="00B16733" w:rsidRDefault="00B16733" w:rsidP="0063141A">
      <w:pPr>
        <w:pStyle w:val="Title"/>
        <w:jc w:val="both"/>
        <w:rPr>
          <w:rFonts w:asciiTheme="minorHAnsi" w:hAnsiTheme="minorHAnsi" w:cstheme="minorHAnsi"/>
          <w:sz w:val="20"/>
          <w:szCs w:val="20"/>
          <w:u w:val="single"/>
        </w:rPr>
      </w:pPr>
      <w:r w:rsidRPr="00B16733">
        <w:rPr>
          <w:rFonts w:asciiTheme="minorHAnsi" w:hAnsiTheme="minorHAnsi" w:cstheme="minorHAnsi"/>
          <w:sz w:val="20"/>
          <w:szCs w:val="20"/>
          <w:u w:val="single"/>
        </w:rPr>
        <w:t xml:space="preserve">Safety Precautions </w:t>
      </w:r>
    </w:p>
    <w:p w:rsidR="00B16733" w:rsidRDefault="00B16733" w:rsidP="00796734">
      <w:pPr>
        <w:pStyle w:val="Title"/>
        <w:numPr>
          <w:ilvl w:val="0"/>
          <w:numId w:val="33"/>
        </w:numPr>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Handle the specimens and materials contacting specimens as if capable of transmitting infection. </w:t>
      </w:r>
    </w:p>
    <w:p w:rsidR="00B16733" w:rsidRDefault="00B16733" w:rsidP="00796734">
      <w:pPr>
        <w:pStyle w:val="Title"/>
        <w:numPr>
          <w:ilvl w:val="0"/>
          <w:numId w:val="33"/>
        </w:numPr>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Do not eat, drink or smoke in the area where specimens and kit reagents are handled. Avoid any contact with hands, eyes or mouth during specimen collection and testing. </w:t>
      </w:r>
    </w:p>
    <w:p w:rsidR="00796734" w:rsidRDefault="00B16733" w:rsidP="00796734">
      <w:pPr>
        <w:pStyle w:val="Title"/>
        <w:numPr>
          <w:ilvl w:val="0"/>
          <w:numId w:val="33"/>
        </w:numPr>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Wear protective clothing such as laboratory coats, disposable gloves and eye protection when handling specimens. </w:t>
      </w:r>
    </w:p>
    <w:p w:rsidR="00A25B4D" w:rsidRDefault="00B16733" w:rsidP="00796734">
      <w:pPr>
        <w:pStyle w:val="Title"/>
        <w:numPr>
          <w:ilvl w:val="0"/>
          <w:numId w:val="33"/>
        </w:numPr>
        <w:jc w:val="both"/>
        <w:rPr>
          <w:rFonts w:asciiTheme="minorHAnsi" w:hAnsiTheme="minorHAnsi" w:cstheme="minorHAnsi"/>
          <w:b w:val="0"/>
          <w:sz w:val="20"/>
          <w:szCs w:val="20"/>
        </w:rPr>
      </w:pPr>
      <w:r w:rsidRPr="00B16733">
        <w:rPr>
          <w:rFonts w:asciiTheme="minorHAnsi" w:hAnsiTheme="minorHAnsi" w:cstheme="minorHAnsi"/>
          <w:b w:val="0"/>
          <w:sz w:val="20"/>
          <w:szCs w:val="20"/>
        </w:rPr>
        <w:t>4. Dispose of all specimens and materials used in the test procedure in a biohazard waste container. Lancets should be placed in a puncture-resistant container prior to disposal. The recommended method of disposal of biohazard waste is autoclaving for a minimum of 1 hour at 121ºC. Disposable materials may be incinerated. Liquid wastes may be mixed with appropriate chemical disinfectants. A freshly prepared solution of 10% bleach (0.5% solution of sodium hypochlorite) is recommended. Allow 60 minutes for effective</w:t>
      </w:r>
      <w:r>
        <w:rPr>
          <w:rFonts w:asciiTheme="minorHAnsi" w:hAnsiTheme="minorHAnsi" w:cstheme="minorHAnsi"/>
          <w:b w:val="0"/>
          <w:sz w:val="20"/>
          <w:szCs w:val="20"/>
        </w:rPr>
        <w:t xml:space="preserve"> </w:t>
      </w:r>
      <w:r w:rsidRPr="00B16733">
        <w:rPr>
          <w:rFonts w:asciiTheme="minorHAnsi" w:hAnsiTheme="minorHAnsi" w:cstheme="minorHAnsi"/>
          <w:b w:val="0"/>
          <w:sz w:val="20"/>
          <w:szCs w:val="20"/>
        </w:rPr>
        <w:t>decontamination</w:t>
      </w:r>
      <w:r w:rsidRPr="00A25B4D">
        <w:rPr>
          <w:rFonts w:asciiTheme="minorHAnsi" w:hAnsiTheme="minorHAnsi" w:cstheme="minorHAnsi"/>
          <w:b w:val="0"/>
          <w:sz w:val="20"/>
          <w:szCs w:val="20"/>
        </w:rPr>
        <w:t>.</w:t>
      </w:r>
      <w:r w:rsidRPr="00A25B4D">
        <w:rPr>
          <w:rFonts w:asciiTheme="minorHAnsi" w:hAnsiTheme="minorHAnsi" w:cstheme="minorHAnsi"/>
          <w:sz w:val="20"/>
          <w:szCs w:val="20"/>
          <w:u w:val="single"/>
        </w:rPr>
        <w:t xml:space="preserve"> NOTE:</w:t>
      </w:r>
      <w:r w:rsidRPr="00B16733">
        <w:rPr>
          <w:rFonts w:asciiTheme="minorHAnsi" w:hAnsiTheme="minorHAnsi" w:cstheme="minorHAnsi"/>
          <w:b w:val="0"/>
          <w:sz w:val="20"/>
          <w:szCs w:val="20"/>
        </w:rPr>
        <w:t xml:space="preserve"> Do not autoclave solutions that contain bleach. </w:t>
      </w:r>
    </w:p>
    <w:p w:rsidR="00A25B4D" w:rsidRDefault="00B16733" w:rsidP="00796734">
      <w:pPr>
        <w:pStyle w:val="Title"/>
        <w:numPr>
          <w:ilvl w:val="0"/>
          <w:numId w:val="33"/>
        </w:numPr>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For additional information on biosafety, refer to “Universal Precautions for prevention of transmission of Human Immunodeficiency Virus, Hepatitis B Virus, and other </w:t>
      </w:r>
      <w:proofErr w:type="spellStart"/>
      <w:r w:rsidRPr="00B16733">
        <w:rPr>
          <w:rFonts w:asciiTheme="minorHAnsi" w:hAnsiTheme="minorHAnsi" w:cstheme="minorHAnsi"/>
          <w:b w:val="0"/>
          <w:sz w:val="20"/>
          <w:szCs w:val="20"/>
        </w:rPr>
        <w:t>bloodborne</w:t>
      </w:r>
      <w:proofErr w:type="spellEnd"/>
      <w:r w:rsidRPr="00B16733">
        <w:rPr>
          <w:rFonts w:asciiTheme="minorHAnsi" w:hAnsiTheme="minorHAnsi" w:cstheme="minorHAnsi"/>
          <w:b w:val="0"/>
          <w:sz w:val="20"/>
          <w:szCs w:val="20"/>
        </w:rPr>
        <w:t xml:space="preserve"> pathogens.”1 And “Updated U.S. Public Health Service Guidelines for the Management of Occupational Exposure to HBV, HCV, and HIV and Recommendations for </w:t>
      </w:r>
      <w:proofErr w:type="spellStart"/>
      <w:r w:rsidRPr="00B16733">
        <w:rPr>
          <w:rFonts w:asciiTheme="minorHAnsi" w:hAnsiTheme="minorHAnsi" w:cstheme="minorHAnsi"/>
          <w:b w:val="0"/>
          <w:sz w:val="20"/>
          <w:szCs w:val="20"/>
        </w:rPr>
        <w:t>Postexposure</w:t>
      </w:r>
      <w:proofErr w:type="spellEnd"/>
      <w:r w:rsidRPr="00B16733">
        <w:rPr>
          <w:rFonts w:asciiTheme="minorHAnsi" w:hAnsiTheme="minorHAnsi" w:cstheme="minorHAnsi"/>
          <w:b w:val="0"/>
          <w:sz w:val="20"/>
          <w:szCs w:val="20"/>
        </w:rPr>
        <w:t xml:space="preserve"> Prophylaxis.”</w:t>
      </w:r>
    </w:p>
    <w:p w:rsidR="00A25B4D" w:rsidRDefault="00B16733" w:rsidP="00796734">
      <w:pPr>
        <w:pStyle w:val="Title"/>
        <w:numPr>
          <w:ilvl w:val="0"/>
          <w:numId w:val="33"/>
        </w:numPr>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Use 10% bleach or other appropriate disinfectant to wipe all spills. The bleach solution should be made fresh each day. </w:t>
      </w:r>
    </w:p>
    <w:p w:rsidR="00A25B4D" w:rsidRDefault="00B16733" w:rsidP="0063141A">
      <w:pPr>
        <w:pStyle w:val="Title"/>
        <w:jc w:val="both"/>
        <w:rPr>
          <w:rFonts w:asciiTheme="minorHAnsi" w:hAnsiTheme="minorHAnsi" w:cstheme="minorHAnsi"/>
          <w:b w:val="0"/>
          <w:sz w:val="20"/>
          <w:szCs w:val="20"/>
        </w:rPr>
      </w:pPr>
      <w:r w:rsidRPr="00A25B4D">
        <w:rPr>
          <w:rFonts w:asciiTheme="minorHAnsi" w:hAnsiTheme="minorHAnsi" w:cstheme="minorHAnsi"/>
          <w:sz w:val="20"/>
          <w:szCs w:val="20"/>
          <w:u w:val="single"/>
        </w:rPr>
        <w:t>Handling Precautions</w:t>
      </w:r>
      <w:r w:rsidRPr="00B16733">
        <w:rPr>
          <w:rFonts w:asciiTheme="minorHAnsi" w:hAnsiTheme="minorHAnsi" w:cstheme="minorHAnsi"/>
          <w:b w:val="0"/>
          <w:sz w:val="20"/>
          <w:szCs w:val="20"/>
        </w:rPr>
        <w:t xml:space="preserve"> </w:t>
      </w:r>
    </w:p>
    <w:p w:rsidR="00A25B4D" w:rsidRDefault="00B16733" w:rsidP="00796734">
      <w:pPr>
        <w:pStyle w:val="Title"/>
        <w:numPr>
          <w:ilvl w:val="0"/>
          <w:numId w:val="31"/>
        </w:numPr>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If Desiccant Packet is missing, DO NOT USE, discard test device, and a new test device should be used. </w:t>
      </w:r>
    </w:p>
    <w:p w:rsidR="00A25B4D" w:rsidRDefault="00B16733" w:rsidP="00796734">
      <w:pPr>
        <w:pStyle w:val="Title"/>
        <w:numPr>
          <w:ilvl w:val="0"/>
          <w:numId w:val="31"/>
        </w:numPr>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Do not use any test device if the pouch has been perforated. </w:t>
      </w:r>
    </w:p>
    <w:p w:rsidR="00A25B4D" w:rsidRDefault="00B16733" w:rsidP="00796734">
      <w:pPr>
        <w:pStyle w:val="Title"/>
        <w:numPr>
          <w:ilvl w:val="0"/>
          <w:numId w:val="31"/>
        </w:numPr>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Each test device is for single use only. </w:t>
      </w:r>
    </w:p>
    <w:p w:rsidR="00A25B4D" w:rsidRDefault="00B16733" w:rsidP="00796734">
      <w:pPr>
        <w:pStyle w:val="Title"/>
        <w:numPr>
          <w:ilvl w:val="0"/>
          <w:numId w:val="31"/>
        </w:numPr>
        <w:jc w:val="both"/>
        <w:rPr>
          <w:rFonts w:asciiTheme="minorHAnsi" w:hAnsiTheme="minorHAnsi" w:cstheme="minorHAnsi"/>
          <w:b w:val="0"/>
          <w:sz w:val="20"/>
          <w:szCs w:val="20"/>
        </w:rPr>
      </w:pPr>
      <w:r w:rsidRPr="00B16733">
        <w:rPr>
          <w:rFonts w:asciiTheme="minorHAnsi" w:hAnsiTheme="minorHAnsi" w:cstheme="minorHAnsi"/>
          <w:b w:val="0"/>
          <w:sz w:val="20"/>
          <w:szCs w:val="20"/>
        </w:rPr>
        <w:lastRenderedPageBreak/>
        <w:t xml:space="preserve">Do not use the reagents beyond the expiration date printed on the pouch. Always check expiration date prior to testing. </w:t>
      </w:r>
    </w:p>
    <w:p w:rsidR="00A25B4D" w:rsidRDefault="00B16733" w:rsidP="00796734">
      <w:pPr>
        <w:pStyle w:val="Title"/>
        <w:numPr>
          <w:ilvl w:val="0"/>
          <w:numId w:val="31"/>
        </w:numPr>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Do not mix reagents from different lot numbers of Kits. </w:t>
      </w:r>
    </w:p>
    <w:p w:rsidR="00A25B4D" w:rsidRDefault="00B16733" w:rsidP="00796734">
      <w:pPr>
        <w:pStyle w:val="Title"/>
        <w:numPr>
          <w:ilvl w:val="0"/>
          <w:numId w:val="31"/>
        </w:numPr>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Adequate lighting is required to read the Test Results. </w:t>
      </w:r>
    </w:p>
    <w:p w:rsidR="00A25B4D" w:rsidRDefault="00A25B4D" w:rsidP="0063141A">
      <w:pPr>
        <w:pStyle w:val="Title"/>
        <w:jc w:val="both"/>
        <w:rPr>
          <w:rFonts w:asciiTheme="minorHAnsi" w:hAnsiTheme="minorHAnsi" w:cstheme="minorHAnsi"/>
          <w:b w:val="0"/>
          <w:sz w:val="20"/>
          <w:szCs w:val="20"/>
        </w:rPr>
      </w:pPr>
    </w:p>
    <w:p w:rsidR="00A25B4D" w:rsidRPr="00A25B4D" w:rsidRDefault="00B16733" w:rsidP="0063141A">
      <w:pPr>
        <w:pStyle w:val="Title"/>
        <w:jc w:val="both"/>
        <w:rPr>
          <w:rFonts w:asciiTheme="minorHAnsi" w:hAnsiTheme="minorHAnsi" w:cstheme="minorHAnsi"/>
          <w:sz w:val="20"/>
          <w:szCs w:val="20"/>
          <w:u w:val="single"/>
        </w:rPr>
      </w:pPr>
      <w:r w:rsidRPr="00A25B4D">
        <w:rPr>
          <w:rFonts w:asciiTheme="minorHAnsi" w:hAnsiTheme="minorHAnsi" w:cstheme="minorHAnsi"/>
          <w:sz w:val="20"/>
          <w:szCs w:val="20"/>
          <w:u w:val="single"/>
        </w:rPr>
        <w:t xml:space="preserve">STORAGE </w:t>
      </w:r>
    </w:p>
    <w:p w:rsidR="00796734" w:rsidRDefault="00796734" w:rsidP="0063141A">
      <w:pPr>
        <w:pStyle w:val="Title"/>
        <w:jc w:val="both"/>
        <w:rPr>
          <w:rFonts w:asciiTheme="minorHAnsi" w:hAnsiTheme="minorHAnsi" w:cstheme="minorHAnsi"/>
          <w:b w:val="0"/>
          <w:sz w:val="20"/>
          <w:szCs w:val="20"/>
        </w:rPr>
      </w:pPr>
    </w:p>
    <w:p w:rsidR="00236509" w:rsidRDefault="00B16733" w:rsidP="0063141A">
      <w:pPr>
        <w:pStyle w:val="Title"/>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The </w:t>
      </w:r>
      <w:proofErr w:type="spellStart"/>
      <w:r w:rsidRPr="00B16733">
        <w:rPr>
          <w:rFonts w:asciiTheme="minorHAnsi" w:hAnsiTheme="minorHAnsi" w:cstheme="minorHAnsi"/>
          <w:b w:val="0"/>
          <w:sz w:val="20"/>
          <w:szCs w:val="20"/>
        </w:rPr>
        <w:t>Chembio</w:t>
      </w:r>
      <w:proofErr w:type="spellEnd"/>
      <w:r w:rsidRPr="00B16733">
        <w:rPr>
          <w:rFonts w:asciiTheme="minorHAnsi" w:hAnsiTheme="minorHAnsi" w:cstheme="minorHAnsi"/>
          <w:b w:val="0"/>
          <w:sz w:val="20"/>
          <w:szCs w:val="20"/>
        </w:rPr>
        <w:t xml:space="preserve"> HIV 1/2 STAT-PAK® Assay should be stored in its unopened pouch at 8 to 30°C (46 to 86°F). Do not freeze. Do not open the pouch until you are ready to perform a test. When stored as indicated, test devices are stable until the expiration date marked on the pouch. Running Buffer should also be stored at 8 to 30°C (46 to 86°F) in its original vial. </w:t>
      </w:r>
    </w:p>
    <w:p w:rsidR="00236509" w:rsidRDefault="00236509" w:rsidP="0063141A">
      <w:pPr>
        <w:pStyle w:val="Title"/>
        <w:jc w:val="both"/>
        <w:rPr>
          <w:rFonts w:asciiTheme="minorHAnsi" w:hAnsiTheme="minorHAnsi" w:cstheme="minorHAnsi"/>
          <w:b w:val="0"/>
          <w:sz w:val="20"/>
          <w:szCs w:val="20"/>
        </w:rPr>
      </w:pPr>
    </w:p>
    <w:p w:rsidR="00236509" w:rsidRDefault="00B16733" w:rsidP="0063141A">
      <w:pPr>
        <w:pStyle w:val="Title"/>
        <w:jc w:val="both"/>
        <w:rPr>
          <w:rFonts w:asciiTheme="minorHAnsi" w:hAnsiTheme="minorHAnsi" w:cstheme="minorHAnsi"/>
          <w:sz w:val="20"/>
          <w:szCs w:val="20"/>
          <w:u w:val="single"/>
        </w:rPr>
      </w:pPr>
      <w:r w:rsidRPr="00236509">
        <w:rPr>
          <w:rFonts w:asciiTheme="minorHAnsi" w:hAnsiTheme="minorHAnsi" w:cstheme="minorHAnsi"/>
          <w:sz w:val="20"/>
          <w:szCs w:val="20"/>
          <w:u w:val="single"/>
        </w:rPr>
        <w:t xml:space="preserve">SPECIMEN </w:t>
      </w:r>
      <w:proofErr w:type="gramStart"/>
      <w:r w:rsidRPr="00236509">
        <w:rPr>
          <w:rFonts w:asciiTheme="minorHAnsi" w:hAnsiTheme="minorHAnsi" w:cstheme="minorHAnsi"/>
          <w:sz w:val="20"/>
          <w:szCs w:val="20"/>
          <w:u w:val="single"/>
        </w:rPr>
        <w:t xml:space="preserve">COLLECTION </w:t>
      </w:r>
      <w:r w:rsidR="00796734">
        <w:rPr>
          <w:rFonts w:asciiTheme="minorHAnsi" w:hAnsiTheme="minorHAnsi" w:cstheme="minorHAnsi"/>
          <w:sz w:val="20"/>
          <w:szCs w:val="20"/>
          <w:u w:val="single"/>
        </w:rPr>
        <w:t>:</w:t>
      </w:r>
      <w:proofErr w:type="gramEnd"/>
    </w:p>
    <w:p w:rsidR="00796734" w:rsidRPr="00236509" w:rsidRDefault="00796734" w:rsidP="0063141A">
      <w:pPr>
        <w:pStyle w:val="Title"/>
        <w:jc w:val="both"/>
        <w:rPr>
          <w:rFonts w:asciiTheme="minorHAnsi" w:hAnsiTheme="minorHAnsi" w:cstheme="minorHAnsi"/>
          <w:sz w:val="20"/>
          <w:szCs w:val="20"/>
          <w:u w:val="single"/>
        </w:rPr>
      </w:pPr>
    </w:p>
    <w:p w:rsidR="00236509" w:rsidRDefault="00B16733" w:rsidP="0063141A">
      <w:pPr>
        <w:pStyle w:val="Title"/>
        <w:jc w:val="both"/>
        <w:rPr>
          <w:rFonts w:asciiTheme="minorHAnsi" w:hAnsiTheme="minorHAnsi" w:cstheme="minorHAnsi"/>
          <w:sz w:val="20"/>
          <w:szCs w:val="20"/>
        </w:rPr>
      </w:pPr>
      <w:r w:rsidRPr="00236509">
        <w:rPr>
          <w:rFonts w:asciiTheme="minorHAnsi" w:hAnsiTheme="minorHAnsi" w:cstheme="minorHAnsi"/>
          <w:sz w:val="20"/>
          <w:szCs w:val="20"/>
        </w:rPr>
        <w:t>Prior to specimen collection, provide test subjects with Subject Information Notice and pre-test counseling according to CDC Guidelines for Rapid HIV Testing.</w:t>
      </w:r>
    </w:p>
    <w:p w:rsidR="00796734" w:rsidRPr="00236509" w:rsidRDefault="00796734" w:rsidP="0063141A">
      <w:pPr>
        <w:pStyle w:val="Title"/>
        <w:jc w:val="both"/>
        <w:rPr>
          <w:rFonts w:asciiTheme="minorHAnsi" w:hAnsiTheme="minorHAnsi" w:cstheme="minorHAnsi"/>
          <w:sz w:val="20"/>
          <w:szCs w:val="20"/>
        </w:rPr>
      </w:pPr>
    </w:p>
    <w:p w:rsidR="00236509" w:rsidRDefault="00B16733" w:rsidP="0063141A">
      <w:pPr>
        <w:pStyle w:val="Title"/>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The </w:t>
      </w:r>
      <w:proofErr w:type="spellStart"/>
      <w:r w:rsidRPr="00B16733">
        <w:rPr>
          <w:rFonts w:asciiTheme="minorHAnsi" w:hAnsiTheme="minorHAnsi" w:cstheme="minorHAnsi"/>
          <w:b w:val="0"/>
          <w:sz w:val="20"/>
          <w:szCs w:val="20"/>
        </w:rPr>
        <w:t>Chembio</w:t>
      </w:r>
      <w:proofErr w:type="spellEnd"/>
      <w:r w:rsidRPr="00B16733">
        <w:rPr>
          <w:rFonts w:asciiTheme="minorHAnsi" w:hAnsiTheme="minorHAnsi" w:cstheme="minorHAnsi"/>
          <w:b w:val="0"/>
          <w:sz w:val="20"/>
          <w:szCs w:val="20"/>
        </w:rPr>
        <w:t xml:space="preserve"> HIV 1/2 STAT-PAK® Assay is performed on </w:t>
      </w:r>
      <w:proofErr w:type="spellStart"/>
      <w:r w:rsidRPr="00B16733">
        <w:rPr>
          <w:rFonts w:asciiTheme="minorHAnsi" w:hAnsiTheme="minorHAnsi" w:cstheme="minorHAnsi"/>
          <w:b w:val="0"/>
          <w:sz w:val="20"/>
          <w:szCs w:val="20"/>
        </w:rPr>
        <w:t>fingerstick</w:t>
      </w:r>
      <w:proofErr w:type="spellEnd"/>
      <w:r w:rsidRPr="00B16733">
        <w:rPr>
          <w:rFonts w:asciiTheme="minorHAnsi" w:hAnsiTheme="minorHAnsi" w:cstheme="minorHAnsi"/>
          <w:b w:val="0"/>
          <w:sz w:val="20"/>
          <w:szCs w:val="20"/>
        </w:rPr>
        <w:t xml:space="preserve"> whole blood, venous whole blood, </w:t>
      </w:r>
      <w:proofErr w:type="gramStart"/>
      <w:r w:rsidRPr="00B16733">
        <w:rPr>
          <w:rFonts w:asciiTheme="minorHAnsi" w:hAnsiTheme="minorHAnsi" w:cstheme="minorHAnsi"/>
          <w:b w:val="0"/>
          <w:sz w:val="20"/>
          <w:szCs w:val="20"/>
        </w:rPr>
        <w:t>serum</w:t>
      </w:r>
      <w:proofErr w:type="gramEnd"/>
      <w:r w:rsidRPr="00B16733">
        <w:rPr>
          <w:rFonts w:asciiTheme="minorHAnsi" w:hAnsiTheme="minorHAnsi" w:cstheme="minorHAnsi"/>
          <w:b w:val="0"/>
          <w:sz w:val="20"/>
          <w:szCs w:val="20"/>
        </w:rPr>
        <w:t xml:space="preserve"> or plasma specimens. </w:t>
      </w:r>
    </w:p>
    <w:p w:rsidR="00236509" w:rsidRDefault="00236509" w:rsidP="0063141A">
      <w:pPr>
        <w:pStyle w:val="Title"/>
        <w:jc w:val="both"/>
        <w:rPr>
          <w:rFonts w:asciiTheme="minorHAnsi" w:hAnsiTheme="minorHAnsi" w:cstheme="minorHAnsi"/>
          <w:b w:val="0"/>
          <w:sz w:val="20"/>
          <w:szCs w:val="20"/>
        </w:rPr>
      </w:pPr>
    </w:p>
    <w:p w:rsidR="00236509" w:rsidRDefault="00B16733" w:rsidP="0063141A">
      <w:pPr>
        <w:pStyle w:val="Title"/>
        <w:jc w:val="both"/>
        <w:rPr>
          <w:rFonts w:asciiTheme="minorHAnsi" w:hAnsiTheme="minorHAnsi" w:cstheme="minorHAnsi"/>
          <w:b w:val="0"/>
          <w:sz w:val="20"/>
          <w:szCs w:val="20"/>
        </w:rPr>
      </w:pPr>
      <w:proofErr w:type="spellStart"/>
      <w:r w:rsidRPr="00236509">
        <w:rPr>
          <w:rFonts w:asciiTheme="minorHAnsi" w:hAnsiTheme="minorHAnsi" w:cstheme="minorHAnsi"/>
          <w:sz w:val="20"/>
          <w:szCs w:val="20"/>
        </w:rPr>
        <w:t>Fingerstick</w:t>
      </w:r>
      <w:proofErr w:type="spellEnd"/>
      <w:r w:rsidRPr="00236509">
        <w:rPr>
          <w:rFonts w:asciiTheme="minorHAnsi" w:hAnsiTheme="minorHAnsi" w:cstheme="minorHAnsi"/>
          <w:sz w:val="20"/>
          <w:szCs w:val="20"/>
        </w:rPr>
        <w:t xml:space="preserve"> Whole Blood:</w:t>
      </w:r>
      <w:r w:rsidRPr="00B16733">
        <w:rPr>
          <w:rFonts w:asciiTheme="minorHAnsi" w:hAnsiTheme="minorHAnsi" w:cstheme="minorHAnsi"/>
          <w:b w:val="0"/>
          <w:sz w:val="20"/>
          <w:szCs w:val="20"/>
        </w:rPr>
        <w:t xml:space="preserve"> </w:t>
      </w:r>
    </w:p>
    <w:p w:rsidR="00236509" w:rsidRDefault="00236509" w:rsidP="0063141A">
      <w:pPr>
        <w:pStyle w:val="Title"/>
        <w:jc w:val="both"/>
        <w:rPr>
          <w:rFonts w:asciiTheme="minorHAnsi" w:hAnsiTheme="minorHAnsi" w:cstheme="minorHAnsi"/>
          <w:b w:val="0"/>
          <w:sz w:val="20"/>
          <w:szCs w:val="20"/>
        </w:rPr>
      </w:pPr>
      <w:r w:rsidRPr="00236509">
        <w:rPr>
          <w:rFonts w:asciiTheme="minorHAnsi" w:hAnsiTheme="minorHAnsi" w:cstheme="minorHAnsi"/>
          <w:b w:val="0"/>
          <w:sz w:val="20"/>
          <w:szCs w:val="20"/>
        </w:rPr>
        <w:drawing>
          <wp:anchor distT="0" distB="0" distL="114300" distR="114300" simplePos="0" relativeHeight="251660288" behindDoc="0" locked="0" layoutInCell="1" allowOverlap="1">
            <wp:simplePos x="0" y="0"/>
            <wp:positionH relativeFrom="column">
              <wp:posOffset>5082540</wp:posOffset>
            </wp:positionH>
            <wp:positionV relativeFrom="paragraph">
              <wp:posOffset>187325</wp:posOffset>
            </wp:positionV>
            <wp:extent cx="1028700" cy="1164055"/>
            <wp:effectExtent l="0" t="0" r="0" b="0"/>
            <wp:wrapThrough wrapText="bothSides">
              <wp:wrapPolygon edited="0">
                <wp:start x="0" y="0"/>
                <wp:lineTo x="0" y="21211"/>
                <wp:lineTo x="21200" y="21211"/>
                <wp:lineTo x="212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28700" cy="1164055"/>
                    </a:xfrm>
                    <a:prstGeom prst="rect">
                      <a:avLst/>
                    </a:prstGeom>
                  </pic:spPr>
                </pic:pic>
              </a:graphicData>
            </a:graphic>
          </wp:anchor>
        </w:drawing>
      </w:r>
      <w:r w:rsidR="00B16733" w:rsidRPr="00B16733">
        <w:rPr>
          <w:rFonts w:asciiTheme="minorHAnsi" w:hAnsiTheme="minorHAnsi" w:cstheme="minorHAnsi"/>
          <w:b w:val="0"/>
          <w:sz w:val="20"/>
          <w:szCs w:val="20"/>
        </w:rPr>
        <w:t xml:space="preserve">Prepare to perform the </w:t>
      </w:r>
      <w:proofErr w:type="spellStart"/>
      <w:r w:rsidR="00B16733" w:rsidRPr="00B16733">
        <w:rPr>
          <w:rFonts w:asciiTheme="minorHAnsi" w:hAnsiTheme="minorHAnsi" w:cstheme="minorHAnsi"/>
          <w:b w:val="0"/>
          <w:sz w:val="20"/>
          <w:szCs w:val="20"/>
        </w:rPr>
        <w:t>fingerstick</w:t>
      </w:r>
      <w:proofErr w:type="spellEnd"/>
      <w:r w:rsidR="00B16733" w:rsidRPr="00B16733">
        <w:rPr>
          <w:rFonts w:asciiTheme="minorHAnsi" w:hAnsiTheme="minorHAnsi" w:cstheme="minorHAnsi"/>
          <w:b w:val="0"/>
          <w:sz w:val="20"/>
          <w:szCs w:val="20"/>
        </w:rPr>
        <w:t xml:space="preserve"> blood collection procedure. Clean the finger of the person being tested with an antiseptic wipe. Allow the finger to dry thoroughly or wipe dry with a sterile gauze pad. </w:t>
      </w:r>
    </w:p>
    <w:p w:rsidR="00236509" w:rsidRDefault="00236509" w:rsidP="0063141A">
      <w:pPr>
        <w:pStyle w:val="Title"/>
        <w:jc w:val="both"/>
        <w:rPr>
          <w:rFonts w:asciiTheme="minorHAnsi" w:hAnsiTheme="minorHAnsi" w:cstheme="minorHAnsi"/>
          <w:b w:val="0"/>
          <w:sz w:val="20"/>
          <w:szCs w:val="20"/>
        </w:rPr>
      </w:pPr>
    </w:p>
    <w:p w:rsidR="00236509" w:rsidRDefault="00236509" w:rsidP="0063141A">
      <w:pPr>
        <w:pStyle w:val="Title"/>
        <w:jc w:val="both"/>
        <w:rPr>
          <w:rFonts w:asciiTheme="minorHAnsi" w:hAnsiTheme="minorHAnsi" w:cstheme="minorHAnsi"/>
          <w:b w:val="0"/>
          <w:sz w:val="20"/>
          <w:szCs w:val="20"/>
        </w:rPr>
      </w:pPr>
    </w:p>
    <w:p w:rsidR="00236509" w:rsidRDefault="00B16733" w:rsidP="0063141A">
      <w:pPr>
        <w:pStyle w:val="Title"/>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Using a sterile lancet, puncture the skin just off the center of the finger and wipe away the first drop with sterile gauze and avoid squeezing the fingertip to accelerate bleeding as this may dilute the blood with excess tissue fluid. </w:t>
      </w:r>
    </w:p>
    <w:p w:rsidR="00236509" w:rsidRDefault="00236509" w:rsidP="0063141A">
      <w:pPr>
        <w:pStyle w:val="Title"/>
        <w:jc w:val="both"/>
        <w:rPr>
          <w:rFonts w:asciiTheme="minorHAnsi" w:hAnsiTheme="minorHAnsi" w:cstheme="minorHAnsi"/>
          <w:b w:val="0"/>
          <w:sz w:val="20"/>
          <w:szCs w:val="20"/>
        </w:rPr>
      </w:pPr>
    </w:p>
    <w:p w:rsidR="00236509" w:rsidRDefault="00B16733" w:rsidP="0063141A">
      <w:pPr>
        <w:pStyle w:val="Title"/>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Collect the sample from the second drop touching the disposable Sample Loop provided to the drop of blood until the Sample Loop is full. Test immediately, following Test Procedure Instructions. </w:t>
      </w:r>
    </w:p>
    <w:p w:rsidR="00236509" w:rsidRDefault="00236509" w:rsidP="0063141A">
      <w:pPr>
        <w:pStyle w:val="Title"/>
        <w:jc w:val="both"/>
        <w:rPr>
          <w:rFonts w:asciiTheme="minorHAnsi" w:hAnsiTheme="minorHAnsi" w:cstheme="minorHAnsi"/>
          <w:b w:val="0"/>
          <w:sz w:val="20"/>
          <w:szCs w:val="20"/>
        </w:rPr>
      </w:pPr>
    </w:p>
    <w:p w:rsidR="00236509" w:rsidRPr="00236509" w:rsidRDefault="00B16733" w:rsidP="0063141A">
      <w:pPr>
        <w:pStyle w:val="Title"/>
        <w:jc w:val="both"/>
        <w:rPr>
          <w:rFonts w:asciiTheme="minorHAnsi" w:hAnsiTheme="minorHAnsi" w:cstheme="minorHAnsi"/>
          <w:sz w:val="20"/>
          <w:szCs w:val="20"/>
        </w:rPr>
      </w:pPr>
      <w:r w:rsidRPr="00236509">
        <w:rPr>
          <w:rFonts w:asciiTheme="minorHAnsi" w:hAnsiTheme="minorHAnsi" w:cstheme="minorHAnsi"/>
          <w:sz w:val="20"/>
          <w:szCs w:val="20"/>
        </w:rPr>
        <w:t xml:space="preserve">Venous Whole Blood: </w:t>
      </w:r>
    </w:p>
    <w:p w:rsidR="00236509" w:rsidRDefault="00B16733" w:rsidP="0063141A">
      <w:pPr>
        <w:pStyle w:val="Title"/>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Draw blood following laboratory procedures for obtaining venous blood. Collect sample in a tube containing citrate, heparin, or EDTA. Be sure the tube of blood is well mixed before sampling. Dip the Sample Loop into the blood and allow it to fill. </w:t>
      </w:r>
    </w:p>
    <w:p w:rsidR="00236509" w:rsidRDefault="00236509" w:rsidP="0063141A">
      <w:pPr>
        <w:pStyle w:val="Title"/>
        <w:jc w:val="both"/>
        <w:rPr>
          <w:rFonts w:asciiTheme="minorHAnsi" w:hAnsiTheme="minorHAnsi" w:cstheme="minorHAnsi"/>
          <w:b w:val="0"/>
          <w:sz w:val="20"/>
          <w:szCs w:val="20"/>
        </w:rPr>
      </w:pPr>
      <w:r w:rsidRPr="00236509">
        <w:rPr>
          <w:rFonts w:asciiTheme="minorHAnsi" w:hAnsiTheme="minorHAnsi" w:cstheme="minorHAnsi"/>
          <w:b w:val="0"/>
          <w:sz w:val="20"/>
          <w:szCs w:val="20"/>
        </w:rPr>
        <w:drawing>
          <wp:anchor distT="0" distB="0" distL="114300" distR="114300" simplePos="0" relativeHeight="251661312" behindDoc="0" locked="0" layoutInCell="1" allowOverlap="1">
            <wp:simplePos x="0" y="0"/>
            <wp:positionH relativeFrom="margin">
              <wp:align>right</wp:align>
            </wp:positionH>
            <wp:positionV relativeFrom="paragraph">
              <wp:posOffset>41275</wp:posOffset>
            </wp:positionV>
            <wp:extent cx="1210310" cy="1310640"/>
            <wp:effectExtent l="0" t="0" r="8890" b="3810"/>
            <wp:wrapThrough wrapText="bothSides">
              <wp:wrapPolygon edited="0">
                <wp:start x="0" y="0"/>
                <wp:lineTo x="0" y="21349"/>
                <wp:lineTo x="21419" y="21349"/>
                <wp:lineTo x="21419" y="0"/>
                <wp:lineTo x="0" y="0"/>
              </wp:wrapPolygon>
            </wp:wrapThrough>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10310" cy="1310640"/>
                    </a:xfrm>
                    <a:prstGeom prst="rect">
                      <a:avLst/>
                    </a:prstGeom>
                  </pic:spPr>
                </pic:pic>
              </a:graphicData>
            </a:graphic>
            <wp14:sizeRelH relativeFrom="margin">
              <wp14:pctWidth>0</wp14:pctWidth>
            </wp14:sizeRelH>
            <wp14:sizeRelV relativeFrom="margin">
              <wp14:pctHeight>0</wp14:pctHeight>
            </wp14:sizeRelV>
          </wp:anchor>
        </w:drawing>
      </w:r>
    </w:p>
    <w:p w:rsidR="00236509" w:rsidRDefault="00B16733" w:rsidP="0063141A">
      <w:pPr>
        <w:pStyle w:val="Title"/>
        <w:jc w:val="both"/>
        <w:rPr>
          <w:rFonts w:asciiTheme="minorHAnsi" w:hAnsiTheme="minorHAnsi" w:cstheme="minorHAnsi"/>
          <w:b w:val="0"/>
          <w:sz w:val="20"/>
          <w:szCs w:val="20"/>
        </w:rPr>
      </w:pPr>
      <w:r w:rsidRPr="00B16733">
        <w:rPr>
          <w:rFonts w:asciiTheme="minorHAnsi" w:hAnsiTheme="minorHAnsi" w:cstheme="minorHAnsi"/>
          <w:b w:val="0"/>
          <w:sz w:val="20"/>
          <w:szCs w:val="20"/>
        </w:rPr>
        <w:t>If tested the same day, venous whole blood may be kept at room temperature.</w:t>
      </w:r>
    </w:p>
    <w:p w:rsidR="00B16733" w:rsidRDefault="00B16733" w:rsidP="0063141A">
      <w:pPr>
        <w:pStyle w:val="Title"/>
        <w:jc w:val="both"/>
        <w:rPr>
          <w:rFonts w:asciiTheme="minorHAnsi" w:hAnsiTheme="minorHAnsi" w:cstheme="minorHAnsi"/>
          <w:b w:val="0"/>
          <w:sz w:val="20"/>
          <w:szCs w:val="20"/>
        </w:rPr>
      </w:pPr>
      <w:r w:rsidRPr="00B16733">
        <w:rPr>
          <w:rFonts w:asciiTheme="minorHAnsi" w:hAnsiTheme="minorHAnsi" w:cstheme="minorHAnsi"/>
          <w:b w:val="0"/>
          <w:sz w:val="20"/>
          <w:szCs w:val="20"/>
        </w:rPr>
        <w:t xml:space="preserve"> </w:t>
      </w:r>
    </w:p>
    <w:p w:rsidR="00236509" w:rsidRDefault="00236509" w:rsidP="0063141A">
      <w:pPr>
        <w:pStyle w:val="Title"/>
        <w:jc w:val="both"/>
        <w:rPr>
          <w:rFonts w:asciiTheme="minorHAnsi" w:hAnsiTheme="minorHAnsi" w:cstheme="minorHAnsi"/>
          <w:b w:val="0"/>
          <w:sz w:val="20"/>
          <w:szCs w:val="20"/>
        </w:rPr>
      </w:pPr>
      <w:r w:rsidRPr="00236509">
        <w:rPr>
          <w:rFonts w:asciiTheme="minorHAnsi" w:hAnsiTheme="minorHAnsi" w:cstheme="minorHAnsi"/>
          <w:b w:val="0"/>
          <w:sz w:val="20"/>
          <w:szCs w:val="20"/>
        </w:rPr>
        <w:t>Venous whole blood may be stored for up to 3 days between 2 and 8°C (36 to 46°F) before testing.</w:t>
      </w:r>
    </w:p>
    <w:p w:rsidR="00236509" w:rsidRDefault="00236509" w:rsidP="0063141A">
      <w:pPr>
        <w:pStyle w:val="Title"/>
        <w:jc w:val="both"/>
        <w:rPr>
          <w:rFonts w:asciiTheme="minorHAnsi" w:hAnsiTheme="minorHAnsi" w:cstheme="minorHAnsi"/>
          <w:b w:val="0"/>
          <w:sz w:val="20"/>
          <w:szCs w:val="20"/>
        </w:rPr>
      </w:pPr>
    </w:p>
    <w:p w:rsidR="00236509" w:rsidRDefault="00236509" w:rsidP="0063141A">
      <w:pPr>
        <w:pStyle w:val="Title"/>
        <w:jc w:val="both"/>
        <w:rPr>
          <w:rFonts w:asciiTheme="minorHAnsi" w:hAnsiTheme="minorHAnsi" w:cstheme="minorHAnsi"/>
          <w:b w:val="0"/>
          <w:sz w:val="20"/>
          <w:szCs w:val="20"/>
        </w:rPr>
      </w:pPr>
      <w:r w:rsidRPr="00236509">
        <w:rPr>
          <w:rFonts w:asciiTheme="minorHAnsi" w:hAnsiTheme="minorHAnsi" w:cstheme="minorHAnsi"/>
          <w:sz w:val="20"/>
          <w:szCs w:val="20"/>
        </w:rPr>
        <w:t>DO NOT FREEZE WHOLE BLOOD!</w:t>
      </w:r>
      <w:r w:rsidRPr="00236509">
        <w:rPr>
          <w:rFonts w:asciiTheme="minorHAnsi" w:hAnsiTheme="minorHAnsi" w:cstheme="minorHAnsi"/>
          <w:b w:val="0"/>
          <w:sz w:val="20"/>
          <w:szCs w:val="20"/>
        </w:rPr>
        <w:t xml:space="preserve"> </w:t>
      </w:r>
    </w:p>
    <w:p w:rsidR="00236509" w:rsidRDefault="00236509" w:rsidP="0063141A">
      <w:pPr>
        <w:pStyle w:val="Title"/>
        <w:jc w:val="both"/>
        <w:rPr>
          <w:rFonts w:asciiTheme="minorHAnsi" w:hAnsiTheme="minorHAnsi" w:cstheme="minorHAnsi"/>
          <w:b w:val="0"/>
          <w:sz w:val="20"/>
          <w:szCs w:val="20"/>
        </w:rPr>
      </w:pPr>
      <w:r w:rsidRPr="00236509">
        <w:rPr>
          <w:rFonts w:asciiTheme="minorHAnsi" w:hAnsiTheme="minorHAnsi" w:cstheme="minorHAnsi"/>
          <w:b w:val="0"/>
          <w:sz w:val="20"/>
          <w:szCs w:val="20"/>
        </w:rPr>
        <w:t xml:space="preserve">Allow refrigerated sample to reach room temperature and mix gently before testing. </w:t>
      </w:r>
    </w:p>
    <w:p w:rsidR="00236509" w:rsidRDefault="00236509" w:rsidP="0063141A">
      <w:pPr>
        <w:pStyle w:val="Title"/>
        <w:jc w:val="both"/>
        <w:rPr>
          <w:rFonts w:asciiTheme="minorHAnsi" w:hAnsiTheme="minorHAnsi" w:cstheme="minorHAnsi"/>
          <w:b w:val="0"/>
          <w:sz w:val="20"/>
          <w:szCs w:val="20"/>
        </w:rPr>
      </w:pPr>
    </w:p>
    <w:p w:rsidR="00796734" w:rsidRDefault="00236509" w:rsidP="0063141A">
      <w:pPr>
        <w:pStyle w:val="Title"/>
        <w:jc w:val="both"/>
        <w:rPr>
          <w:rFonts w:asciiTheme="minorHAnsi" w:hAnsiTheme="minorHAnsi" w:cstheme="minorHAnsi"/>
          <w:b w:val="0"/>
          <w:sz w:val="20"/>
          <w:szCs w:val="20"/>
        </w:rPr>
      </w:pPr>
      <w:r w:rsidRPr="00236509">
        <w:rPr>
          <w:rFonts w:asciiTheme="minorHAnsi" w:hAnsiTheme="minorHAnsi" w:cstheme="minorHAnsi"/>
          <w:sz w:val="20"/>
          <w:szCs w:val="20"/>
          <w:u w:val="single"/>
        </w:rPr>
        <w:t>Serum or Plasma: [NOTE: Serum and Plasma may only be tested in laboratories certified to run moderate complexity tests.]</w:t>
      </w:r>
      <w:r w:rsidRPr="00236509">
        <w:rPr>
          <w:rFonts w:asciiTheme="minorHAnsi" w:hAnsiTheme="minorHAnsi" w:cstheme="minorHAnsi"/>
          <w:b w:val="0"/>
          <w:sz w:val="20"/>
          <w:szCs w:val="20"/>
        </w:rPr>
        <w:t xml:space="preserve"> </w:t>
      </w:r>
    </w:p>
    <w:p w:rsidR="00796734" w:rsidRDefault="00796734" w:rsidP="0063141A">
      <w:pPr>
        <w:pStyle w:val="Title"/>
        <w:jc w:val="both"/>
        <w:rPr>
          <w:rFonts w:asciiTheme="minorHAnsi" w:hAnsiTheme="minorHAnsi" w:cstheme="minorHAnsi"/>
          <w:b w:val="0"/>
          <w:sz w:val="20"/>
          <w:szCs w:val="20"/>
        </w:rPr>
      </w:pPr>
    </w:p>
    <w:p w:rsidR="00236509" w:rsidRDefault="00236509" w:rsidP="0063141A">
      <w:pPr>
        <w:pStyle w:val="Title"/>
        <w:jc w:val="both"/>
        <w:rPr>
          <w:rFonts w:asciiTheme="minorHAnsi" w:hAnsiTheme="minorHAnsi" w:cstheme="minorHAnsi"/>
          <w:b w:val="0"/>
          <w:sz w:val="20"/>
          <w:szCs w:val="20"/>
        </w:rPr>
      </w:pPr>
      <w:r w:rsidRPr="00236509">
        <w:rPr>
          <w:rFonts w:asciiTheme="minorHAnsi" w:hAnsiTheme="minorHAnsi" w:cstheme="minorHAnsi"/>
          <w:b w:val="0"/>
          <w:sz w:val="20"/>
          <w:szCs w:val="20"/>
        </w:rPr>
        <w:t xml:space="preserve">Draw blood following laboratory procedures for obtaining serum or plasma specimens. Collect specimen in a tube not containing any anticoagulant (serum), and in a tube containing citrate, heparin, or EDTA (plasma). Collect specimen in a clean container following standard laboratory procedures. </w:t>
      </w:r>
    </w:p>
    <w:p w:rsidR="00236509" w:rsidRDefault="00236509" w:rsidP="0063141A">
      <w:pPr>
        <w:pStyle w:val="Title"/>
        <w:jc w:val="both"/>
        <w:rPr>
          <w:rFonts w:asciiTheme="minorHAnsi" w:hAnsiTheme="minorHAnsi" w:cstheme="minorHAnsi"/>
          <w:b w:val="0"/>
          <w:sz w:val="20"/>
          <w:szCs w:val="20"/>
        </w:rPr>
      </w:pPr>
    </w:p>
    <w:p w:rsidR="00236509" w:rsidRDefault="00236509" w:rsidP="0063141A">
      <w:pPr>
        <w:pStyle w:val="Title"/>
        <w:jc w:val="both"/>
        <w:rPr>
          <w:rFonts w:asciiTheme="minorHAnsi" w:hAnsiTheme="minorHAnsi" w:cstheme="minorHAnsi"/>
          <w:b w:val="0"/>
          <w:sz w:val="20"/>
          <w:szCs w:val="20"/>
        </w:rPr>
      </w:pPr>
      <w:r w:rsidRPr="00236509">
        <w:rPr>
          <w:rFonts w:asciiTheme="minorHAnsi" w:hAnsiTheme="minorHAnsi" w:cstheme="minorHAnsi"/>
          <w:b w:val="0"/>
          <w:sz w:val="20"/>
          <w:szCs w:val="20"/>
        </w:rPr>
        <w:lastRenderedPageBreak/>
        <w:t xml:space="preserve">Serum and plasma specimens may be tested immediately after collection. If specimens are not tested immediately, refrigerate them at 2 to 8°C (36 to 46°F) following collection. These specimens should be tested within 3 days of collection. If specimens are not tested within 3 days of collection, serum or plasma specimens should be frozen at -20°C (-4°F) or colder. </w:t>
      </w:r>
    </w:p>
    <w:p w:rsidR="00236509" w:rsidRDefault="00236509" w:rsidP="0063141A">
      <w:pPr>
        <w:pStyle w:val="Title"/>
        <w:jc w:val="both"/>
        <w:rPr>
          <w:rFonts w:asciiTheme="minorHAnsi" w:hAnsiTheme="minorHAnsi" w:cstheme="minorHAnsi"/>
          <w:b w:val="0"/>
          <w:sz w:val="20"/>
          <w:szCs w:val="20"/>
        </w:rPr>
      </w:pPr>
    </w:p>
    <w:p w:rsidR="00236509" w:rsidRDefault="00236509" w:rsidP="0063141A">
      <w:pPr>
        <w:pStyle w:val="Title"/>
        <w:jc w:val="both"/>
        <w:rPr>
          <w:rFonts w:asciiTheme="minorHAnsi" w:hAnsiTheme="minorHAnsi" w:cstheme="minorHAnsi"/>
          <w:b w:val="0"/>
          <w:sz w:val="20"/>
          <w:szCs w:val="20"/>
        </w:rPr>
      </w:pPr>
      <w:r w:rsidRPr="00236509">
        <w:rPr>
          <w:rFonts w:asciiTheme="minorHAnsi" w:hAnsiTheme="minorHAnsi" w:cstheme="minorHAnsi"/>
          <w:sz w:val="20"/>
          <w:szCs w:val="20"/>
        </w:rPr>
        <w:t>Specimen Shipping</w:t>
      </w:r>
      <w:r w:rsidRPr="00236509">
        <w:rPr>
          <w:rFonts w:asciiTheme="minorHAnsi" w:hAnsiTheme="minorHAnsi" w:cstheme="minorHAnsi"/>
          <w:b w:val="0"/>
          <w:sz w:val="20"/>
          <w:szCs w:val="20"/>
        </w:rPr>
        <w:t xml:space="preserve"> If specimens are to be shipped, they should be packed in compliance with regulations covering the transportation of etiologic agents. Venous whole blood, serum and plasma specimens should be shipped refrigerated with cold packs or wet ice. </w:t>
      </w:r>
    </w:p>
    <w:p w:rsidR="00236509" w:rsidRDefault="00236509" w:rsidP="0063141A">
      <w:pPr>
        <w:pStyle w:val="Title"/>
        <w:jc w:val="both"/>
        <w:rPr>
          <w:rFonts w:asciiTheme="minorHAnsi" w:hAnsiTheme="minorHAnsi" w:cstheme="minorHAnsi"/>
          <w:b w:val="0"/>
          <w:sz w:val="20"/>
          <w:szCs w:val="20"/>
        </w:rPr>
      </w:pPr>
    </w:p>
    <w:p w:rsidR="00236509" w:rsidRDefault="00236509" w:rsidP="0063141A">
      <w:pPr>
        <w:pStyle w:val="Title"/>
        <w:jc w:val="both"/>
        <w:rPr>
          <w:rFonts w:asciiTheme="minorHAnsi" w:hAnsiTheme="minorHAnsi" w:cstheme="minorHAnsi"/>
          <w:sz w:val="20"/>
          <w:szCs w:val="20"/>
        </w:rPr>
      </w:pPr>
      <w:r w:rsidRPr="00236509">
        <w:rPr>
          <w:rFonts w:asciiTheme="minorHAnsi" w:hAnsiTheme="minorHAnsi" w:cstheme="minorHAnsi"/>
          <w:sz w:val="20"/>
          <w:szCs w:val="20"/>
        </w:rPr>
        <w:t xml:space="preserve">TEST PROCEDURE FOR CLIA WAIVED AND CLIA MODERATE SETTINGS Kit Component Preparation </w:t>
      </w:r>
    </w:p>
    <w:p w:rsidR="00796734" w:rsidRPr="00236509" w:rsidRDefault="00796734" w:rsidP="0063141A">
      <w:pPr>
        <w:pStyle w:val="Title"/>
        <w:jc w:val="both"/>
        <w:rPr>
          <w:rFonts w:asciiTheme="minorHAnsi" w:hAnsiTheme="minorHAnsi" w:cstheme="minorHAnsi"/>
          <w:sz w:val="20"/>
          <w:szCs w:val="20"/>
        </w:rPr>
      </w:pPr>
    </w:p>
    <w:p w:rsidR="00236509" w:rsidRDefault="00796734" w:rsidP="0063141A">
      <w:pPr>
        <w:pStyle w:val="Title"/>
        <w:jc w:val="both"/>
        <w:rPr>
          <w:rFonts w:asciiTheme="minorHAnsi" w:hAnsiTheme="minorHAnsi" w:cstheme="minorHAnsi"/>
          <w:b w:val="0"/>
          <w:sz w:val="20"/>
          <w:szCs w:val="20"/>
        </w:rPr>
      </w:pPr>
      <w:r w:rsidRPr="00CB2642">
        <w:rPr>
          <w:rFonts w:asciiTheme="minorHAnsi" w:hAnsiTheme="minorHAnsi" w:cstheme="minorHAnsi"/>
          <w:b w:val="0"/>
          <w:sz w:val="20"/>
          <w:szCs w:val="20"/>
        </w:rPr>
        <w:drawing>
          <wp:anchor distT="0" distB="0" distL="114300" distR="114300" simplePos="0" relativeHeight="251662336" behindDoc="0" locked="0" layoutInCell="1" allowOverlap="1">
            <wp:simplePos x="0" y="0"/>
            <wp:positionH relativeFrom="column">
              <wp:posOffset>5265420</wp:posOffset>
            </wp:positionH>
            <wp:positionV relativeFrom="paragraph">
              <wp:posOffset>457200</wp:posOffset>
            </wp:positionV>
            <wp:extent cx="1127760" cy="1813560"/>
            <wp:effectExtent l="0" t="0" r="0" b="0"/>
            <wp:wrapThrough wrapText="bothSides">
              <wp:wrapPolygon edited="0">
                <wp:start x="0" y="0"/>
                <wp:lineTo x="0" y="21328"/>
                <wp:lineTo x="21162" y="21328"/>
                <wp:lineTo x="21162" y="0"/>
                <wp:lineTo x="0" y="0"/>
              </wp:wrapPolygon>
            </wp:wrapThrough>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127760" cy="1813560"/>
                    </a:xfrm>
                    <a:prstGeom prst="rect">
                      <a:avLst/>
                    </a:prstGeom>
                  </pic:spPr>
                </pic:pic>
              </a:graphicData>
            </a:graphic>
            <wp14:sizeRelH relativeFrom="margin">
              <wp14:pctWidth>0</wp14:pctWidth>
            </wp14:sizeRelH>
            <wp14:sizeRelV relativeFrom="margin">
              <wp14:pctHeight>0</wp14:pctHeight>
            </wp14:sizeRelV>
          </wp:anchor>
        </w:drawing>
      </w:r>
      <w:r w:rsidR="00236509" w:rsidRPr="00236509">
        <w:rPr>
          <w:rFonts w:asciiTheme="minorHAnsi" w:hAnsiTheme="minorHAnsi" w:cstheme="minorHAnsi"/>
          <w:b w:val="0"/>
          <w:sz w:val="20"/>
          <w:szCs w:val="20"/>
        </w:rPr>
        <w:t xml:space="preserve">All components for the </w:t>
      </w:r>
      <w:proofErr w:type="spellStart"/>
      <w:r w:rsidR="00236509" w:rsidRPr="00236509">
        <w:rPr>
          <w:rFonts w:asciiTheme="minorHAnsi" w:hAnsiTheme="minorHAnsi" w:cstheme="minorHAnsi"/>
          <w:b w:val="0"/>
          <w:sz w:val="20"/>
          <w:szCs w:val="20"/>
        </w:rPr>
        <w:t>Chembio</w:t>
      </w:r>
      <w:proofErr w:type="spellEnd"/>
      <w:r w:rsidR="00236509" w:rsidRPr="00236509">
        <w:rPr>
          <w:rFonts w:asciiTheme="minorHAnsi" w:hAnsiTheme="minorHAnsi" w:cstheme="minorHAnsi"/>
          <w:b w:val="0"/>
          <w:sz w:val="20"/>
          <w:szCs w:val="20"/>
        </w:rPr>
        <w:t xml:space="preserve"> HIV 1/2 STAT-PAK® Assay test are ready to use as supplied. Follow directions as indicated. If the specimen to be tested is refrigerated, remove it from the refrigerator and allow it to come to a temperature of 18 to 30°C (64 to 86°F) prior to testing.</w:t>
      </w:r>
    </w:p>
    <w:p w:rsidR="00236509" w:rsidRDefault="00236509" w:rsidP="0063141A">
      <w:pPr>
        <w:pStyle w:val="Title"/>
        <w:jc w:val="both"/>
        <w:rPr>
          <w:rFonts w:asciiTheme="minorHAnsi" w:hAnsiTheme="minorHAnsi" w:cstheme="minorHAnsi"/>
          <w:b w:val="0"/>
          <w:sz w:val="20"/>
          <w:szCs w:val="20"/>
        </w:rPr>
      </w:pPr>
    </w:p>
    <w:p w:rsidR="00CB2642" w:rsidRDefault="00236509" w:rsidP="00CB2642">
      <w:pPr>
        <w:pStyle w:val="Title"/>
        <w:numPr>
          <w:ilvl w:val="0"/>
          <w:numId w:val="29"/>
        </w:numPr>
        <w:jc w:val="both"/>
        <w:rPr>
          <w:rFonts w:asciiTheme="minorHAnsi" w:hAnsiTheme="minorHAnsi" w:cstheme="minorHAnsi"/>
          <w:b w:val="0"/>
          <w:sz w:val="20"/>
          <w:szCs w:val="20"/>
        </w:rPr>
      </w:pPr>
      <w:r w:rsidRPr="00CB2642">
        <w:rPr>
          <w:rFonts w:asciiTheme="minorHAnsi" w:hAnsiTheme="minorHAnsi" w:cstheme="minorHAnsi"/>
          <w:b w:val="0"/>
          <w:sz w:val="20"/>
          <w:szCs w:val="20"/>
        </w:rPr>
        <w:t xml:space="preserve">Remove the </w:t>
      </w:r>
      <w:proofErr w:type="spellStart"/>
      <w:r w:rsidRPr="00CB2642">
        <w:rPr>
          <w:rFonts w:asciiTheme="minorHAnsi" w:hAnsiTheme="minorHAnsi" w:cstheme="minorHAnsi"/>
          <w:b w:val="0"/>
          <w:sz w:val="20"/>
          <w:szCs w:val="20"/>
        </w:rPr>
        <w:t>Chembio</w:t>
      </w:r>
      <w:proofErr w:type="spellEnd"/>
      <w:r w:rsidRPr="00CB2642">
        <w:rPr>
          <w:rFonts w:asciiTheme="minorHAnsi" w:hAnsiTheme="minorHAnsi" w:cstheme="minorHAnsi"/>
          <w:b w:val="0"/>
          <w:sz w:val="20"/>
          <w:szCs w:val="20"/>
        </w:rPr>
        <w:t xml:space="preserve"> HIV 1/2 STAT-PAK® test device from its pouch and place it on a flat</w:t>
      </w:r>
      <w:r w:rsidR="00CB2642">
        <w:rPr>
          <w:rFonts w:asciiTheme="minorHAnsi" w:hAnsiTheme="minorHAnsi" w:cstheme="minorHAnsi"/>
          <w:b w:val="0"/>
          <w:sz w:val="20"/>
          <w:szCs w:val="20"/>
        </w:rPr>
        <w:t xml:space="preserve"> surface (It i</w:t>
      </w:r>
      <w:r w:rsidRPr="00CB2642">
        <w:rPr>
          <w:rFonts w:asciiTheme="minorHAnsi" w:hAnsiTheme="minorHAnsi" w:cstheme="minorHAnsi"/>
          <w:b w:val="0"/>
          <w:sz w:val="20"/>
          <w:szCs w:val="20"/>
        </w:rPr>
        <w:t xml:space="preserve">s not necessary to remove the desiccant from the pouch). Note: If Desiccant Packet is missing, DO NOT USE, discard test device and a new test device should be used. </w:t>
      </w:r>
    </w:p>
    <w:p w:rsidR="00CB2642" w:rsidRDefault="00236509" w:rsidP="00CB2642">
      <w:pPr>
        <w:pStyle w:val="Title"/>
        <w:numPr>
          <w:ilvl w:val="0"/>
          <w:numId w:val="29"/>
        </w:numPr>
        <w:jc w:val="both"/>
        <w:rPr>
          <w:rFonts w:asciiTheme="minorHAnsi" w:hAnsiTheme="minorHAnsi" w:cstheme="minorHAnsi"/>
          <w:b w:val="0"/>
          <w:sz w:val="20"/>
          <w:szCs w:val="20"/>
        </w:rPr>
      </w:pPr>
      <w:r w:rsidRPr="00CB2642">
        <w:rPr>
          <w:rFonts w:asciiTheme="minorHAnsi" w:hAnsiTheme="minorHAnsi" w:cstheme="minorHAnsi"/>
          <w:b w:val="0"/>
          <w:sz w:val="20"/>
          <w:szCs w:val="20"/>
        </w:rPr>
        <w:t xml:space="preserve">Label the test device with patient name or ID number. (See Figure 1) </w:t>
      </w:r>
    </w:p>
    <w:p w:rsidR="00CB2642" w:rsidRDefault="00236509" w:rsidP="00CB2642">
      <w:pPr>
        <w:pStyle w:val="Title"/>
        <w:numPr>
          <w:ilvl w:val="0"/>
          <w:numId w:val="29"/>
        </w:numPr>
        <w:jc w:val="both"/>
        <w:rPr>
          <w:rFonts w:asciiTheme="minorHAnsi" w:hAnsiTheme="minorHAnsi" w:cstheme="minorHAnsi"/>
          <w:b w:val="0"/>
          <w:sz w:val="20"/>
          <w:szCs w:val="20"/>
        </w:rPr>
      </w:pPr>
      <w:r w:rsidRPr="00CB2642">
        <w:rPr>
          <w:rFonts w:asciiTheme="minorHAnsi" w:hAnsiTheme="minorHAnsi" w:cstheme="minorHAnsi"/>
          <w:b w:val="0"/>
          <w:sz w:val="20"/>
          <w:szCs w:val="20"/>
        </w:rPr>
        <w:t>Touch the 5μL sample loop provided to the specimen, allowing the opening of the loop to fill with the liquid.</w:t>
      </w:r>
    </w:p>
    <w:p w:rsidR="00CB2642" w:rsidRDefault="00236509" w:rsidP="00CB2642">
      <w:pPr>
        <w:pStyle w:val="Title"/>
        <w:numPr>
          <w:ilvl w:val="0"/>
          <w:numId w:val="29"/>
        </w:numPr>
        <w:jc w:val="both"/>
        <w:rPr>
          <w:rFonts w:asciiTheme="minorHAnsi" w:hAnsiTheme="minorHAnsi" w:cstheme="minorHAnsi"/>
          <w:b w:val="0"/>
          <w:sz w:val="20"/>
          <w:szCs w:val="20"/>
        </w:rPr>
      </w:pPr>
      <w:r w:rsidRPr="00CB2642">
        <w:rPr>
          <w:rFonts w:asciiTheme="minorHAnsi" w:hAnsiTheme="minorHAnsi" w:cstheme="minorHAnsi"/>
          <w:b w:val="0"/>
          <w:sz w:val="20"/>
          <w:szCs w:val="20"/>
        </w:rPr>
        <w:t xml:space="preserve">Holding the sample loop vertically, touch it to the sample pad in the center of the SAMPLE (S) well of the device to dispense ~5μL of sample (serum, plasma or whole blood) onto the sample pad. (See Figure 2) </w:t>
      </w:r>
    </w:p>
    <w:p w:rsidR="00CB2642" w:rsidRDefault="00CB2642" w:rsidP="00CB2642">
      <w:pPr>
        <w:pStyle w:val="Title"/>
        <w:numPr>
          <w:ilvl w:val="0"/>
          <w:numId w:val="29"/>
        </w:numPr>
        <w:jc w:val="both"/>
        <w:rPr>
          <w:rFonts w:asciiTheme="minorHAnsi" w:hAnsiTheme="minorHAnsi" w:cstheme="minorHAnsi"/>
          <w:b w:val="0"/>
          <w:sz w:val="20"/>
          <w:szCs w:val="20"/>
        </w:rPr>
      </w:pPr>
      <w:r w:rsidRPr="00CB2642">
        <w:rPr>
          <w:rFonts w:asciiTheme="minorHAnsi" w:hAnsiTheme="minorHAnsi" w:cstheme="minorHAnsi"/>
          <w:b w:val="0"/>
          <w:sz w:val="20"/>
          <w:szCs w:val="20"/>
        </w:rPr>
        <w:t xml:space="preserve">Invert the Running Buffer bottle and hold it vertically Figure 3 (not at an angle) over the sample well. Add 3 drops (~ 105μL) of buffer slowly, dropwise, into the SAMPLE (S) well. (See Figure 3) </w:t>
      </w:r>
    </w:p>
    <w:p w:rsidR="00CB2642" w:rsidRDefault="00796734" w:rsidP="00CB2642">
      <w:pPr>
        <w:pStyle w:val="Title"/>
        <w:numPr>
          <w:ilvl w:val="0"/>
          <w:numId w:val="29"/>
        </w:numPr>
        <w:jc w:val="both"/>
        <w:rPr>
          <w:rFonts w:asciiTheme="minorHAnsi" w:hAnsiTheme="minorHAnsi" w:cstheme="minorHAnsi"/>
          <w:b w:val="0"/>
          <w:sz w:val="20"/>
          <w:szCs w:val="20"/>
        </w:rPr>
      </w:pPr>
      <w:r>
        <w:rPr>
          <w:rFonts w:asciiTheme="minorHAnsi" w:hAnsiTheme="minorHAnsi" w:cstheme="minorHAnsi"/>
          <w:b w:val="0"/>
          <w:noProof/>
          <w:sz w:val="20"/>
          <w:szCs w:val="20"/>
        </w:rPr>
        <w:drawing>
          <wp:anchor distT="0" distB="0" distL="114300" distR="114300" simplePos="0" relativeHeight="251663360" behindDoc="0" locked="0" layoutInCell="1" allowOverlap="1">
            <wp:simplePos x="0" y="0"/>
            <wp:positionH relativeFrom="margin">
              <wp:posOffset>5318760</wp:posOffset>
            </wp:positionH>
            <wp:positionV relativeFrom="paragraph">
              <wp:posOffset>7620</wp:posOffset>
            </wp:positionV>
            <wp:extent cx="975360" cy="1120140"/>
            <wp:effectExtent l="0" t="0" r="0" b="3810"/>
            <wp:wrapThrough wrapText="bothSides">
              <wp:wrapPolygon edited="0">
                <wp:start x="0" y="0"/>
                <wp:lineTo x="0" y="21306"/>
                <wp:lineTo x="21094" y="21306"/>
                <wp:lineTo x="21094" y="0"/>
                <wp:lineTo x="0" y="0"/>
              </wp:wrapPolygon>
            </wp:wrapThrough>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5360" cy="1120140"/>
                    </a:xfrm>
                    <a:prstGeom prst="rect">
                      <a:avLst/>
                    </a:prstGeom>
                    <a:noFill/>
                  </pic:spPr>
                </pic:pic>
              </a:graphicData>
            </a:graphic>
            <wp14:sizeRelH relativeFrom="margin">
              <wp14:pctWidth>0</wp14:pctWidth>
            </wp14:sizeRelH>
            <wp14:sizeRelV relativeFrom="margin">
              <wp14:pctHeight>0</wp14:pctHeight>
            </wp14:sizeRelV>
          </wp:anchor>
        </w:drawing>
      </w:r>
      <w:r w:rsidR="00CB2642" w:rsidRPr="00CB2642">
        <w:rPr>
          <w:rFonts w:asciiTheme="minorHAnsi" w:hAnsiTheme="minorHAnsi" w:cstheme="minorHAnsi"/>
          <w:b w:val="0"/>
          <w:sz w:val="20"/>
          <w:szCs w:val="20"/>
        </w:rPr>
        <w:t xml:space="preserve">Read the Test Result between 15 and 20 minutes after the addition of the Running Buffer. Reactive Test Results (See Interpretation of Test Results section) may be observed and read earlier than 15 minutes. To verify a Nonreactive Test Result, wait the entire 15 minutes after starting the test. Do not read results after 20 minutes. </w:t>
      </w:r>
    </w:p>
    <w:p w:rsidR="00CB2642" w:rsidRDefault="00CB2642" w:rsidP="0063141A">
      <w:pPr>
        <w:pStyle w:val="Title"/>
        <w:jc w:val="both"/>
        <w:rPr>
          <w:rFonts w:asciiTheme="minorHAnsi" w:hAnsiTheme="minorHAnsi" w:cstheme="minorHAnsi"/>
          <w:b w:val="0"/>
          <w:sz w:val="20"/>
          <w:szCs w:val="20"/>
        </w:rPr>
      </w:pPr>
    </w:p>
    <w:p w:rsidR="00CB2642" w:rsidRPr="00CB2642" w:rsidRDefault="00CB2642" w:rsidP="0063141A">
      <w:pPr>
        <w:pStyle w:val="Title"/>
        <w:jc w:val="both"/>
        <w:rPr>
          <w:rFonts w:asciiTheme="minorHAnsi" w:hAnsiTheme="minorHAnsi" w:cstheme="minorHAnsi"/>
          <w:b w:val="0"/>
          <w:sz w:val="20"/>
          <w:szCs w:val="20"/>
        </w:rPr>
      </w:pPr>
      <w:r w:rsidRPr="00CB2642">
        <w:rPr>
          <w:rFonts w:asciiTheme="minorHAnsi" w:hAnsiTheme="minorHAnsi" w:cstheme="minorHAnsi"/>
          <w:b w:val="0"/>
          <w:sz w:val="20"/>
          <w:szCs w:val="20"/>
        </w:rPr>
        <w:t>NOTE: Discard the used Sample Loop, Test Device and any other test materials into a biohazard waste container</w:t>
      </w:r>
    </w:p>
    <w:p w:rsidR="00CB2642" w:rsidRDefault="00CB2642" w:rsidP="0063141A">
      <w:pPr>
        <w:pStyle w:val="Title"/>
        <w:jc w:val="both"/>
        <w:rPr>
          <w:rFonts w:asciiTheme="minorHAnsi" w:hAnsiTheme="minorHAnsi" w:cstheme="minorHAnsi"/>
          <w:b w:val="0"/>
          <w:sz w:val="20"/>
          <w:szCs w:val="20"/>
        </w:rPr>
      </w:pPr>
    </w:p>
    <w:p w:rsidR="00EB5593" w:rsidRPr="00EB5593" w:rsidRDefault="00236509" w:rsidP="0063141A">
      <w:pPr>
        <w:pStyle w:val="Title"/>
        <w:jc w:val="both"/>
        <w:rPr>
          <w:rFonts w:asciiTheme="minorHAnsi" w:hAnsiTheme="minorHAnsi" w:cstheme="minorHAnsi"/>
          <w:sz w:val="20"/>
          <w:szCs w:val="20"/>
          <w:u w:val="single"/>
        </w:rPr>
      </w:pPr>
      <w:r w:rsidRPr="00EB5593">
        <w:rPr>
          <w:rFonts w:asciiTheme="minorHAnsi" w:hAnsiTheme="minorHAnsi" w:cstheme="minorHAnsi"/>
          <w:sz w:val="20"/>
          <w:szCs w:val="20"/>
          <w:u w:val="single"/>
        </w:rPr>
        <w:t xml:space="preserve">QUALITY CONTROL </w:t>
      </w:r>
    </w:p>
    <w:p w:rsidR="00EB5593" w:rsidRDefault="00EB5593" w:rsidP="0063141A">
      <w:pPr>
        <w:pStyle w:val="Title"/>
        <w:jc w:val="both"/>
        <w:rPr>
          <w:rFonts w:asciiTheme="minorHAnsi" w:hAnsiTheme="minorHAnsi" w:cstheme="minorHAnsi"/>
          <w:b w:val="0"/>
          <w:sz w:val="20"/>
          <w:szCs w:val="20"/>
        </w:rPr>
      </w:pPr>
    </w:p>
    <w:p w:rsidR="00EB5593" w:rsidRDefault="00236509" w:rsidP="0063141A">
      <w:pPr>
        <w:pStyle w:val="Title"/>
        <w:jc w:val="both"/>
        <w:rPr>
          <w:rFonts w:asciiTheme="minorHAnsi" w:hAnsiTheme="minorHAnsi" w:cstheme="minorHAnsi"/>
          <w:b w:val="0"/>
          <w:sz w:val="20"/>
          <w:szCs w:val="20"/>
        </w:rPr>
      </w:pPr>
      <w:r w:rsidRPr="00CB2642">
        <w:rPr>
          <w:rFonts w:asciiTheme="minorHAnsi" w:hAnsiTheme="minorHAnsi" w:cstheme="minorHAnsi"/>
          <w:b w:val="0"/>
          <w:sz w:val="20"/>
          <w:szCs w:val="20"/>
        </w:rPr>
        <w:t xml:space="preserve">Built-in Control Feature </w:t>
      </w:r>
    </w:p>
    <w:p w:rsidR="00EB5593" w:rsidRDefault="00236509" w:rsidP="0063141A">
      <w:pPr>
        <w:pStyle w:val="Title"/>
        <w:jc w:val="both"/>
        <w:rPr>
          <w:rFonts w:asciiTheme="minorHAnsi" w:hAnsiTheme="minorHAnsi" w:cstheme="minorHAnsi"/>
          <w:b w:val="0"/>
          <w:sz w:val="20"/>
          <w:szCs w:val="20"/>
        </w:rPr>
      </w:pPr>
      <w:r w:rsidRPr="00CB2642">
        <w:rPr>
          <w:rFonts w:asciiTheme="minorHAnsi" w:hAnsiTheme="minorHAnsi" w:cstheme="minorHAnsi"/>
          <w:b w:val="0"/>
          <w:sz w:val="20"/>
          <w:szCs w:val="20"/>
        </w:rPr>
        <w:t xml:space="preserve">The control line serves as a built-in internal control and gives confirmation of sample addition and proper test performance. A pink/purple line will appear in the CONTROL (C) area if the test has been performed correctly and the device is working properly (Please see section: Interpretation of Test Results). </w:t>
      </w:r>
    </w:p>
    <w:p w:rsidR="00EB5593" w:rsidRPr="00796734" w:rsidRDefault="00EB5593" w:rsidP="0063141A">
      <w:pPr>
        <w:pStyle w:val="Title"/>
        <w:jc w:val="both"/>
        <w:rPr>
          <w:rFonts w:asciiTheme="minorHAnsi" w:hAnsiTheme="minorHAnsi" w:cstheme="minorHAnsi"/>
          <w:b w:val="0"/>
          <w:sz w:val="20"/>
          <w:szCs w:val="20"/>
          <w:u w:val="single"/>
        </w:rPr>
      </w:pPr>
    </w:p>
    <w:p w:rsidR="00EB5593" w:rsidRDefault="00236509" w:rsidP="0063141A">
      <w:pPr>
        <w:pStyle w:val="Title"/>
        <w:jc w:val="both"/>
        <w:rPr>
          <w:rFonts w:asciiTheme="minorHAnsi" w:hAnsiTheme="minorHAnsi" w:cstheme="minorHAnsi"/>
          <w:sz w:val="20"/>
          <w:szCs w:val="20"/>
          <w:u w:val="single"/>
        </w:rPr>
      </w:pPr>
      <w:r w:rsidRPr="00796734">
        <w:rPr>
          <w:rFonts w:asciiTheme="minorHAnsi" w:hAnsiTheme="minorHAnsi" w:cstheme="minorHAnsi"/>
          <w:sz w:val="20"/>
          <w:szCs w:val="20"/>
          <w:u w:val="single"/>
        </w:rPr>
        <w:t xml:space="preserve">External Quality Control </w:t>
      </w:r>
    </w:p>
    <w:p w:rsidR="00796734" w:rsidRPr="00796734" w:rsidRDefault="00796734" w:rsidP="0063141A">
      <w:pPr>
        <w:pStyle w:val="Title"/>
        <w:jc w:val="both"/>
        <w:rPr>
          <w:rFonts w:asciiTheme="minorHAnsi" w:hAnsiTheme="minorHAnsi" w:cstheme="minorHAnsi"/>
          <w:sz w:val="20"/>
          <w:szCs w:val="20"/>
          <w:u w:val="single"/>
        </w:rPr>
      </w:pPr>
    </w:p>
    <w:p w:rsidR="00EB5593" w:rsidRDefault="00236509" w:rsidP="0063141A">
      <w:pPr>
        <w:pStyle w:val="Title"/>
        <w:jc w:val="both"/>
        <w:rPr>
          <w:rFonts w:asciiTheme="minorHAnsi" w:hAnsiTheme="minorHAnsi" w:cstheme="minorHAnsi"/>
          <w:b w:val="0"/>
          <w:sz w:val="20"/>
          <w:szCs w:val="20"/>
        </w:rPr>
      </w:pPr>
      <w:r w:rsidRPr="00CB2642">
        <w:rPr>
          <w:rFonts w:asciiTheme="minorHAnsi" w:hAnsiTheme="minorHAnsi" w:cstheme="minorHAnsi"/>
          <w:b w:val="0"/>
          <w:sz w:val="20"/>
          <w:szCs w:val="20"/>
        </w:rPr>
        <w:t xml:space="preserve">Good Laboratory Practices (GLP) necessitates testing external control material along with the test samples to ensure proper performance of the test Kit. </w:t>
      </w:r>
      <w:proofErr w:type="spellStart"/>
      <w:r w:rsidRPr="00CB2642">
        <w:rPr>
          <w:rFonts w:asciiTheme="minorHAnsi" w:hAnsiTheme="minorHAnsi" w:cstheme="minorHAnsi"/>
          <w:b w:val="0"/>
          <w:sz w:val="20"/>
          <w:szCs w:val="20"/>
        </w:rPr>
        <w:t>Chembio</w:t>
      </w:r>
      <w:proofErr w:type="spellEnd"/>
      <w:r w:rsidRPr="00CB2642">
        <w:rPr>
          <w:rFonts w:asciiTheme="minorHAnsi" w:hAnsiTheme="minorHAnsi" w:cstheme="minorHAnsi"/>
          <w:b w:val="0"/>
          <w:sz w:val="20"/>
          <w:szCs w:val="20"/>
        </w:rPr>
        <w:t xml:space="preserve"> HIV Reactive/Nonreactive Controls (Catalog # 60-9549-0) are available separately for use with the </w:t>
      </w:r>
      <w:proofErr w:type="spellStart"/>
      <w:r w:rsidRPr="00CB2642">
        <w:rPr>
          <w:rFonts w:asciiTheme="minorHAnsi" w:hAnsiTheme="minorHAnsi" w:cstheme="minorHAnsi"/>
          <w:b w:val="0"/>
          <w:sz w:val="20"/>
          <w:szCs w:val="20"/>
        </w:rPr>
        <w:t>Chembio</w:t>
      </w:r>
      <w:proofErr w:type="spellEnd"/>
      <w:r w:rsidRPr="00CB2642">
        <w:rPr>
          <w:rFonts w:asciiTheme="minorHAnsi" w:hAnsiTheme="minorHAnsi" w:cstheme="minorHAnsi"/>
          <w:b w:val="0"/>
          <w:sz w:val="20"/>
          <w:szCs w:val="20"/>
        </w:rPr>
        <w:t xml:space="preserve"> HIV 1/2 STAT-PAK® Assay. The HIV Controls are used to verify the operator’s ability to properly perform the test and to interpret the results. Each Reactive Control will produce a REACTIVE Test Result and has been manufactured to produce a faint line in the TEST (T) area. The Nonreactive Control will produce a NONREACTIVE Test Result. Run the Controls as per the TEST PROCEDURE and follow the instructions as described in INTERPRETATION OF TEST RESULTS sections of this Product Insert. It is the responsibility of each facility using the </w:t>
      </w:r>
      <w:proofErr w:type="spellStart"/>
      <w:r w:rsidRPr="00CB2642">
        <w:rPr>
          <w:rFonts w:asciiTheme="minorHAnsi" w:hAnsiTheme="minorHAnsi" w:cstheme="minorHAnsi"/>
          <w:b w:val="0"/>
          <w:sz w:val="20"/>
          <w:szCs w:val="20"/>
        </w:rPr>
        <w:t>Chembio</w:t>
      </w:r>
      <w:proofErr w:type="spellEnd"/>
      <w:r w:rsidRPr="00CB2642">
        <w:rPr>
          <w:rFonts w:asciiTheme="minorHAnsi" w:hAnsiTheme="minorHAnsi" w:cstheme="minorHAnsi"/>
          <w:b w:val="0"/>
          <w:sz w:val="20"/>
          <w:szCs w:val="20"/>
        </w:rPr>
        <w:t xml:space="preserve"> HIV 1/2 STAT-PAK® Assay to establish an adequate quality assurance program to ensure the performance of the device under specific locations and conditions of use. </w:t>
      </w:r>
    </w:p>
    <w:p w:rsidR="00EB5593" w:rsidRDefault="00EB5593" w:rsidP="0063141A">
      <w:pPr>
        <w:pStyle w:val="Title"/>
        <w:jc w:val="both"/>
        <w:rPr>
          <w:rFonts w:asciiTheme="minorHAnsi" w:hAnsiTheme="minorHAnsi" w:cstheme="minorHAnsi"/>
          <w:b w:val="0"/>
          <w:sz w:val="20"/>
          <w:szCs w:val="20"/>
        </w:rPr>
      </w:pPr>
    </w:p>
    <w:p w:rsidR="00EB5593" w:rsidRPr="00EB5593" w:rsidRDefault="00236509" w:rsidP="0063141A">
      <w:pPr>
        <w:pStyle w:val="Title"/>
        <w:jc w:val="both"/>
        <w:rPr>
          <w:rFonts w:asciiTheme="minorHAnsi" w:hAnsiTheme="minorHAnsi" w:cstheme="minorHAnsi"/>
          <w:sz w:val="20"/>
          <w:szCs w:val="20"/>
        </w:rPr>
      </w:pPr>
      <w:r w:rsidRPr="00EB5593">
        <w:rPr>
          <w:rFonts w:asciiTheme="minorHAnsi" w:hAnsiTheme="minorHAnsi" w:cstheme="minorHAnsi"/>
          <w:sz w:val="20"/>
          <w:szCs w:val="20"/>
        </w:rPr>
        <w:t xml:space="preserve">Run the Kit Controls under the following circumstances: </w:t>
      </w:r>
    </w:p>
    <w:p w:rsidR="00EB5593" w:rsidRPr="00EB5593" w:rsidRDefault="00236509" w:rsidP="0063141A">
      <w:pPr>
        <w:pStyle w:val="Title"/>
        <w:jc w:val="both"/>
        <w:rPr>
          <w:rFonts w:asciiTheme="minorHAnsi" w:hAnsiTheme="minorHAnsi" w:cstheme="minorHAnsi"/>
          <w:sz w:val="20"/>
          <w:szCs w:val="20"/>
        </w:rPr>
      </w:pPr>
      <w:r w:rsidRPr="00EB5593">
        <w:rPr>
          <w:rFonts w:asciiTheme="minorHAnsi" w:hAnsiTheme="minorHAnsi" w:cstheme="minorHAnsi"/>
          <w:sz w:val="20"/>
          <w:szCs w:val="20"/>
        </w:rPr>
        <w:t xml:space="preserve">• Each new operator prior to performing tests on patient specimens, </w:t>
      </w:r>
    </w:p>
    <w:p w:rsidR="00EB5593" w:rsidRPr="00EB5593" w:rsidRDefault="00236509" w:rsidP="0063141A">
      <w:pPr>
        <w:pStyle w:val="Title"/>
        <w:jc w:val="both"/>
        <w:rPr>
          <w:rFonts w:asciiTheme="minorHAnsi" w:hAnsiTheme="minorHAnsi" w:cstheme="minorHAnsi"/>
          <w:sz w:val="20"/>
          <w:szCs w:val="20"/>
        </w:rPr>
      </w:pPr>
      <w:r w:rsidRPr="00EB5593">
        <w:rPr>
          <w:rFonts w:asciiTheme="minorHAnsi" w:hAnsiTheme="minorHAnsi" w:cstheme="minorHAnsi"/>
          <w:sz w:val="20"/>
          <w:szCs w:val="20"/>
        </w:rPr>
        <w:t xml:space="preserve">• When opening a new test Kit lot, </w:t>
      </w:r>
    </w:p>
    <w:p w:rsidR="00EB5593" w:rsidRPr="00EB5593" w:rsidRDefault="00236509" w:rsidP="0063141A">
      <w:pPr>
        <w:pStyle w:val="Title"/>
        <w:jc w:val="both"/>
        <w:rPr>
          <w:rFonts w:asciiTheme="minorHAnsi" w:hAnsiTheme="minorHAnsi" w:cstheme="minorHAnsi"/>
          <w:sz w:val="20"/>
          <w:szCs w:val="20"/>
        </w:rPr>
      </w:pPr>
      <w:r w:rsidRPr="00EB5593">
        <w:rPr>
          <w:rFonts w:asciiTheme="minorHAnsi" w:hAnsiTheme="minorHAnsi" w:cstheme="minorHAnsi"/>
          <w:sz w:val="20"/>
          <w:szCs w:val="20"/>
        </w:rPr>
        <w:t xml:space="preserve">• Whenever a new shipment of test Kits is received, </w:t>
      </w:r>
    </w:p>
    <w:p w:rsidR="00EB5593" w:rsidRPr="00EB5593" w:rsidRDefault="00236509" w:rsidP="0063141A">
      <w:pPr>
        <w:pStyle w:val="Title"/>
        <w:jc w:val="both"/>
        <w:rPr>
          <w:rFonts w:asciiTheme="minorHAnsi" w:hAnsiTheme="minorHAnsi" w:cstheme="minorHAnsi"/>
          <w:sz w:val="20"/>
          <w:szCs w:val="20"/>
        </w:rPr>
      </w:pPr>
      <w:r w:rsidRPr="00EB5593">
        <w:rPr>
          <w:rFonts w:asciiTheme="minorHAnsi" w:hAnsiTheme="minorHAnsi" w:cstheme="minorHAnsi"/>
          <w:sz w:val="20"/>
          <w:szCs w:val="20"/>
        </w:rPr>
        <w:t xml:space="preserve">• If the temperature of the test storage area falls outside of 8 to 30°C (46 to 86°F), </w:t>
      </w:r>
    </w:p>
    <w:p w:rsidR="00EB5593" w:rsidRPr="00EB5593" w:rsidRDefault="00236509" w:rsidP="0063141A">
      <w:pPr>
        <w:pStyle w:val="Title"/>
        <w:jc w:val="both"/>
        <w:rPr>
          <w:rFonts w:asciiTheme="minorHAnsi" w:hAnsiTheme="minorHAnsi" w:cstheme="minorHAnsi"/>
          <w:sz w:val="20"/>
          <w:szCs w:val="20"/>
        </w:rPr>
      </w:pPr>
      <w:r w:rsidRPr="00EB5593">
        <w:rPr>
          <w:rFonts w:asciiTheme="minorHAnsi" w:hAnsiTheme="minorHAnsi" w:cstheme="minorHAnsi"/>
          <w:sz w:val="20"/>
          <w:szCs w:val="20"/>
        </w:rPr>
        <w:t xml:space="preserve">• If the temperature of the testing area falls outside of 18 to 30°C (64 to 86°F), </w:t>
      </w:r>
    </w:p>
    <w:p w:rsidR="00EB5593" w:rsidRPr="00EB5593" w:rsidRDefault="00236509" w:rsidP="0063141A">
      <w:pPr>
        <w:pStyle w:val="Title"/>
        <w:jc w:val="both"/>
        <w:rPr>
          <w:rFonts w:asciiTheme="minorHAnsi" w:hAnsiTheme="minorHAnsi" w:cstheme="minorHAnsi"/>
          <w:sz w:val="20"/>
          <w:szCs w:val="20"/>
        </w:rPr>
      </w:pPr>
      <w:r w:rsidRPr="00EB5593">
        <w:rPr>
          <w:rFonts w:asciiTheme="minorHAnsi" w:hAnsiTheme="minorHAnsi" w:cstheme="minorHAnsi"/>
          <w:sz w:val="20"/>
          <w:szCs w:val="20"/>
        </w:rPr>
        <w:t xml:space="preserve">• At periodic intervals as indicated by the user facility. </w:t>
      </w:r>
    </w:p>
    <w:p w:rsidR="00EB5593" w:rsidRDefault="00EB5593" w:rsidP="0063141A">
      <w:pPr>
        <w:pStyle w:val="Title"/>
        <w:jc w:val="both"/>
        <w:rPr>
          <w:rFonts w:asciiTheme="minorHAnsi" w:hAnsiTheme="minorHAnsi" w:cstheme="minorHAnsi"/>
          <w:b w:val="0"/>
          <w:sz w:val="20"/>
          <w:szCs w:val="20"/>
        </w:rPr>
      </w:pPr>
    </w:p>
    <w:p w:rsidR="00236509" w:rsidRPr="00CB2642" w:rsidRDefault="00236509" w:rsidP="0063141A">
      <w:pPr>
        <w:pStyle w:val="Title"/>
        <w:jc w:val="both"/>
        <w:rPr>
          <w:rFonts w:asciiTheme="minorHAnsi" w:hAnsiTheme="minorHAnsi" w:cstheme="minorHAnsi"/>
          <w:b w:val="0"/>
          <w:sz w:val="20"/>
          <w:szCs w:val="20"/>
        </w:rPr>
      </w:pPr>
      <w:r w:rsidRPr="00CB2642">
        <w:rPr>
          <w:rFonts w:asciiTheme="minorHAnsi" w:hAnsiTheme="minorHAnsi" w:cstheme="minorHAnsi"/>
          <w:b w:val="0"/>
          <w:sz w:val="20"/>
          <w:szCs w:val="20"/>
        </w:rPr>
        <w:t xml:space="preserve">If the HIV Control reagents do not produce the expected results, contact </w:t>
      </w:r>
      <w:proofErr w:type="spellStart"/>
      <w:r w:rsidRPr="00CB2642">
        <w:rPr>
          <w:rFonts w:asciiTheme="minorHAnsi" w:hAnsiTheme="minorHAnsi" w:cstheme="minorHAnsi"/>
          <w:b w:val="0"/>
          <w:sz w:val="20"/>
          <w:szCs w:val="20"/>
        </w:rPr>
        <w:t>Chembio</w:t>
      </w:r>
      <w:proofErr w:type="spellEnd"/>
      <w:r w:rsidRPr="00CB2642">
        <w:rPr>
          <w:rFonts w:asciiTheme="minorHAnsi" w:hAnsiTheme="minorHAnsi" w:cstheme="minorHAnsi"/>
          <w:b w:val="0"/>
          <w:sz w:val="20"/>
          <w:szCs w:val="20"/>
        </w:rPr>
        <w:t xml:space="preserve"> Diagnostic Systems’ Customer Service at 1-631-924-1135 or Toll Free at 1-800-327-3635. </w:t>
      </w:r>
    </w:p>
    <w:p w:rsidR="00CB2642" w:rsidRDefault="00CB2642">
      <w:pPr>
        <w:pStyle w:val="Title"/>
        <w:jc w:val="both"/>
        <w:rPr>
          <w:rFonts w:asciiTheme="minorHAnsi" w:hAnsiTheme="minorHAnsi" w:cstheme="minorHAnsi"/>
          <w:b w:val="0"/>
          <w:sz w:val="20"/>
          <w:szCs w:val="20"/>
        </w:rPr>
      </w:pPr>
    </w:p>
    <w:p w:rsidR="00EB5593" w:rsidRDefault="00EB5593">
      <w:pPr>
        <w:pStyle w:val="Title"/>
        <w:jc w:val="both"/>
        <w:rPr>
          <w:rFonts w:asciiTheme="minorHAnsi" w:hAnsiTheme="minorHAnsi" w:cstheme="minorHAnsi"/>
          <w:b w:val="0"/>
          <w:sz w:val="20"/>
          <w:szCs w:val="20"/>
        </w:rPr>
      </w:pPr>
      <w:r w:rsidRPr="00EB5593">
        <w:rPr>
          <w:rFonts w:asciiTheme="minorHAnsi" w:hAnsiTheme="minorHAnsi" w:cstheme="minorHAnsi"/>
          <w:b w:val="0"/>
          <w:sz w:val="20"/>
          <w:szCs w:val="20"/>
        </w:rPr>
        <w:drawing>
          <wp:inline distT="0" distB="0" distL="0" distR="0" wp14:anchorId="3A54AFDC" wp14:editId="4D82B710">
            <wp:extent cx="5737860" cy="1135380"/>
            <wp:effectExtent l="0" t="0" r="0" b="762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8433" cy="1135493"/>
                    </a:xfrm>
                    <a:prstGeom prst="rect">
                      <a:avLst/>
                    </a:prstGeom>
                  </pic:spPr>
                </pic:pic>
              </a:graphicData>
            </a:graphic>
          </wp:inline>
        </w:drawing>
      </w:r>
    </w:p>
    <w:p w:rsidR="00EB5593" w:rsidRDefault="00EB5593">
      <w:pPr>
        <w:pStyle w:val="Title"/>
        <w:jc w:val="both"/>
        <w:rPr>
          <w:rFonts w:asciiTheme="minorHAnsi" w:hAnsiTheme="minorHAnsi" w:cstheme="minorHAnsi"/>
          <w:b w:val="0"/>
          <w:sz w:val="20"/>
          <w:szCs w:val="20"/>
        </w:rPr>
      </w:pPr>
    </w:p>
    <w:p w:rsidR="00EB5593" w:rsidRDefault="00EB5593">
      <w:pPr>
        <w:pStyle w:val="Title"/>
        <w:jc w:val="both"/>
        <w:rPr>
          <w:rFonts w:asciiTheme="minorHAnsi" w:hAnsiTheme="minorHAnsi" w:cstheme="minorHAnsi"/>
          <w:b w:val="0"/>
          <w:sz w:val="20"/>
          <w:szCs w:val="20"/>
        </w:rPr>
      </w:pPr>
    </w:p>
    <w:p w:rsidR="00EB5593" w:rsidRDefault="00796734">
      <w:pPr>
        <w:pStyle w:val="Title"/>
        <w:jc w:val="both"/>
        <w:rPr>
          <w:rFonts w:asciiTheme="minorHAnsi" w:hAnsiTheme="minorHAnsi" w:cstheme="minorHAnsi"/>
          <w:b w:val="0"/>
          <w:sz w:val="20"/>
          <w:szCs w:val="20"/>
        </w:rPr>
      </w:pPr>
      <w:r w:rsidRPr="00796734">
        <w:rPr>
          <w:rFonts w:asciiTheme="minorHAnsi" w:hAnsiTheme="minorHAnsi" w:cstheme="minorHAnsi"/>
          <w:b w:val="0"/>
          <w:sz w:val="20"/>
          <w:szCs w:val="20"/>
        </w:rPr>
        <w:t>NONREACTIVE (See Diagram 1): One pink/purple line in the CONTROL (C) area, with no line in the TEST (T) area, indicates a NONREACTIVE Test Result. A NONREACTIVE Test Result means that HIV-1 and HIV-2 antibodies were not detected in the specimen. The Test Result is interpreted as NEGATIVE for HIV-1 and HIV-2 antibodies. However, this does not exclude possible infection with HIV. Follow CDC guidelines to inform the test subject of the Test Result and its interpretation</w:t>
      </w:r>
      <w:r>
        <w:rPr>
          <w:rFonts w:asciiTheme="minorHAnsi" w:hAnsiTheme="minorHAnsi" w:cstheme="minorHAnsi"/>
          <w:b w:val="0"/>
          <w:sz w:val="20"/>
          <w:szCs w:val="20"/>
        </w:rPr>
        <w:t>.</w:t>
      </w:r>
    </w:p>
    <w:p w:rsidR="00796734" w:rsidRDefault="00796734">
      <w:pPr>
        <w:pStyle w:val="Title"/>
        <w:jc w:val="both"/>
        <w:rPr>
          <w:rFonts w:asciiTheme="minorHAnsi" w:hAnsiTheme="minorHAnsi" w:cstheme="minorHAnsi"/>
          <w:b w:val="0"/>
          <w:sz w:val="20"/>
          <w:szCs w:val="20"/>
        </w:rPr>
      </w:pPr>
    </w:p>
    <w:p w:rsidR="00796734" w:rsidRDefault="00796734">
      <w:pPr>
        <w:pStyle w:val="Title"/>
        <w:jc w:val="both"/>
        <w:rPr>
          <w:rFonts w:asciiTheme="minorHAnsi" w:hAnsiTheme="minorHAnsi" w:cstheme="minorHAnsi"/>
          <w:b w:val="0"/>
          <w:sz w:val="20"/>
          <w:szCs w:val="20"/>
        </w:rPr>
      </w:pPr>
      <w:r w:rsidRPr="00796734">
        <w:rPr>
          <w:rFonts w:asciiTheme="minorHAnsi" w:hAnsiTheme="minorHAnsi" w:cstheme="minorHAnsi"/>
          <w:b w:val="0"/>
          <w:sz w:val="20"/>
          <w:szCs w:val="20"/>
        </w:rPr>
        <w:t>REACTIVE (See Diagram 2): Two pink/purple lines, one in the TEST (T) area and one in the CONTROL (C) area, indicate a REACTIVE Test Result. The line in the TEST (T) area may look different from the line in the CONTROL (C) area. Intensities of the Test and Control Lines may vary. Test Result with visible lines in both TEST (T) and CONTROL (C) areas, regardless of intensity, is considered REACTIVE. A Reactive Test Result means that HIV-1 and/or HIV-2 antibodies have been detected in the specimen. The Test Result is interpreted as Preliminary POSITIVE for HIV-1 and/or HIV</w:t>
      </w:r>
      <w:r w:rsidRPr="00796734">
        <w:rPr>
          <w:rFonts w:asciiTheme="minorHAnsi" w:hAnsiTheme="minorHAnsi" w:cstheme="minorHAnsi"/>
          <w:b w:val="0"/>
          <w:sz w:val="20"/>
          <w:szCs w:val="20"/>
        </w:rPr>
        <w:t>2 antibodies. Follow CDC guidelines to inform the test subject of the Test Result and its interpretation.</w:t>
      </w:r>
    </w:p>
    <w:p w:rsidR="00A26080" w:rsidRPr="00A26080" w:rsidRDefault="00A26080">
      <w:pPr>
        <w:pStyle w:val="Title"/>
        <w:jc w:val="both"/>
        <w:rPr>
          <w:rFonts w:asciiTheme="minorHAnsi" w:hAnsiTheme="minorHAnsi" w:cstheme="minorHAnsi"/>
          <w:b w:val="0"/>
          <w:sz w:val="20"/>
          <w:szCs w:val="20"/>
        </w:rPr>
      </w:pPr>
    </w:p>
    <w:p w:rsidR="00A26080" w:rsidRDefault="00A26080">
      <w:pPr>
        <w:pStyle w:val="Title"/>
        <w:jc w:val="both"/>
        <w:rPr>
          <w:rFonts w:asciiTheme="minorHAnsi" w:hAnsiTheme="minorHAnsi" w:cstheme="minorHAnsi"/>
          <w:b w:val="0"/>
          <w:sz w:val="20"/>
          <w:szCs w:val="20"/>
        </w:rPr>
      </w:pPr>
      <w:r w:rsidRPr="00A26080">
        <w:rPr>
          <w:rFonts w:asciiTheme="minorHAnsi" w:hAnsiTheme="minorHAnsi" w:cstheme="minorHAnsi"/>
          <w:b w:val="0"/>
          <w:sz w:val="20"/>
          <w:szCs w:val="20"/>
        </w:rPr>
        <w:t>INVALID (See Diagram 3): A pink/purple line should always appear in the CONTROL (C) area, whether or not a line appears in the TEST (T) area. If there is no distinct pink/purple line visible in the CONTROL (C) area, then the test is INVALID. Any line that appears outside of the Control (C) Area or Test (T) Area is an INVALID test. An INVALID test cannot be interpreted. It is recommended that the INVALID test be repeated with a new device</w:t>
      </w:r>
      <w:r>
        <w:rPr>
          <w:rFonts w:asciiTheme="minorHAnsi" w:hAnsiTheme="minorHAnsi" w:cstheme="minorHAnsi"/>
          <w:b w:val="0"/>
          <w:sz w:val="20"/>
          <w:szCs w:val="20"/>
        </w:rPr>
        <w:t>.</w:t>
      </w:r>
    </w:p>
    <w:p w:rsidR="00A26080" w:rsidRDefault="00A26080">
      <w:pPr>
        <w:pStyle w:val="Title"/>
        <w:jc w:val="both"/>
        <w:rPr>
          <w:rFonts w:asciiTheme="minorHAnsi" w:hAnsiTheme="minorHAnsi" w:cstheme="minorHAnsi"/>
          <w:b w:val="0"/>
          <w:sz w:val="20"/>
          <w:szCs w:val="20"/>
        </w:rPr>
      </w:pPr>
    </w:p>
    <w:p w:rsidR="00A26080" w:rsidRPr="00A26080" w:rsidRDefault="00A26080">
      <w:pPr>
        <w:pStyle w:val="Title"/>
        <w:jc w:val="both"/>
        <w:rPr>
          <w:rFonts w:asciiTheme="minorHAnsi" w:hAnsiTheme="minorHAnsi" w:cstheme="minorHAnsi"/>
          <w:sz w:val="20"/>
          <w:szCs w:val="20"/>
          <w:u w:val="single"/>
        </w:rPr>
      </w:pPr>
      <w:r w:rsidRPr="00A26080">
        <w:rPr>
          <w:rFonts w:asciiTheme="minorHAnsi" w:hAnsiTheme="minorHAnsi" w:cstheme="minorHAnsi"/>
          <w:sz w:val="20"/>
          <w:szCs w:val="20"/>
          <w:u w:val="single"/>
        </w:rPr>
        <w:t>LIMITATIONS OF THE PROCEDURE</w:t>
      </w:r>
      <w:r w:rsidRPr="00A26080">
        <w:rPr>
          <w:rFonts w:asciiTheme="minorHAnsi" w:hAnsiTheme="minorHAnsi" w:cstheme="minorHAnsi"/>
          <w:sz w:val="20"/>
          <w:szCs w:val="20"/>
          <w:u w:val="single"/>
        </w:rPr>
        <w:t>:</w:t>
      </w:r>
    </w:p>
    <w:p w:rsidR="00A26080" w:rsidRPr="00A26080" w:rsidRDefault="00A26080">
      <w:pPr>
        <w:pStyle w:val="Title"/>
        <w:jc w:val="both"/>
        <w:rPr>
          <w:rFonts w:asciiTheme="minorHAnsi" w:hAnsiTheme="minorHAnsi" w:cstheme="minorHAnsi"/>
          <w:sz w:val="20"/>
          <w:szCs w:val="20"/>
          <w:u w:val="single"/>
        </w:rPr>
      </w:pPr>
    </w:p>
    <w:p w:rsidR="00A26080" w:rsidRDefault="00A26080" w:rsidP="00A26080">
      <w:pPr>
        <w:pStyle w:val="Title"/>
        <w:numPr>
          <w:ilvl w:val="0"/>
          <w:numId w:val="40"/>
        </w:numPr>
        <w:jc w:val="both"/>
        <w:rPr>
          <w:rFonts w:asciiTheme="minorHAnsi" w:hAnsiTheme="minorHAnsi" w:cstheme="minorHAnsi"/>
          <w:b w:val="0"/>
          <w:sz w:val="20"/>
          <w:szCs w:val="20"/>
        </w:rPr>
      </w:pPr>
      <w:r w:rsidRPr="00A26080">
        <w:rPr>
          <w:rFonts w:asciiTheme="minorHAnsi" w:hAnsiTheme="minorHAnsi" w:cstheme="minorHAnsi"/>
          <w:b w:val="0"/>
          <w:sz w:val="20"/>
          <w:szCs w:val="20"/>
        </w:rPr>
        <w:t xml:space="preserve">The </w:t>
      </w:r>
      <w:proofErr w:type="spellStart"/>
      <w:r w:rsidRPr="00A26080">
        <w:rPr>
          <w:rFonts w:asciiTheme="minorHAnsi" w:hAnsiTheme="minorHAnsi" w:cstheme="minorHAnsi"/>
          <w:b w:val="0"/>
          <w:sz w:val="20"/>
          <w:szCs w:val="20"/>
        </w:rPr>
        <w:t>Chembio</w:t>
      </w:r>
      <w:proofErr w:type="spellEnd"/>
      <w:r w:rsidRPr="00A26080">
        <w:rPr>
          <w:rFonts w:asciiTheme="minorHAnsi" w:hAnsiTheme="minorHAnsi" w:cstheme="minorHAnsi"/>
          <w:b w:val="0"/>
          <w:sz w:val="20"/>
          <w:szCs w:val="20"/>
        </w:rPr>
        <w:t xml:space="preserve"> HIV 1/2 STAT-PAK® test must be used in accordance with the instructions in this Product Insert to obtain accurate results. </w:t>
      </w:r>
    </w:p>
    <w:p w:rsidR="00A26080" w:rsidRDefault="00A26080" w:rsidP="00A26080">
      <w:pPr>
        <w:pStyle w:val="Title"/>
        <w:numPr>
          <w:ilvl w:val="0"/>
          <w:numId w:val="40"/>
        </w:numPr>
        <w:jc w:val="both"/>
        <w:rPr>
          <w:rFonts w:asciiTheme="minorHAnsi" w:hAnsiTheme="minorHAnsi" w:cstheme="minorHAnsi"/>
          <w:b w:val="0"/>
          <w:sz w:val="20"/>
          <w:szCs w:val="20"/>
        </w:rPr>
      </w:pPr>
      <w:r w:rsidRPr="00A26080">
        <w:rPr>
          <w:rFonts w:asciiTheme="minorHAnsi" w:hAnsiTheme="minorHAnsi" w:cstheme="minorHAnsi"/>
          <w:b w:val="0"/>
          <w:sz w:val="20"/>
          <w:szCs w:val="20"/>
        </w:rPr>
        <w:t xml:space="preserve">The </w:t>
      </w:r>
      <w:proofErr w:type="spellStart"/>
      <w:r w:rsidRPr="00A26080">
        <w:rPr>
          <w:rFonts w:asciiTheme="minorHAnsi" w:hAnsiTheme="minorHAnsi" w:cstheme="minorHAnsi"/>
          <w:b w:val="0"/>
          <w:sz w:val="20"/>
          <w:szCs w:val="20"/>
        </w:rPr>
        <w:t>Chembio</w:t>
      </w:r>
      <w:proofErr w:type="spellEnd"/>
      <w:r w:rsidRPr="00A26080">
        <w:rPr>
          <w:rFonts w:asciiTheme="minorHAnsi" w:hAnsiTheme="minorHAnsi" w:cstheme="minorHAnsi"/>
          <w:b w:val="0"/>
          <w:sz w:val="20"/>
          <w:szCs w:val="20"/>
        </w:rPr>
        <w:t xml:space="preserve"> HIV 1/2 STAT-PAK® Assay must be used with capillary (</w:t>
      </w:r>
      <w:proofErr w:type="spellStart"/>
      <w:r w:rsidRPr="00A26080">
        <w:rPr>
          <w:rFonts w:asciiTheme="minorHAnsi" w:hAnsiTheme="minorHAnsi" w:cstheme="minorHAnsi"/>
          <w:b w:val="0"/>
          <w:sz w:val="20"/>
          <w:szCs w:val="20"/>
        </w:rPr>
        <w:t>fingerstick</w:t>
      </w:r>
      <w:proofErr w:type="spellEnd"/>
      <w:r w:rsidRPr="00A26080">
        <w:rPr>
          <w:rFonts w:asciiTheme="minorHAnsi" w:hAnsiTheme="minorHAnsi" w:cstheme="minorHAnsi"/>
          <w:b w:val="0"/>
          <w:sz w:val="20"/>
          <w:szCs w:val="20"/>
        </w:rPr>
        <w:t>) or venous whole blood, serum or plasma only. Use of other types of specimens or testing of venipuncture whole blood specimens collected using a tube containing an anticoagulant other than citrate, heparin or EDTA may not yield accurate results. For serum samples, collect blood without anticoagulant.</w:t>
      </w:r>
    </w:p>
    <w:p w:rsidR="00A26080" w:rsidRDefault="00A26080" w:rsidP="00A26080">
      <w:pPr>
        <w:pStyle w:val="Title"/>
        <w:numPr>
          <w:ilvl w:val="0"/>
          <w:numId w:val="40"/>
        </w:numPr>
        <w:jc w:val="both"/>
        <w:rPr>
          <w:rFonts w:asciiTheme="minorHAnsi" w:hAnsiTheme="minorHAnsi" w:cstheme="minorHAnsi"/>
          <w:b w:val="0"/>
          <w:sz w:val="20"/>
          <w:szCs w:val="20"/>
        </w:rPr>
      </w:pPr>
      <w:r w:rsidRPr="00A26080">
        <w:rPr>
          <w:rFonts w:asciiTheme="minorHAnsi" w:hAnsiTheme="minorHAnsi" w:cstheme="minorHAnsi"/>
          <w:b w:val="0"/>
          <w:sz w:val="20"/>
          <w:szCs w:val="20"/>
        </w:rPr>
        <w:t xml:space="preserve">Reading Nonreactive Test Results earlier than 15 minutes or any Test Results later than 20 minutes may yield erroneous results. </w:t>
      </w:r>
    </w:p>
    <w:p w:rsidR="00A26080" w:rsidRDefault="00A26080" w:rsidP="00A26080">
      <w:pPr>
        <w:pStyle w:val="Title"/>
        <w:numPr>
          <w:ilvl w:val="0"/>
          <w:numId w:val="40"/>
        </w:numPr>
        <w:jc w:val="both"/>
        <w:rPr>
          <w:rFonts w:asciiTheme="minorHAnsi" w:hAnsiTheme="minorHAnsi" w:cstheme="minorHAnsi"/>
          <w:b w:val="0"/>
          <w:sz w:val="20"/>
          <w:szCs w:val="20"/>
        </w:rPr>
      </w:pPr>
      <w:r w:rsidRPr="00A26080">
        <w:rPr>
          <w:rFonts w:asciiTheme="minorHAnsi" w:hAnsiTheme="minorHAnsi" w:cstheme="minorHAnsi"/>
          <w:b w:val="0"/>
          <w:sz w:val="20"/>
          <w:szCs w:val="20"/>
        </w:rPr>
        <w:t xml:space="preserve">Do not open the sealed foil pouch until just prior to use. </w:t>
      </w:r>
    </w:p>
    <w:p w:rsidR="00A26080" w:rsidRDefault="00A26080" w:rsidP="00A26080">
      <w:pPr>
        <w:pStyle w:val="Title"/>
        <w:numPr>
          <w:ilvl w:val="0"/>
          <w:numId w:val="40"/>
        </w:numPr>
        <w:jc w:val="both"/>
        <w:rPr>
          <w:rFonts w:asciiTheme="minorHAnsi" w:hAnsiTheme="minorHAnsi" w:cstheme="minorHAnsi"/>
          <w:b w:val="0"/>
          <w:sz w:val="20"/>
          <w:szCs w:val="20"/>
        </w:rPr>
      </w:pPr>
      <w:r w:rsidRPr="00A26080">
        <w:rPr>
          <w:rFonts w:asciiTheme="minorHAnsi" w:hAnsiTheme="minorHAnsi" w:cstheme="minorHAnsi"/>
          <w:b w:val="0"/>
          <w:sz w:val="20"/>
          <w:szCs w:val="20"/>
        </w:rPr>
        <w:t xml:space="preserve">Do not use Kit contents beyond labeled expiration date. </w:t>
      </w:r>
    </w:p>
    <w:p w:rsidR="00A26080" w:rsidRDefault="00A26080" w:rsidP="00A26080">
      <w:pPr>
        <w:pStyle w:val="Title"/>
        <w:numPr>
          <w:ilvl w:val="0"/>
          <w:numId w:val="40"/>
        </w:numPr>
        <w:jc w:val="both"/>
        <w:rPr>
          <w:rFonts w:asciiTheme="minorHAnsi" w:hAnsiTheme="minorHAnsi" w:cstheme="minorHAnsi"/>
          <w:b w:val="0"/>
          <w:sz w:val="20"/>
          <w:szCs w:val="20"/>
        </w:rPr>
      </w:pPr>
      <w:r w:rsidRPr="00A26080">
        <w:rPr>
          <w:rFonts w:asciiTheme="minorHAnsi" w:hAnsiTheme="minorHAnsi" w:cstheme="minorHAnsi"/>
          <w:b w:val="0"/>
          <w:sz w:val="20"/>
          <w:szCs w:val="20"/>
        </w:rPr>
        <w:t xml:space="preserve">For the collection of the </w:t>
      </w:r>
      <w:proofErr w:type="spellStart"/>
      <w:r w:rsidRPr="00A26080">
        <w:rPr>
          <w:rFonts w:asciiTheme="minorHAnsi" w:hAnsiTheme="minorHAnsi" w:cstheme="minorHAnsi"/>
          <w:b w:val="0"/>
          <w:sz w:val="20"/>
          <w:szCs w:val="20"/>
        </w:rPr>
        <w:t>fingerstick</w:t>
      </w:r>
      <w:proofErr w:type="spellEnd"/>
      <w:r w:rsidRPr="00A26080">
        <w:rPr>
          <w:rFonts w:asciiTheme="minorHAnsi" w:hAnsiTheme="minorHAnsi" w:cstheme="minorHAnsi"/>
          <w:b w:val="0"/>
          <w:sz w:val="20"/>
          <w:szCs w:val="20"/>
        </w:rPr>
        <w:t xml:space="preserve"> whole blood specimen, ensure that finger is completely dry before performing </w:t>
      </w:r>
      <w:proofErr w:type="spellStart"/>
      <w:r w:rsidRPr="00A26080">
        <w:rPr>
          <w:rFonts w:asciiTheme="minorHAnsi" w:hAnsiTheme="minorHAnsi" w:cstheme="minorHAnsi"/>
          <w:b w:val="0"/>
          <w:sz w:val="20"/>
          <w:szCs w:val="20"/>
        </w:rPr>
        <w:t>fingerstick</w:t>
      </w:r>
      <w:proofErr w:type="spellEnd"/>
      <w:r w:rsidRPr="00A26080">
        <w:rPr>
          <w:rFonts w:asciiTheme="minorHAnsi" w:hAnsiTheme="minorHAnsi" w:cstheme="minorHAnsi"/>
          <w:b w:val="0"/>
          <w:sz w:val="20"/>
          <w:szCs w:val="20"/>
        </w:rPr>
        <w:t xml:space="preserve">. </w:t>
      </w:r>
    </w:p>
    <w:p w:rsidR="00A26080" w:rsidRDefault="00A26080" w:rsidP="00A26080">
      <w:pPr>
        <w:pStyle w:val="Title"/>
        <w:numPr>
          <w:ilvl w:val="0"/>
          <w:numId w:val="40"/>
        </w:numPr>
        <w:jc w:val="both"/>
        <w:rPr>
          <w:rFonts w:asciiTheme="minorHAnsi" w:hAnsiTheme="minorHAnsi" w:cstheme="minorHAnsi"/>
          <w:b w:val="0"/>
          <w:sz w:val="20"/>
          <w:szCs w:val="20"/>
        </w:rPr>
      </w:pPr>
      <w:r w:rsidRPr="00A26080">
        <w:rPr>
          <w:rFonts w:asciiTheme="minorHAnsi" w:hAnsiTheme="minorHAnsi" w:cstheme="minorHAnsi"/>
          <w:b w:val="0"/>
          <w:sz w:val="20"/>
          <w:szCs w:val="20"/>
        </w:rPr>
        <w:lastRenderedPageBreak/>
        <w:t xml:space="preserve">Read results in a well-lit area. </w:t>
      </w:r>
    </w:p>
    <w:p w:rsidR="00A26080" w:rsidRPr="00A26080" w:rsidRDefault="00A26080" w:rsidP="00A26080">
      <w:pPr>
        <w:pStyle w:val="Title"/>
        <w:numPr>
          <w:ilvl w:val="0"/>
          <w:numId w:val="40"/>
        </w:numPr>
        <w:jc w:val="both"/>
        <w:rPr>
          <w:rFonts w:asciiTheme="minorHAnsi" w:hAnsiTheme="minorHAnsi" w:cstheme="minorHAnsi"/>
          <w:b w:val="0"/>
          <w:sz w:val="20"/>
          <w:szCs w:val="20"/>
        </w:rPr>
      </w:pPr>
      <w:r w:rsidRPr="00A26080">
        <w:rPr>
          <w:rFonts w:asciiTheme="minorHAnsi" w:hAnsiTheme="minorHAnsi" w:cstheme="minorHAnsi"/>
          <w:b w:val="0"/>
          <w:sz w:val="20"/>
          <w:szCs w:val="20"/>
        </w:rPr>
        <w:t xml:space="preserve">A Reactive Test Result using the </w:t>
      </w:r>
      <w:proofErr w:type="spellStart"/>
      <w:r w:rsidRPr="00A26080">
        <w:rPr>
          <w:rFonts w:asciiTheme="minorHAnsi" w:hAnsiTheme="minorHAnsi" w:cstheme="minorHAnsi"/>
          <w:b w:val="0"/>
          <w:sz w:val="20"/>
          <w:szCs w:val="20"/>
        </w:rPr>
        <w:t>Chembio</w:t>
      </w:r>
      <w:proofErr w:type="spellEnd"/>
      <w:r w:rsidRPr="00A26080">
        <w:rPr>
          <w:rFonts w:asciiTheme="minorHAnsi" w:hAnsiTheme="minorHAnsi" w:cstheme="minorHAnsi"/>
          <w:b w:val="0"/>
          <w:sz w:val="20"/>
          <w:szCs w:val="20"/>
        </w:rPr>
        <w:t xml:space="preserve"> HIV 1/2 STAT-PAK® test suggests the presence of antibodies to HIV-1 and/or HIV-2 in the specimen. The </w:t>
      </w:r>
      <w:proofErr w:type="spellStart"/>
      <w:r w:rsidRPr="00A26080">
        <w:rPr>
          <w:rFonts w:asciiTheme="minorHAnsi" w:hAnsiTheme="minorHAnsi" w:cstheme="minorHAnsi"/>
          <w:b w:val="0"/>
          <w:sz w:val="20"/>
          <w:szCs w:val="20"/>
        </w:rPr>
        <w:t>Chembio</w:t>
      </w:r>
      <w:proofErr w:type="spellEnd"/>
      <w:r w:rsidRPr="00A26080">
        <w:rPr>
          <w:rFonts w:asciiTheme="minorHAnsi" w:hAnsiTheme="minorHAnsi" w:cstheme="minorHAnsi"/>
          <w:b w:val="0"/>
          <w:sz w:val="20"/>
          <w:szCs w:val="20"/>
        </w:rPr>
        <w:t xml:space="preserve"> HIV 1/2 STAT-PAK® Assay is intended as an aid in the diagnosis of infection with HIV-1/2. AIDS and AIDS-related conditions are clinical syndromes and their diagnosis can only be established clinically. </w:t>
      </w:r>
    </w:p>
    <w:p w:rsidR="00A26080" w:rsidRPr="00A26080" w:rsidRDefault="00A26080" w:rsidP="00A26080">
      <w:pPr>
        <w:pStyle w:val="Title"/>
        <w:numPr>
          <w:ilvl w:val="0"/>
          <w:numId w:val="40"/>
        </w:numPr>
        <w:jc w:val="both"/>
        <w:rPr>
          <w:rFonts w:asciiTheme="minorHAnsi" w:hAnsiTheme="minorHAnsi" w:cstheme="minorHAnsi"/>
          <w:b w:val="0"/>
          <w:sz w:val="20"/>
          <w:szCs w:val="20"/>
        </w:rPr>
      </w:pPr>
      <w:r w:rsidRPr="00A26080">
        <w:rPr>
          <w:rFonts w:asciiTheme="minorHAnsi" w:hAnsiTheme="minorHAnsi" w:cstheme="minorHAnsi"/>
          <w:b w:val="0"/>
          <w:sz w:val="20"/>
          <w:szCs w:val="20"/>
        </w:rPr>
        <w:t xml:space="preserve">For a Reactive Test Result, the intensity of the test line does not necessarily correlate with the titer of antibody in the specimen. </w:t>
      </w:r>
    </w:p>
    <w:p w:rsidR="00A26080" w:rsidRPr="00A26080" w:rsidRDefault="00A26080" w:rsidP="00A26080">
      <w:pPr>
        <w:pStyle w:val="Title"/>
        <w:numPr>
          <w:ilvl w:val="0"/>
          <w:numId w:val="40"/>
        </w:numPr>
        <w:jc w:val="both"/>
        <w:rPr>
          <w:rFonts w:asciiTheme="minorHAnsi" w:hAnsiTheme="minorHAnsi" w:cstheme="minorHAnsi"/>
          <w:b w:val="0"/>
          <w:sz w:val="20"/>
          <w:szCs w:val="20"/>
        </w:rPr>
      </w:pPr>
      <w:r w:rsidRPr="00A26080">
        <w:rPr>
          <w:rFonts w:asciiTheme="minorHAnsi" w:hAnsiTheme="minorHAnsi" w:cstheme="minorHAnsi"/>
          <w:b w:val="0"/>
          <w:sz w:val="20"/>
          <w:szCs w:val="20"/>
        </w:rPr>
        <w:t xml:space="preserve">A person who has antibodies to HIV-1 or HIV-2 is presumed to be infected with the virus, except that a person who has participated in an HIV vaccine study may develop antibodies to the vaccine and may or may not be infected with HIV. </w:t>
      </w:r>
    </w:p>
    <w:p w:rsidR="00A26080" w:rsidRPr="00A26080" w:rsidRDefault="00A26080" w:rsidP="00A26080">
      <w:pPr>
        <w:pStyle w:val="Title"/>
        <w:numPr>
          <w:ilvl w:val="0"/>
          <w:numId w:val="40"/>
        </w:numPr>
        <w:jc w:val="both"/>
        <w:rPr>
          <w:rFonts w:asciiTheme="minorHAnsi" w:hAnsiTheme="minorHAnsi" w:cstheme="minorHAnsi"/>
          <w:b w:val="0"/>
          <w:sz w:val="20"/>
          <w:szCs w:val="20"/>
        </w:rPr>
      </w:pPr>
      <w:r w:rsidRPr="00A26080">
        <w:rPr>
          <w:rFonts w:asciiTheme="minorHAnsi" w:hAnsiTheme="minorHAnsi" w:cstheme="minorHAnsi"/>
          <w:b w:val="0"/>
          <w:sz w:val="20"/>
          <w:szCs w:val="20"/>
        </w:rPr>
        <w:t xml:space="preserve">A Nonreactive Test Result does not preclude the possibility of exposure to HIV or infection with HIV. An antibody response to recent exposure may take several months to reach detectable levels. </w:t>
      </w:r>
    </w:p>
    <w:p w:rsidR="00A26080" w:rsidRDefault="00A26080" w:rsidP="00A26080">
      <w:pPr>
        <w:pStyle w:val="Title"/>
        <w:numPr>
          <w:ilvl w:val="0"/>
          <w:numId w:val="40"/>
        </w:numPr>
        <w:jc w:val="both"/>
        <w:rPr>
          <w:rFonts w:asciiTheme="minorHAnsi" w:hAnsiTheme="minorHAnsi" w:cstheme="minorHAnsi"/>
          <w:b w:val="0"/>
          <w:sz w:val="20"/>
          <w:szCs w:val="20"/>
        </w:rPr>
      </w:pPr>
      <w:r w:rsidRPr="00A26080">
        <w:rPr>
          <w:rFonts w:asciiTheme="minorHAnsi" w:hAnsiTheme="minorHAnsi" w:cstheme="minorHAnsi"/>
          <w:b w:val="0"/>
          <w:sz w:val="20"/>
          <w:szCs w:val="20"/>
        </w:rPr>
        <w:t>This assay has not been evaluated for newborn screening, cord blood specimens, or individuals less than 13 years of age</w:t>
      </w:r>
      <w:r>
        <w:rPr>
          <w:rFonts w:asciiTheme="minorHAnsi" w:hAnsiTheme="minorHAnsi" w:cstheme="minorHAnsi"/>
          <w:b w:val="0"/>
          <w:sz w:val="20"/>
          <w:szCs w:val="20"/>
        </w:rPr>
        <w:t>.</w:t>
      </w:r>
    </w:p>
    <w:p w:rsidR="00A26080" w:rsidRDefault="00A26080" w:rsidP="00A26080">
      <w:pPr>
        <w:pStyle w:val="Title"/>
        <w:ind w:left="408"/>
        <w:jc w:val="both"/>
        <w:rPr>
          <w:rFonts w:asciiTheme="minorHAnsi" w:hAnsiTheme="minorHAnsi" w:cstheme="minorHAnsi"/>
          <w:b w:val="0"/>
          <w:sz w:val="20"/>
          <w:szCs w:val="20"/>
        </w:rPr>
      </w:pPr>
    </w:p>
    <w:p w:rsidR="00A26080" w:rsidRPr="00A26080" w:rsidRDefault="00A26080" w:rsidP="00A26080">
      <w:pPr>
        <w:pStyle w:val="Title"/>
        <w:ind w:left="48"/>
        <w:jc w:val="both"/>
        <w:rPr>
          <w:rFonts w:asciiTheme="minorHAnsi" w:hAnsiTheme="minorHAnsi" w:cstheme="minorHAnsi"/>
          <w:sz w:val="20"/>
          <w:szCs w:val="20"/>
          <w:u w:val="single"/>
        </w:rPr>
      </w:pPr>
      <w:r w:rsidRPr="00A26080">
        <w:rPr>
          <w:rFonts w:asciiTheme="minorHAnsi" w:hAnsiTheme="minorHAnsi" w:cstheme="minorHAnsi"/>
          <w:sz w:val="20"/>
          <w:szCs w:val="20"/>
          <w:u w:val="single"/>
        </w:rPr>
        <w:t xml:space="preserve">PERFORMANCE CHARACTERISTICS </w:t>
      </w:r>
    </w:p>
    <w:p w:rsidR="00A26080" w:rsidRDefault="00A26080" w:rsidP="00A26080">
      <w:pPr>
        <w:pStyle w:val="Title"/>
        <w:ind w:left="48"/>
        <w:jc w:val="both"/>
        <w:rPr>
          <w:rFonts w:asciiTheme="minorHAnsi" w:hAnsiTheme="minorHAnsi" w:cstheme="minorHAnsi"/>
          <w:b w:val="0"/>
          <w:sz w:val="20"/>
          <w:szCs w:val="20"/>
        </w:rPr>
      </w:pPr>
    </w:p>
    <w:p w:rsidR="00A26080" w:rsidRDefault="00A26080" w:rsidP="00A26080">
      <w:pPr>
        <w:pStyle w:val="Title"/>
        <w:ind w:left="48"/>
        <w:jc w:val="both"/>
        <w:rPr>
          <w:rFonts w:asciiTheme="minorHAnsi" w:hAnsiTheme="minorHAnsi" w:cstheme="minorHAnsi"/>
          <w:b w:val="0"/>
          <w:sz w:val="20"/>
          <w:szCs w:val="20"/>
        </w:rPr>
      </w:pPr>
      <w:r w:rsidRPr="00A26080">
        <w:rPr>
          <w:rFonts w:asciiTheme="minorHAnsi" w:hAnsiTheme="minorHAnsi" w:cstheme="minorHAnsi"/>
          <w:b w:val="0"/>
          <w:sz w:val="20"/>
          <w:szCs w:val="20"/>
        </w:rPr>
        <w:t xml:space="preserve">The </w:t>
      </w:r>
      <w:proofErr w:type="spellStart"/>
      <w:r w:rsidRPr="00A26080">
        <w:rPr>
          <w:rFonts w:asciiTheme="minorHAnsi" w:hAnsiTheme="minorHAnsi" w:cstheme="minorHAnsi"/>
          <w:b w:val="0"/>
          <w:sz w:val="20"/>
          <w:szCs w:val="20"/>
        </w:rPr>
        <w:t>Chembio</w:t>
      </w:r>
      <w:proofErr w:type="spellEnd"/>
      <w:r w:rsidRPr="00A26080">
        <w:rPr>
          <w:rFonts w:asciiTheme="minorHAnsi" w:hAnsiTheme="minorHAnsi" w:cstheme="minorHAnsi"/>
          <w:b w:val="0"/>
          <w:sz w:val="20"/>
          <w:szCs w:val="20"/>
        </w:rPr>
        <w:t xml:space="preserve"> HIV 1/2 STAT-PAK® Assay was evaluated in prospective clinical studies at four geographically distinct sites. The specimens were tested from three groups of individuals: Known infected with HIV-1, at high risk for infection with HIV-1, and at low risk for infection with HIV-1. The </w:t>
      </w:r>
      <w:proofErr w:type="spellStart"/>
      <w:r w:rsidRPr="00A26080">
        <w:rPr>
          <w:rFonts w:asciiTheme="minorHAnsi" w:hAnsiTheme="minorHAnsi" w:cstheme="minorHAnsi"/>
          <w:b w:val="0"/>
          <w:sz w:val="20"/>
          <w:szCs w:val="20"/>
        </w:rPr>
        <w:t>Chembio</w:t>
      </w:r>
      <w:proofErr w:type="spellEnd"/>
      <w:r w:rsidRPr="00A26080">
        <w:rPr>
          <w:rFonts w:asciiTheme="minorHAnsi" w:hAnsiTheme="minorHAnsi" w:cstheme="minorHAnsi"/>
          <w:b w:val="0"/>
          <w:sz w:val="20"/>
          <w:szCs w:val="20"/>
        </w:rPr>
        <w:t xml:space="preserve"> HIV 1/2 STAT-PAK® Assay was tested in parallel on </w:t>
      </w:r>
      <w:proofErr w:type="spellStart"/>
      <w:r w:rsidRPr="00A26080">
        <w:rPr>
          <w:rFonts w:asciiTheme="minorHAnsi" w:hAnsiTheme="minorHAnsi" w:cstheme="minorHAnsi"/>
          <w:b w:val="0"/>
          <w:sz w:val="20"/>
          <w:szCs w:val="20"/>
        </w:rPr>
        <w:t>fingerstick</w:t>
      </w:r>
      <w:proofErr w:type="spellEnd"/>
      <w:r w:rsidRPr="00A26080">
        <w:rPr>
          <w:rFonts w:asciiTheme="minorHAnsi" w:hAnsiTheme="minorHAnsi" w:cstheme="minorHAnsi"/>
          <w:b w:val="0"/>
          <w:sz w:val="20"/>
          <w:szCs w:val="20"/>
        </w:rPr>
        <w:t xml:space="preserve"> whole blood, venous whole blood, </w:t>
      </w:r>
      <w:proofErr w:type="gramStart"/>
      <w:r w:rsidRPr="00A26080">
        <w:rPr>
          <w:rFonts w:asciiTheme="minorHAnsi" w:hAnsiTheme="minorHAnsi" w:cstheme="minorHAnsi"/>
          <w:b w:val="0"/>
          <w:sz w:val="20"/>
          <w:szCs w:val="20"/>
        </w:rPr>
        <w:t>serum</w:t>
      </w:r>
      <w:proofErr w:type="gramEnd"/>
      <w:r w:rsidRPr="00A26080">
        <w:rPr>
          <w:rFonts w:asciiTheme="minorHAnsi" w:hAnsiTheme="minorHAnsi" w:cstheme="minorHAnsi"/>
          <w:b w:val="0"/>
          <w:sz w:val="20"/>
          <w:szCs w:val="20"/>
        </w:rPr>
        <w:t xml:space="preserve"> and plasma specimen matrices. No discordant result was obtained from all specimen matrices. The serum/plasma specimens from study subjects were also tested using a licensed Enzyme Immunoassay (EIA). Specimens with discordant results were further tested using licensed Western Blot and/or FDA approved NAT assay. </w:t>
      </w:r>
    </w:p>
    <w:p w:rsidR="00A26080" w:rsidRDefault="00A26080" w:rsidP="00A26080">
      <w:pPr>
        <w:pStyle w:val="Title"/>
        <w:ind w:left="48"/>
        <w:jc w:val="both"/>
        <w:rPr>
          <w:rFonts w:asciiTheme="minorHAnsi" w:hAnsiTheme="minorHAnsi" w:cstheme="minorHAnsi"/>
          <w:b w:val="0"/>
          <w:sz w:val="20"/>
          <w:szCs w:val="20"/>
        </w:rPr>
      </w:pPr>
    </w:p>
    <w:p w:rsidR="00A26080" w:rsidRPr="00A26080" w:rsidRDefault="00A26080" w:rsidP="00A26080">
      <w:pPr>
        <w:pStyle w:val="Title"/>
        <w:ind w:left="48"/>
        <w:jc w:val="both"/>
        <w:rPr>
          <w:rFonts w:asciiTheme="minorHAnsi" w:hAnsiTheme="minorHAnsi" w:cstheme="minorHAnsi"/>
          <w:sz w:val="20"/>
          <w:szCs w:val="20"/>
          <w:u w:val="single"/>
        </w:rPr>
      </w:pPr>
      <w:r w:rsidRPr="00A26080">
        <w:rPr>
          <w:rFonts w:asciiTheme="minorHAnsi" w:hAnsiTheme="minorHAnsi" w:cstheme="minorHAnsi"/>
          <w:sz w:val="20"/>
          <w:szCs w:val="20"/>
          <w:u w:val="single"/>
        </w:rPr>
        <w:t xml:space="preserve">SENSITIVITY </w:t>
      </w:r>
    </w:p>
    <w:p w:rsidR="00A26080" w:rsidRDefault="00A26080" w:rsidP="00A26080">
      <w:pPr>
        <w:pStyle w:val="Title"/>
        <w:ind w:left="48"/>
        <w:jc w:val="both"/>
        <w:rPr>
          <w:rFonts w:asciiTheme="minorHAnsi" w:hAnsiTheme="minorHAnsi" w:cstheme="minorHAnsi"/>
          <w:b w:val="0"/>
          <w:sz w:val="20"/>
          <w:szCs w:val="20"/>
        </w:rPr>
      </w:pPr>
    </w:p>
    <w:p w:rsidR="00A26080" w:rsidRDefault="00A26080" w:rsidP="00A26080">
      <w:pPr>
        <w:pStyle w:val="Title"/>
        <w:ind w:left="48"/>
        <w:jc w:val="both"/>
        <w:rPr>
          <w:rFonts w:asciiTheme="minorHAnsi" w:hAnsiTheme="minorHAnsi" w:cstheme="minorHAnsi"/>
          <w:b w:val="0"/>
          <w:sz w:val="20"/>
          <w:szCs w:val="20"/>
        </w:rPr>
      </w:pPr>
      <w:r w:rsidRPr="00A26080">
        <w:rPr>
          <w:rFonts w:asciiTheme="minorHAnsi" w:hAnsiTheme="minorHAnsi" w:cstheme="minorHAnsi"/>
          <w:b w:val="0"/>
          <w:sz w:val="20"/>
          <w:szCs w:val="20"/>
        </w:rPr>
        <w:t xml:space="preserve">The sensitivity of the </w:t>
      </w:r>
      <w:proofErr w:type="spellStart"/>
      <w:r w:rsidRPr="00A26080">
        <w:rPr>
          <w:rFonts w:asciiTheme="minorHAnsi" w:hAnsiTheme="minorHAnsi" w:cstheme="minorHAnsi"/>
          <w:b w:val="0"/>
          <w:sz w:val="20"/>
          <w:szCs w:val="20"/>
        </w:rPr>
        <w:t>Chembio</w:t>
      </w:r>
      <w:proofErr w:type="spellEnd"/>
      <w:r w:rsidRPr="00A26080">
        <w:rPr>
          <w:rFonts w:asciiTheme="minorHAnsi" w:hAnsiTheme="minorHAnsi" w:cstheme="minorHAnsi"/>
          <w:b w:val="0"/>
          <w:sz w:val="20"/>
          <w:szCs w:val="20"/>
        </w:rPr>
        <w:t xml:space="preserve"> HIV 1/2 STAT-PAK® Assay to detect infection with HIV-1 was evaluated using 613 specimens from individuals known to be infected with HIV-1 and from 776 individuals at high risk for infection with HIV-1 (Table 1). 647 individuals were identified as positive for infection with HIV-1 using a licensed confirmatory Assay, and/or FDA approved NAT assay. Of these, 645 tested reactive on the </w:t>
      </w:r>
      <w:proofErr w:type="spellStart"/>
      <w:r w:rsidRPr="00A26080">
        <w:rPr>
          <w:rFonts w:asciiTheme="minorHAnsi" w:hAnsiTheme="minorHAnsi" w:cstheme="minorHAnsi"/>
          <w:b w:val="0"/>
          <w:sz w:val="20"/>
          <w:szCs w:val="20"/>
        </w:rPr>
        <w:t>Chembio</w:t>
      </w:r>
      <w:proofErr w:type="spellEnd"/>
      <w:r w:rsidRPr="00A26080">
        <w:rPr>
          <w:rFonts w:asciiTheme="minorHAnsi" w:hAnsiTheme="minorHAnsi" w:cstheme="minorHAnsi"/>
          <w:b w:val="0"/>
          <w:sz w:val="20"/>
          <w:szCs w:val="20"/>
        </w:rPr>
        <w:t xml:space="preserve"> HIV 1/2 STAT-PAK® Assay. The calculated sensitivity of </w:t>
      </w:r>
      <w:proofErr w:type="spellStart"/>
      <w:r w:rsidRPr="00A26080">
        <w:rPr>
          <w:rFonts w:asciiTheme="minorHAnsi" w:hAnsiTheme="minorHAnsi" w:cstheme="minorHAnsi"/>
          <w:b w:val="0"/>
          <w:sz w:val="20"/>
          <w:szCs w:val="20"/>
        </w:rPr>
        <w:t>Chembio</w:t>
      </w:r>
      <w:proofErr w:type="spellEnd"/>
      <w:r w:rsidRPr="00A26080">
        <w:rPr>
          <w:rFonts w:asciiTheme="minorHAnsi" w:hAnsiTheme="minorHAnsi" w:cstheme="minorHAnsi"/>
          <w:b w:val="0"/>
          <w:sz w:val="20"/>
          <w:szCs w:val="20"/>
        </w:rPr>
        <w:t xml:space="preserve"> HIV 1/2 STAT-PAK® assay in these studies was 99.7% (645/647 = 99.7% with 95% CI = 98.9% - 100%). </w:t>
      </w:r>
      <w:r>
        <w:rPr>
          <w:rFonts w:asciiTheme="minorHAnsi" w:hAnsiTheme="minorHAnsi" w:cstheme="minorHAnsi"/>
          <w:b w:val="0"/>
          <w:sz w:val="20"/>
          <w:szCs w:val="20"/>
        </w:rPr>
        <w:t xml:space="preserve"> (</w:t>
      </w:r>
      <w:proofErr w:type="gramStart"/>
      <w:r>
        <w:rPr>
          <w:rFonts w:asciiTheme="minorHAnsi" w:hAnsiTheme="minorHAnsi" w:cstheme="minorHAnsi"/>
          <w:b w:val="0"/>
          <w:sz w:val="20"/>
          <w:szCs w:val="20"/>
        </w:rPr>
        <w:t>see</w:t>
      </w:r>
      <w:proofErr w:type="gramEnd"/>
      <w:r>
        <w:rPr>
          <w:rFonts w:asciiTheme="minorHAnsi" w:hAnsiTheme="minorHAnsi" w:cstheme="minorHAnsi"/>
          <w:b w:val="0"/>
          <w:sz w:val="20"/>
          <w:szCs w:val="20"/>
        </w:rPr>
        <w:t xml:space="preserve"> package insert) </w:t>
      </w:r>
    </w:p>
    <w:p w:rsidR="00A26080" w:rsidRPr="00A13B41" w:rsidRDefault="00A26080" w:rsidP="00A26080">
      <w:pPr>
        <w:pStyle w:val="Title"/>
        <w:ind w:left="48"/>
        <w:jc w:val="both"/>
        <w:rPr>
          <w:rFonts w:asciiTheme="minorHAnsi" w:hAnsiTheme="minorHAnsi" w:cstheme="minorHAnsi"/>
          <w:sz w:val="20"/>
          <w:szCs w:val="20"/>
          <w:u w:val="single"/>
        </w:rPr>
      </w:pPr>
    </w:p>
    <w:p w:rsidR="00A13B41" w:rsidRPr="00A13B41" w:rsidRDefault="00A26080" w:rsidP="00A26080">
      <w:pPr>
        <w:pStyle w:val="Title"/>
        <w:ind w:left="48"/>
        <w:jc w:val="both"/>
        <w:rPr>
          <w:rFonts w:asciiTheme="minorHAnsi" w:hAnsiTheme="minorHAnsi" w:cstheme="minorHAnsi"/>
          <w:sz w:val="20"/>
          <w:szCs w:val="20"/>
          <w:u w:val="single"/>
        </w:rPr>
      </w:pPr>
      <w:r w:rsidRPr="00A13B41">
        <w:rPr>
          <w:rFonts w:asciiTheme="minorHAnsi" w:hAnsiTheme="minorHAnsi" w:cstheme="minorHAnsi"/>
          <w:sz w:val="20"/>
          <w:szCs w:val="20"/>
          <w:u w:val="single"/>
        </w:rPr>
        <w:t xml:space="preserve">SPECIFICITY </w:t>
      </w:r>
    </w:p>
    <w:p w:rsidR="00A13B41" w:rsidRPr="00A13B41" w:rsidRDefault="00A13B41" w:rsidP="00A26080">
      <w:pPr>
        <w:pStyle w:val="Title"/>
        <w:ind w:left="48"/>
        <w:jc w:val="both"/>
        <w:rPr>
          <w:rFonts w:asciiTheme="minorHAnsi" w:hAnsiTheme="minorHAnsi" w:cstheme="minorHAnsi"/>
          <w:b w:val="0"/>
          <w:sz w:val="20"/>
          <w:szCs w:val="20"/>
        </w:rPr>
      </w:pPr>
    </w:p>
    <w:p w:rsidR="00A26080" w:rsidRDefault="00A26080" w:rsidP="00A26080">
      <w:pPr>
        <w:pStyle w:val="Title"/>
        <w:ind w:left="48"/>
        <w:jc w:val="both"/>
        <w:rPr>
          <w:rFonts w:asciiTheme="minorHAnsi" w:hAnsiTheme="minorHAnsi" w:cstheme="minorHAnsi"/>
          <w:b w:val="0"/>
          <w:sz w:val="20"/>
          <w:szCs w:val="20"/>
        </w:rPr>
      </w:pPr>
      <w:r w:rsidRPr="00A13B41">
        <w:rPr>
          <w:rFonts w:asciiTheme="minorHAnsi" w:hAnsiTheme="minorHAnsi" w:cstheme="minorHAnsi"/>
          <w:b w:val="0"/>
          <w:sz w:val="20"/>
          <w:szCs w:val="20"/>
        </w:rPr>
        <w:t xml:space="preserve">The specificity of </w:t>
      </w:r>
      <w:proofErr w:type="spellStart"/>
      <w:r w:rsidRPr="00A13B41">
        <w:rPr>
          <w:rFonts w:asciiTheme="minorHAnsi" w:hAnsiTheme="minorHAnsi" w:cstheme="minorHAnsi"/>
          <w:b w:val="0"/>
          <w:sz w:val="20"/>
          <w:szCs w:val="20"/>
        </w:rPr>
        <w:t>Chembio</w:t>
      </w:r>
      <w:proofErr w:type="spellEnd"/>
      <w:r w:rsidRPr="00A13B41">
        <w:rPr>
          <w:rFonts w:asciiTheme="minorHAnsi" w:hAnsiTheme="minorHAnsi" w:cstheme="minorHAnsi"/>
          <w:b w:val="0"/>
          <w:sz w:val="20"/>
          <w:szCs w:val="20"/>
        </w:rPr>
        <w:t xml:space="preserve"> HIV 1/2 STAT-PAK® Assay was evaluated by testing specimens from low risk and high risk populations for infection with HIV-1 from three clinical study sites. The results are summarized in Table 6</w:t>
      </w:r>
      <w:r w:rsidR="00A13B41">
        <w:rPr>
          <w:rFonts w:asciiTheme="minorHAnsi" w:hAnsiTheme="minorHAnsi" w:cstheme="minorHAnsi"/>
          <w:b w:val="0"/>
          <w:sz w:val="20"/>
          <w:szCs w:val="20"/>
        </w:rPr>
        <w:t>. (</w:t>
      </w:r>
      <w:proofErr w:type="gramStart"/>
      <w:r w:rsidR="00A13B41">
        <w:rPr>
          <w:rFonts w:asciiTheme="minorHAnsi" w:hAnsiTheme="minorHAnsi" w:cstheme="minorHAnsi"/>
          <w:b w:val="0"/>
          <w:sz w:val="20"/>
          <w:szCs w:val="20"/>
        </w:rPr>
        <w:t>see</w:t>
      </w:r>
      <w:proofErr w:type="gramEnd"/>
      <w:r w:rsidR="00A13B41">
        <w:rPr>
          <w:rFonts w:asciiTheme="minorHAnsi" w:hAnsiTheme="minorHAnsi" w:cstheme="minorHAnsi"/>
          <w:b w:val="0"/>
          <w:sz w:val="20"/>
          <w:szCs w:val="20"/>
        </w:rPr>
        <w:t xml:space="preserve"> package insert) </w:t>
      </w:r>
    </w:p>
    <w:p w:rsidR="00A13B41" w:rsidRDefault="00A13B41" w:rsidP="00A26080">
      <w:pPr>
        <w:pStyle w:val="Title"/>
        <w:ind w:left="48"/>
        <w:jc w:val="both"/>
        <w:rPr>
          <w:rFonts w:asciiTheme="minorHAnsi" w:hAnsiTheme="minorHAnsi" w:cstheme="minorHAnsi"/>
          <w:b w:val="0"/>
          <w:sz w:val="20"/>
          <w:szCs w:val="20"/>
        </w:rPr>
      </w:pPr>
    </w:p>
    <w:p w:rsidR="00A13B41" w:rsidRPr="00A13B41" w:rsidRDefault="00A13B41" w:rsidP="00A26080">
      <w:pPr>
        <w:pStyle w:val="Title"/>
        <w:ind w:left="48"/>
        <w:jc w:val="both"/>
        <w:rPr>
          <w:rFonts w:asciiTheme="minorHAnsi" w:hAnsiTheme="minorHAnsi" w:cstheme="minorHAnsi"/>
          <w:sz w:val="20"/>
          <w:szCs w:val="20"/>
          <w:u w:val="single"/>
        </w:rPr>
      </w:pPr>
      <w:r w:rsidRPr="00A13B41">
        <w:rPr>
          <w:rFonts w:asciiTheme="minorHAnsi" w:hAnsiTheme="minorHAnsi" w:cstheme="minorHAnsi"/>
          <w:sz w:val="20"/>
          <w:szCs w:val="20"/>
          <w:u w:val="single"/>
        </w:rPr>
        <w:t>EFFECT OF POTENTIALLY INTERFERING SUBSTANCES AND UNRELATED MEDICAL CONDITIONS</w:t>
      </w:r>
    </w:p>
    <w:p w:rsidR="00A13B41" w:rsidRDefault="00A13B41" w:rsidP="00A26080">
      <w:pPr>
        <w:pStyle w:val="Title"/>
        <w:ind w:left="48"/>
        <w:jc w:val="both"/>
        <w:rPr>
          <w:rFonts w:asciiTheme="minorHAnsi" w:hAnsiTheme="minorHAnsi" w:cstheme="minorHAnsi"/>
          <w:b w:val="0"/>
          <w:sz w:val="20"/>
          <w:szCs w:val="20"/>
        </w:rPr>
      </w:pPr>
    </w:p>
    <w:p w:rsidR="00A13B41" w:rsidRDefault="00A13B41" w:rsidP="00A26080">
      <w:pPr>
        <w:pStyle w:val="Title"/>
        <w:ind w:left="48"/>
        <w:jc w:val="both"/>
        <w:rPr>
          <w:rFonts w:asciiTheme="minorHAnsi" w:hAnsiTheme="minorHAnsi" w:cstheme="minorHAnsi"/>
          <w:b w:val="0"/>
          <w:sz w:val="20"/>
          <w:szCs w:val="20"/>
        </w:rPr>
      </w:pPr>
      <w:r w:rsidRPr="00A13B41">
        <w:rPr>
          <w:rFonts w:asciiTheme="minorHAnsi" w:hAnsiTheme="minorHAnsi" w:cstheme="minorHAnsi"/>
          <w:b w:val="0"/>
          <w:sz w:val="20"/>
          <w:szCs w:val="20"/>
        </w:rPr>
        <w:t xml:space="preserve">To evaluate the influence of unrelated medical conditions or interfering substances on the specificity and sensitivity of the </w:t>
      </w:r>
      <w:proofErr w:type="spellStart"/>
      <w:r w:rsidRPr="00A13B41">
        <w:rPr>
          <w:rFonts w:asciiTheme="minorHAnsi" w:hAnsiTheme="minorHAnsi" w:cstheme="minorHAnsi"/>
          <w:b w:val="0"/>
          <w:sz w:val="20"/>
          <w:szCs w:val="20"/>
        </w:rPr>
        <w:t>Chembio</w:t>
      </w:r>
      <w:proofErr w:type="spellEnd"/>
      <w:r w:rsidRPr="00A13B41">
        <w:rPr>
          <w:rFonts w:asciiTheme="minorHAnsi" w:hAnsiTheme="minorHAnsi" w:cstheme="minorHAnsi"/>
          <w:b w:val="0"/>
          <w:sz w:val="20"/>
          <w:szCs w:val="20"/>
        </w:rPr>
        <w:t xml:space="preserve"> HIV 1/2 STAT-PAK® Assay, 208 specimens representing unrelated medical conditions, and 110 specimens representing potential interfering substances were tested (Table 7). The specimens were spiked with either saline (Nonreactive) or an HIV-1 reactive serum specimen to a low level of reactivity. All HIV-1 spiked specimens gave reactive results while all </w:t>
      </w:r>
      <w:proofErr w:type="spellStart"/>
      <w:r w:rsidRPr="00A13B41">
        <w:rPr>
          <w:rFonts w:asciiTheme="minorHAnsi" w:hAnsiTheme="minorHAnsi" w:cstheme="minorHAnsi"/>
          <w:b w:val="0"/>
          <w:sz w:val="20"/>
          <w:szCs w:val="20"/>
        </w:rPr>
        <w:t>unspiked</w:t>
      </w:r>
      <w:proofErr w:type="spellEnd"/>
      <w:r w:rsidRPr="00A13B41">
        <w:rPr>
          <w:rFonts w:asciiTheme="minorHAnsi" w:hAnsiTheme="minorHAnsi" w:cstheme="minorHAnsi"/>
          <w:b w:val="0"/>
          <w:sz w:val="20"/>
          <w:szCs w:val="20"/>
        </w:rPr>
        <w:t xml:space="preserve"> samples, with the exception of one elevated albumin specimen and 14 syphilis specimens, gave nonreactive results. The one elevated albumin specimen and all of the 14 </w:t>
      </w:r>
      <w:proofErr w:type="spellStart"/>
      <w:r w:rsidRPr="00A13B41">
        <w:rPr>
          <w:rFonts w:asciiTheme="minorHAnsi" w:hAnsiTheme="minorHAnsi" w:cstheme="minorHAnsi"/>
          <w:b w:val="0"/>
          <w:sz w:val="20"/>
          <w:szCs w:val="20"/>
        </w:rPr>
        <w:t>unspiked</w:t>
      </w:r>
      <w:proofErr w:type="spellEnd"/>
      <w:r w:rsidRPr="00A13B41">
        <w:rPr>
          <w:rFonts w:asciiTheme="minorHAnsi" w:hAnsiTheme="minorHAnsi" w:cstheme="minorHAnsi"/>
          <w:b w:val="0"/>
          <w:sz w:val="20"/>
          <w:szCs w:val="20"/>
        </w:rPr>
        <w:t xml:space="preserve"> syphilis specimens with reactive results were subsequently confirmed as infected with HIV-1 using a licensed Western Blot assay. An additional ten known HIV-1 nonreactive, syphilis reactive specimens were tested and yielded expected results</w:t>
      </w:r>
      <w:r w:rsidRPr="00A13B41">
        <w:rPr>
          <w:rFonts w:asciiTheme="minorHAnsi" w:hAnsiTheme="minorHAnsi" w:cstheme="minorHAnsi"/>
          <w:b w:val="0"/>
          <w:sz w:val="20"/>
          <w:szCs w:val="20"/>
        </w:rPr>
        <w:t>.</w:t>
      </w:r>
      <w:r>
        <w:rPr>
          <w:rFonts w:asciiTheme="minorHAnsi" w:hAnsiTheme="minorHAnsi" w:cstheme="minorHAnsi"/>
          <w:b w:val="0"/>
          <w:sz w:val="20"/>
          <w:szCs w:val="20"/>
        </w:rPr>
        <w:t xml:space="preserve"> (</w:t>
      </w:r>
      <w:proofErr w:type="gramStart"/>
      <w:r>
        <w:rPr>
          <w:rFonts w:asciiTheme="minorHAnsi" w:hAnsiTheme="minorHAnsi" w:cstheme="minorHAnsi"/>
          <w:b w:val="0"/>
          <w:sz w:val="20"/>
          <w:szCs w:val="20"/>
        </w:rPr>
        <w:t>see</w:t>
      </w:r>
      <w:proofErr w:type="gramEnd"/>
      <w:r>
        <w:rPr>
          <w:rFonts w:asciiTheme="minorHAnsi" w:hAnsiTheme="minorHAnsi" w:cstheme="minorHAnsi"/>
          <w:b w:val="0"/>
          <w:sz w:val="20"/>
          <w:szCs w:val="20"/>
        </w:rPr>
        <w:t xml:space="preserve"> package insert) </w:t>
      </w:r>
    </w:p>
    <w:p w:rsidR="00A13B41" w:rsidRDefault="00A13B41" w:rsidP="00A26080">
      <w:pPr>
        <w:pStyle w:val="Title"/>
        <w:ind w:left="48"/>
        <w:jc w:val="both"/>
        <w:rPr>
          <w:rFonts w:asciiTheme="minorHAnsi" w:hAnsiTheme="minorHAnsi" w:cstheme="minorHAnsi"/>
          <w:b w:val="0"/>
          <w:sz w:val="20"/>
          <w:szCs w:val="20"/>
        </w:rPr>
      </w:pPr>
    </w:p>
    <w:p w:rsidR="00A13B41" w:rsidRDefault="00A13B41" w:rsidP="00A26080">
      <w:pPr>
        <w:pStyle w:val="Title"/>
        <w:ind w:left="48"/>
        <w:jc w:val="both"/>
        <w:rPr>
          <w:rFonts w:asciiTheme="minorHAnsi" w:hAnsiTheme="minorHAnsi" w:cstheme="minorHAnsi"/>
          <w:b w:val="0"/>
          <w:sz w:val="20"/>
          <w:szCs w:val="20"/>
        </w:rPr>
      </w:pPr>
    </w:p>
    <w:p w:rsidR="00A13B41" w:rsidRPr="00A13B41" w:rsidRDefault="00A13B41" w:rsidP="00A26080">
      <w:pPr>
        <w:pStyle w:val="Title"/>
        <w:ind w:left="48"/>
        <w:jc w:val="both"/>
        <w:rPr>
          <w:rFonts w:asciiTheme="minorHAnsi" w:hAnsiTheme="minorHAnsi" w:cstheme="minorHAnsi"/>
          <w:sz w:val="20"/>
          <w:szCs w:val="20"/>
          <w:u w:val="single"/>
        </w:rPr>
      </w:pPr>
      <w:r w:rsidRPr="00A13B41">
        <w:rPr>
          <w:rFonts w:asciiTheme="minorHAnsi" w:hAnsiTheme="minorHAnsi" w:cstheme="minorHAnsi"/>
          <w:sz w:val="20"/>
          <w:szCs w:val="20"/>
          <w:u w:val="single"/>
        </w:rPr>
        <w:lastRenderedPageBreak/>
        <w:t>REFERENCES</w:t>
      </w:r>
    </w:p>
    <w:p w:rsidR="00A13B41" w:rsidRPr="00A13B41" w:rsidRDefault="00A13B41" w:rsidP="00A13B41">
      <w:pPr>
        <w:pStyle w:val="Title"/>
        <w:numPr>
          <w:ilvl w:val="0"/>
          <w:numId w:val="42"/>
        </w:numPr>
        <w:jc w:val="both"/>
        <w:rPr>
          <w:rFonts w:asciiTheme="minorHAnsi" w:hAnsiTheme="minorHAnsi" w:cstheme="minorHAnsi"/>
          <w:b w:val="0"/>
          <w:sz w:val="20"/>
          <w:szCs w:val="20"/>
        </w:rPr>
      </w:pPr>
      <w:r w:rsidRPr="00A13B41">
        <w:rPr>
          <w:rFonts w:asciiTheme="minorHAnsi" w:hAnsiTheme="minorHAnsi" w:cstheme="minorHAnsi"/>
          <w:b w:val="0"/>
          <w:sz w:val="20"/>
          <w:szCs w:val="20"/>
        </w:rPr>
        <w:t xml:space="preserve">Centers for Disease Control and Prevention (CDC) Universal Precautions for prevention of transmission of human immunodeficiency virus, hepatitis B virus, and other </w:t>
      </w:r>
      <w:proofErr w:type="spellStart"/>
      <w:r w:rsidRPr="00A13B41">
        <w:rPr>
          <w:rFonts w:asciiTheme="minorHAnsi" w:hAnsiTheme="minorHAnsi" w:cstheme="minorHAnsi"/>
          <w:b w:val="0"/>
          <w:sz w:val="20"/>
          <w:szCs w:val="20"/>
        </w:rPr>
        <w:t>bloodborne</w:t>
      </w:r>
      <w:proofErr w:type="spellEnd"/>
      <w:r w:rsidRPr="00A13B41">
        <w:rPr>
          <w:rFonts w:asciiTheme="minorHAnsi" w:hAnsiTheme="minorHAnsi" w:cstheme="minorHAnsi"/>
          <w:b w:val="0"/>
          <w:sz w:val="20"/>
          <w:szCs w:val="20"/>
        </w:rPr>
        <w:t xml:space="preserve"> pathogens in health-care settings. MMWR 1988; 37(24):377-388. </w:t>
      </w:r>
    </w:p>
    <w:p w:rsidR="00A13B41" w:rsidRPr="00A13B41" w:rsidRDefault="00A13B41" w:rsidP="00A13B41">
      <w:pPr>
        <w:pStyle w:val="Title"/>
        <w:numPr>
          <w:ilvl w:val="0"/>
          <w:numId w:val="42"/>
        </w:numPr>
        <w:jc w:val="both"/>
        <w:rPr>
          <w:rFonts w:asciiTheme="minorHAnsi" w:hAnsiTheme="minorHAnsi" w:cstheme="minorHAnsi"/>
          <w:b w:val="0"/>
          <w:sz w:val="20"/>
          <w:szCs w:val="20"/>
        </w:rPr>
      </w:pPr>
      <w:r w:rsidRPr="00A13B41">
        <w:rPr>
          <w:rFonts w:asciiTheme="minorHAnsi" w:hAnsiTheme="minorHAnsi" w:cstheme="minorHAnsi"/>
          <w:b w:val="0"/>
          <w:sz w:val="20"/>
          <w:szCs w:val="20"/>
        </w:rPr>
        <w:t xml:space="preserve">Essex, M. (1999) Human immunodeficiency viruses in the developing world. </w:t>
      </w:r>
      <w:proofErr w:type="spellStart"/>
      <w:r w:rsidRPr="00A13B41">
        <w:rPr>
          <w:rFonts w:asciiTheme="minorHAnsi" w:hAnsiTheme="minorHAnsi" w:cstheme="minorHAnsi"/>
          <w:b w:val="0"/>
          <w:sz w:val="20"/>
          <w:szCs w:val="20"/>
        </w:rPr>
        <w:t>Adv</w:t>
      </w:r>
      <w:proofErr w:type="spellEnd"/>
      <w:r w:rsidRPr="00A13B41">
        <w:rPr>
          <w:rFonts w:asciiTheme="minorHAnsi" w:hAnsiTheme="minorHAnsi" w:cstheme="minorHAnsi"/>
          <w:b w:val="0"/>
          <w:sz w:val="20"/>
          <w:szCs w:val="20"/>
        </w:rPr>
        <w:t xml:space="preserve"> Virus Res </w:t>
      </w:r>
      <w:proofErr w:type="gramStart"/>
      <w:r w:rsidRPr="00A13B41">
        <w:rPr>
          <w:rFonts w:asciiTheme="minorHAnsi" w:hAnsiTheme="minorHAnsi" w:cstheme="minorHAnsi"/>
          <w:b w:val="0"/>
          <w:sz w:val="20"/>
          <w:szCs w:val="20"/>
        </w:rPr>
        <w:t>53 :</w:t>
      </w:r>
      <w:proofErr w:type="gramEnd"/>
      <w:r w:rsidRPr="00A13B41">
        <w:rPr>
          <w:rFonts w:asciiTheme="minorHAnsi" w:hAnsiTheme="minorHAnsi" w:cstheme="minorHAnsi"/>
          <w:b w:val="0"/>
          <w:sz w:val="20"/>
          <w:szCs w:val="20"/>
        </w:rPr>
        <w:t xml:space="preserve"> 71-88. </w:t>
      </w:r>
    </w:p>
    <w:p w:rsidR="00A13B41" w:rsidRPr="00A13B41" w:rsidRDefault="00A13B41" w:rsidP="00A13B41">
      <w:pPr>
        <w:pStyle w:val="Title"/>
        <w:numPr>
          <w:ilvl w:val="0"/>
          <w:numId w:val="42"/>
        </w:numPr>
        <w:jc w:val="both"/>
        <w:rPr>
          <w:rFonts w:asciiTheme="minorHAnsi" w:hAnsiTheme="minorHAnsi" w:cstheme="minorHAnsi"/>
          <w:b w:val="0"/>
          <w:sz w:val="20"/>
          <w:szCs w:val="20"/>
        </w:rPr>
      </w:pPr>
      <w:proofErr w:type="spellStart"/>
      <w:r w:rsidRPr="00A13B41">
        <w:rPr>
          <w:rFonts w:asciiTheme="minorHAnsi" w:hAnsiTheme="minorHAnsi" w:cstheme="minorHAnsi"/>
          <w:b w:val="0"/>
          <w:sz w:val="20"/>
          <w:szCs w:val="20"/>
        </w:rPr>
        <w:t>Kanki</w:t>
      </w:r>
      <w:proofErr w:type="spellEnd"/>
      <w:r w:rsidRPr="00A13B41">
        <w:rPr>
          <w:rFonts w:asciiTheme="minorHAnsi" w:hAnsiTheme="minorHAnsi" w:cstheme="minorHAnsi"/>
          <w:b w:val="0"/>
          <w:sz w:val="20"/>
          <w:szCs w:val="20"/>
        </w:rPr>
        <w:t xml:space="preserve">, P.J., Hopper, J.R. and Essex, M. (1987) </w:t>
      </w:r>
      <w:proofErr w:type="gramStart"/>
      <w:r w:rsidRPr="00A13B41">
        <w:rPr>
          <w:rFonts w:asciiTheme="minorHAnsi" w:hAnsiTheme="minorHAnsi" w:cstheme="minorHAnsi"/>
          <w:b w:val="0"/>
          <w:sz w:val="20"/>
          <w:szCs w:val="20"/>
        </w:rPr>
        <w:t>The</w:t>
      </w:r>
      <w:proofErr w:type="gramEnd"/>
      <w:r w:rsidRPr="00A13B41">
        <w:rPr>
          <w:rFonts w:asciiTheme="minorHAnsi" w:hAnsiTheme="minorHAnsi" w:cstheme="minorHAnsi"/>
          <w:b w:val="0"/>
          <w:sz w:val="20"/>
          <w:szCs w:val="20"/>
        </w:rPr>
        <w:t xml:space="preserve"> origins of HIV-1 and HTLV-4/HIV/2. Ann N Y </w:t>
      </w:r>
      <w:proofErr w:type="spellStart"/>
      <w:r w:rsidRPr="00A13B41">
        <w:rPr>
          <w:rFonts w:asciiTheme="minorHAnsi" w:hAnsiTheme="minorHAnsi" w:cstheme="minorHAnsi"/>
          <w:b w:val="0"/>
          <w:sz w:val="20"/>
          <w:szCs w:val="20"/>
        </w:rPr>
        <w:t>Acad</w:t>
      </w:r>
      <w:proofErr w:type="spellEnd"/>
      <w:r w:rsidRPr="00A13B41">
        <w:rPr>
          <w:rFonts w:asciiTheme="minorHAnsi" w:hAnsiTheme="minorHAnsi" w:cstheme="minorHAnsi"/>
          <w:b w:val="0"/>
          <w:sz w:val="20"/>
          <w:szCs w:val="20"/>
        </w:rPr>
        <w:t xml:space="preserve"> </w:t>
      </w:r>
      <w:proofErr w:type="spellStart"/>
      <w:r w:rsidRPr="00A13B41">
        <w:rPr>
          <w:rFonts w:asciiTheme="minorHAnsi" w:hAnsiTheme="minorHAnsi" w:cstheme="minorHAnsi"/>
          <w:b w:val="0"/>
          <w:sz w:val="20"/>
          <w:szCs w:val="20"/>
        </w:rPr>
        <w:t>Sci</w:t>
      </w:r>
      <w:proofErr w:type="spellEnd"/>
      <w:r w:rsidRPr="00A13B41">
        <w:rPr>
          <w:rFonts w:asciiTheme="minorHAnsi" w:hAnsiTheme="minorHAnsi" w:cstheme="minorHAnsi"/>
          <w:b w:val="0"/>
          <w:sz w:val="20"/>
          <w:szCs w:val="20"/>
        </w:rPr>
        <w:t xml:space="preserve"> </w:t>
      </w:r>
      <w:proofErr w:type="gramStart"/>
      <w:r w:rsidRPr="00A13B41">
        <w:rPr>
          <w:rFonts w:asciiTheme="minorHAnsi" w:hAnsiTheme="minorHAnsi" w:cstheme="minorHAnsi"/>
          <w:b w:val="0"/>
          <w:sz w:val="20"/>
          <w:szCs w:val="20"/>
        </w:rPr>
        <w:t>511 :</w:t>
      </w:r>
      <w:proofErr w:type="gramEnd"/>
      <w:r w:rsidRPr="00A13B41">
        <w:rPr>
          <w:rFonts w:asciiTheme="minorHAnsi" w:hAnsiTheme="minorHAnsi" w:cstheme="minorHAnsi"/>
          <w:b w:val="0"/>
          <w:sz w:val="20"/>
          <w:szCs w:val="20"/>
        </w:rPr>
        <w:t xml:space="preserve"> 370-375. </w:t>
      </w:r>
    </w:p>
    <w:p w:rsidR="00A13B41" w:rsidRPr="00A13B41" w:rsidRDefault="00A13B41" w:rsidP="00A13B41">
      <w:pPr>
        <w:pStyle w:val="Title"/>
        <w:numPr>
          <w:ilvl w:val="0"/>
          <w:numId w:val="42"/>
        </w:numPr>
        <w:jc w:val="both"/>
        <w:rPr>
          <w:rFonts w:asciiTheme="minorHAnsi" w:hAnsiTheme="minorHAnsi" w:cstheme="minorHAnsi"/>
          <w:b w:val="0"/>
          <w:sz w:val="20"/>
          <w:szCs w:val="20"/>
        </w:rPr>
      </w:pPr>
      <w:r w:rsidRPr="00A13B41">
        <w:rPr>
          <w:rFonts w:asciiTheme="minorHAnsi" w:hAnsiTheme="minorHAnsi" w:cstheme="minorHAnsi"/>
          <w:b w:val="0"/>
          <w:sz w:val="20"/>
          <w:szCs w:val="20"/>
        </w:rPr>
        <w:t xml:space="preserve">Nicoll, A., Gill, O.N. (1999) </w:t>
      </w:r>
      <w:proofErr w:type="gramStart"/>
      <w:r w:rsidRPr="00A13B41">
        <w:rPr>
          <w:rFonts w:asciiTheme="minorHAnsi" w:hAnsiTheme="minorHAnsi" w:cstheme="minorHAnsi"/>
          <w:b w:val="0"/>
          <w:sz w:val="20"/>
          <w:szCs w:val="20"/>
        </w:rPr>
        <w:t>The</w:t>
      </w:r>
      <w:proofErr w:type="gramEnd"/>
      <w:r w:rsidRPr="00A13B41">
        <w:rPr>
          <w:rFonts w:asciiTheme="minorHAnsi" w:hAnsiTheme="minorHAnsi" w:cstheme="minorHAnsi"/>
          <w:b w:val="0"/>
          <w:sz w:val="20"/>
          <w:szCs w:val="20"/>
        </w:rPr>
        <w:t xml:space="preserve"> global impact of HIV infection and disease. </w:t>
      </w:r>
      <w:proofErr w:type="spellStart"/>
      <w:r w:rsidRPr="00A13B41">
        <w:rPr>
          <w:rFonts w:asciiTheme="minorHAnsi" w:hAnsiTheme="minorHAnsi" w:cstheme="minorHAnsi"/>
          <w:b w:val="0"/>
          <w:sz w:val="20"/>
          <w:szCs w:val="20"/>
        </w:rPr>
        <w:t>Commun</w:t>
      </w:r>
      <w:proofErr w:type="spellEnd"/>
      <w:r w:rsidRPr="00A13B41">
        <w:rPr>
          <w:rFonts w:asciiTheme="minorHAnsi" w:hAnsiTheme="minorHAnsi" w:cstheme="minorHAnsi"/>
          <w:b w:val="0"/>
          <w:sz w:val="20"/>
          <w:szCs w:val="20"/>
        </w:rPr>
        <w:t xml:space="preserve"> Dis </w:t>
      </w:r>
      <w:proofErr w:type="spellStart"/>
      <w:r w:rsidRPr="00A13B41">
        <w:rPr>
          <w:rFonts w:asciiTheme="minorHAnsi" w:hAnsiTheme="minorHAnsi" w:cstheme="minorHAnsi"/>
          <w:b w:val="0"/>
          <w:sz w:val="20"/>
          <w:szCs w:val="20"/>
        </w:rPr>
        <w:t>Publ</w:t>
      </w:r>
      <w:proofErr w:type="spellEnd"/>
      <w:r w:rsidRPr="00A13B41">
        <w:rPr>
          <w:rFonts w:asciiTheme="minorHAnsi" w:hAnsiTheme="minorHAnsi" w:cstheme="minorHAnsi"/>
          <w:b w:val="0"/>
          <w:sz w:val="20"/>
          <w:szCs w:val="20"/>
        </w:rPr>
        <w:t xml:space="preserve"> Health </w:t>
      </w:r>
      <w:proofErr w:type="gramStart"/>
      <w:r w:rsidRPr="00A13B41">
        <w:rPr>
          <w:rFonts w:asciiTheme="minorHAnsi" w:hAnsiTheme="minorHAnsi" w:cstheme="minorHAnsi"/>
          <w:b w:val="0"/>
          <w:sz w:val="20"/>
          <w:szCs w:val="20"/>
        </w:rPr>
        <w:t>2 :</w:t>
      </w:r>
      <w:proofErr w:type="gramEnd"/>
      <w:r w:rsidRPr="00A13B41">
        <w:rPr>
          <w:rFonts w:asciiTheme="minorHAnsi" w:hAnsiTheme="minorHAnsi" w:cstheme="minorHAnsi"/>
          <w:b w:val="0"/>
          <w:sz w:val="20"/>
          <w:szCs w:val="20"/>
        </w:rPr>
        <w:t xml:space="preserve"> 85-95. </w:t>
      </w:r>
    </w:p>
    <w:p w:rsidR="00A13B41" w:rsidRPr="00A13B41" w:rsidRDefault="00A13B41" w:rsidP="00A13B41">
      <w:pPr>
        <w:pStyle w:val="Title"/>
        <w:numPr>
          <w:ilvl w:val="0"/>
          <w:numId w:val="42"/>
        </w:numPr>
        <w:jc w:val="both"/>
        <w:rPr>
          <w:rFonts w:asciiTheme="minorHAnsi" w:hAnsiTheme="minorHAnsi" w:cstheme="minorHAnsi"/>
          <w:b w:val="0"/>
          <w:sz w:val="20"/>
          <w:szCs w:val="20"/>
        </w:rPr>
      </w:pPr>
      <w:proofErr w:type="spellStart"/>
      <w:r w:rsidRPr="00A13B41">
        <w:rPr>
          <w:rFonts w:asciiTheme="minorHAnsi" w:hAnsiTheme="minorHAnsi" w:cstheme="minorHAnsi"/>
          <w:b w:val="0"/>
          <w:sz w:val="20"/>
          <w:szCs w:val="20"/>
        </w:rPr>
        <w:t>Valdiserri</w:t>
      </w:r>
      <w:proofErr w:type="spellEnd"/>
      <w:r w:rsidRPr="00A13B41">
        <w:rPr>
          <w:rFonts w:asciiTheme="minorHAnsi" w:hAnsiTheme="minorHAnsi" w:cstheme="minorHAnsi"/>
          <w:b w:val="0"/>
          <w:sz w:val="20"/>
          <w:szCs w:val="20"/>
        </w:rPr>
        <w:t xml:space="preserve"> R.O., </w:t>
      </w:r>
      <w:proofErr w:type="spellStart"/>
      <w:r w:rsidRPr="00A13B41">
        <w:rPr>
          <w:rFonts w:asciiTheme="minorHAnsi" w:hAnsiTheme="minorHAnsi" w:cstheme="minorHAnsi"/>
          <w:b w:val="0"/>
          <w:sz w:val="20"/>
          <w:szCs w:val="20"/>
        </w:rPr>
        <w:t>Holtgrave</w:t>
      </w:r>
      <w:proofErr w:type="spellEnd"/>
      <w:r w:rsidRPr="00A13B41">
        <w:rPr>
          <w:rFonts w:asciiTheme="minorHAnsi" w:hAnsiTheme="minorHAnsi" w:cstheme="minorHAnsi"/>
          <w:b w:val="0"/>
          <w:sz w:val="20"/>
          <w:szCs w:val="20"/>
        </w:rPr>
        <w:t xml:space="preserve">, D.R., West, G.R. (1999) Promoting early diagnosis and entry into care. AIDS </w:t>
      </w:r>
      <w:proofErr w:type="gramStart"/>
      <w:r w:rsidRPr="00A13B41">
        <w:rPr>
          <w:rFonts w:asciiTheme="minorHAnsi" w:hAnsiTheme="minorHAnsi" w:cstheme="minorHAnsi"/>
          <w:b w:val="0"/>
          <w:sz w:val="20"/>
          <w:szCs w:val="20"/>
        </w:rPr>
        <w:t>13 :</w:t>
      </w:r>
      <w:proofErr w:type="gramEnd"/>
      <w:r w:rsidRPr="00A13B41">
        <w:rPr>
          <w:rFonts w:asciiTheme="minorHAnsi" w:hAnsiTheme="minorHAnsi" w:cstheme="minorHAnsi"/>
          <w:b w:val="0"/>
          <w:sz w:val="20"/>
          <w:szCs w:val="20"/>
        </w:rPr>
        <w:t xml:space="preserve"> 2317-2330. </w:t>
      </w:r>
    </w:p>
    <w:p w:rsidR="00A13B41" w:rsidRPr="00A13B41" w:rsidRDefault="00A13B41" w:rsidP="00A13B41">
      <w:pPr>
        <w:pStyle w:val="Title"/>
        <w:numPr>
          <w:ilvl w:val="0"/>
          <w:numId w:val="42"/>
        </w:numPr>
        <w:jc w:val="both"/>
        <w:rPr>
          <w:rFonts w:asciiTheme="minorHAnsi" w:hAnsiTheme="minorHAnsi" w:cstheme="minorHAnsi"/>
          <w:b w:val="0"/>
          <w:sz w:val="20"/>
          <w:szCs w:val="20"/>
        </w:rPr>
      </w:pPr>
      <w:r w:rsidRPr="00A13B41">
        <w:rPr>
          <w:rFonts w:asciiTheme="minorHAnsi" w:hAnsiTheme="minorHAnsi" w:cstheme="minorHAnsi"/>
          <w:b w:val="0"/>
          <w:sz w:val="20"/>
          <w:szCs w:val="20"/>
        </w:rPr>
        <w:t xml:space="preserve">UNAIDS / WHO Press Release (2005) HIV Infection Rates Decreasing in Several Countries but Globally Number of People Living with HIV Continue to Rise. Available at www.unaids. </w:t>
      </w:r>
      <w:proofErr w:type="gramStart"/>
      <w:r w:rsidRPr="00A13B41">
        <w:rPr>
          <w:rFonts w:asciiTheme="minorHAnsi" w:hAnsiTheme="minorHAnsi" w:cstheme="minorHAnsi"/>
          <w:b w:val="0"/>
          <w:sz w:val="20"/>
          <w:szCs w:val="20"/>
        </w:rPr>
        <w:t>org/epi/2005/doc/docs/PR</w:t>
      </w:r>
      <w:proofErr w:type="gramEnd"/>
      <w:r w:rsidRPr="00A13B41">
        <w:rPr>
          <w:rFonts w:asciiTheme="minorHAnsi" w:hAnsiTheme="minorHAnsi" w:cstheme="minorHAnsi"/>
          <w:b w:val="0"/>
          <w:sz w:val="20"/>
          <w:szCs w:val="20"/>
        </w:rPr>
        <w:t xml:space="preserve"> EpiUpdateNov05en.pdf: 1-3. </w:t>
      </w:r>
    </w:p>
    <w:p w:rsidR="00A13B41" w:rsidRPr="00A13B41" w:rsidRDefault="00A13B41" w:rsidP="00A13B41">
      <w:pPr>
        <w:pStyle w:val="Title"/>
        <w:numPr>
          <w:ilvl w:val="0"/>
          <w:numId w:val="42"/>
        </w:numPr>
        <w:jc w:val="both"/>
        <w:rPr>
          <w:rFonts w:asciiTheme="minorHAnsi" w:hAnsiTheme="minorHAnsi" w:cstheme="minorHAnsi"/>
          <w:b w:val="0"/>
          <w:sz w:val="20"/>
          <w:szCs w:val="20"/>
        </w:rPr>
      </w:pPr>
      <w:r w:rsidRPr="00A13B41">
        <w:rPr>
          <w:rFonts w:asciiTheme="minorHAnsi" w:hAnsiTheme="minorHAnsi" w:cstheme="minorHAnsi"/>
          <w:b w:val="0"/>
          <w:sz w:val="20"/>
          <w:szCs w:val="20"/>
        </w:rPr>
        <w:t>CDC. Revised Guidelines for HIV Counseling, Testing and Referral and Revised Recommendations for HIV Screening of Pregnant Women. MMWR 2001; 50(19)</w:t>
      </w:r>
      <w:proofErr w:type="gramStart"/>
      <w:r w:rsidRPr="00A13B41">
        <w:rPr>
          <w:rFonts w:asciiTheme="minorHAnsi" w:hAnsiTheme="minorHAnsi" w:cstheme="minorHAnsi"/>
          <w:b w:val="0"/>
          <w:sz w:val="20"/>
          <w:szCs w:val="20"/>
        </w:rPr>
        <w:t>;32</w:t>
      </w:r>
      <w:proofErr w:type="gramEnd"/>
      <w:r w:rsidRPr="00A13B41">
        <w:rPr>
          <w:rFonts w:asciiTheme="minorHAnsi" w:hAnsiTheme="minorHAnsi" w:cstheme="minorHAnsi"/>
          <w:b w:val="0"/>
          <w:sz w:val="20"/>
          <w:szCs w:val="20"/>
        </w:rPr>
        <w:t xml:space="preserve">-35. </w:t>
      </w:r>
    </w:p>
    <w:p w:rsidR="00A13B41" w:rsidRPr="00A13B41" w:rsidRDefault="00A13B41" w:rsidP="00A13B41">
      <w:pPr>
        <w:pStyle w:val="Title"/>
        <w:numPr>
          <w:ilvl w:val="0"/>
          <w:numId w:val="42"/>
        </w:numPr>
        <w:jc w:val="both"/>
        <w:rPr>
          <w:rFonts w:asciiTheme="minorHAnsi" w:hAnsiTheme="minorHAnsi" w:cstheme="minorHAnsi"/>
          <w:b w:val="0"/>
          <w:sz w:val="20"/>
          <w:szCs w:val="20"/>
        </w:rPr>
      </w:pPr>
      <w:r w:rsidRPr="00A13B41">
        <w:rPr>
          <w:rFonts w:asciiTheme="minorHAnsi" w:hAnsiTheme="minorHAnsi" w:cstheme="minorHAnsi"/>
          <w:b w:val="0"/>
          <w:sz w:val="20"/>
          <w:szCs w:val="20"/>
        </w:rPr>
        <w:t xml:space="preserve">Essex, M., </w:t>
      </w:r>
      <w:proofErr w:type="spellStart"/>
      <w:r w:rsidRPr="00A13B41">
        <w:rPr>
          <w:rFonts w:asciiTheme="minorHAnsi" w:hAnsiTheme="minorHAnsi" w:cstheme="minorHAnsi"/>
          <w:b w:val="0"/>
          <w:sz w:val="20"/>
          <w:szCs w:val="20"/>
        </w:rPr>
        <w:t>Kanki</w:t>
      </w:r>
      <w:proofErr w:type="spellEnd"/>
      <w:r w:rsidRPr="00A13B41">
        <w:rPr>
          <w:rFonts w:asciiTheme="minorHAnsi" w:hAnsiTheme="minorHAnsi" w:cstheme="minorHAnsi"/>
          <w:b w:val="0"/>
          <w:sz w:val="20"/>
          <w:szCs w:val="20"/>
        </w:rPr>
        <w:t xml:space="preserve">, P. J., </w:t>
      </w:r>
      <w:proofErr w:type="spellStart"/>
      <w:r w:rsidRPr="00A13B41">
        <w:rPr>
          <w:rFonts w:asciiTheme="minorHAnsi" w:hAnsiTheme="minorHAnsi" w:cstheme="minorHAnsi"/>
          <w:b w:val="0"/>
          <w:sz w:val="20"/>
          <w:szCs w:val="20"/>
        </w:rPr>
        <w:t>Marlink</w:t>
      </w:r>
      <w:proofErr w:type="spellEnd"/>
      <w:r w:rsidRPr="00A13B41">
        <w:rPr>
          <w:rFonts w:asciiTheme="minorHAnsi" w:hAnsiTheme="minorHAnsi" w:cstheme="minorHAnsi"/>
          <w:b w:val="0"/>
          <w:sz w:val="20"/>
          <w:szCs w:val="20"/>
        </w:rPr>
        <w:t xml:space="preserve">, R., et al. (1990) Antigenic characterization of the human immunodeficiency viruses. J Am </w:t>
      </w:r>
      <w:proofErr w:type="spellStart"/>
      <w:r w:rsidRPr="00A13B41">
        <w:rPr>
          <w:rFonts w:asciiTheme="minorHAnsi" w:hAnsiTheme="minorHAnsi" w:cstheme="minorHAnsi"/>
          <w:b w:val="0"/>
          <w:sz w:val="20"/>
          <w:szCs w:val="20"/>
        </w:rPr>
        <w:t>Acad</w:t>
      </w:r>
      <w:proofErr w:type="spellEnd"/>
      <w:r w:rsidRPr="00A13B41">
        <w:rPr>
          <w:rFonts w:asciiTheme="minorHAnsi" w:hAnsiTheme="minorHAnsi" w:cstheme="minorHAnsi"/>
          <w:b w:val="0"/>
          <w:sz w:val="20"/>
          <w:szCs w:val="20"/>
        </w:rPr>
        <w:t xml:space="preserve"> </w:t>
      </w:r>
      <w:proofErr w:type="spellStart"/>
      <w:r w:rsidRPr="00A13B41">
        <w:rPr>
          <w:rFonts w:asciiTheme="minorHAnsi" w:hAnsiTheme="minorHAnsi" w:cstheme="minorHAnsi"/>
          <w:b w:val="0"/>
          <w:sz w:val="20"/>
          <w:szCs w:val="20"/>
        </w:rPr>
        <w:t>Dermatol</w:t>
      </w:r>
      <w:proofErr w:type="spellEnd"/>
      <w:r w:rsidRPr="00A13B41">
        <w:rPr>
          <w:rFonts w:asciiTheme="minorHAnsi" w:hAnsiTheme="minorHAnsi" w:cstheme="minorHAnsi"/>
          <w:b w:val="0"/>
          <w:sz w:val="20"/>
          <w:szCs w:val="20"/>
        </w:rPr>
        <w:t xml:space="preserve"> </w:t>
      </w:r>
      <w:proofErr w:type="gramStart"/>
      <w:r w:rsidRPr="00A13B41">
        <w:rPr>
          <w:rFonts w:asciiTheme="minorHAnsi" w:hAnsiTheme="minorHAnsi" w:cstheme="minorHAnsi"/>
          <w:b w:val="0"/>
          <w:sz w:val="20"/>
          <w:szCs w:val="20"/>
        </w:rPr>
        <w:t>22 :</w:t>
      </w:r>
      <w:proofErr w:type="gramEnd"/>
      <w:r w:rsidRPr="00A13B41">
        <w:rPr>
          <w:rFonts w:asciiTheme="minorHAnsi" w:hAnsiTheme="minorHAnsi" w:cstheme="minorHAnsi"/>
          <w:b w:val="0"/>
          <w:sz w:val="20"/>
          <w:szCs w:val="20"/>
        </w:rPr>
        <w:t xml:space="preserve"> 1206-1210. </w:t>
      </w:r>
    </w:p>
    <w:p w:rsidR="00A13B41" w:rsidRPr="00A13B41" w:rsidRDefault="00A13B41" w:rsidP="00A13B41">
      <w:pPr>
        <w:pStyle w:val="Title"/>
        <w:numPr>
          <w:ilvl w:val="0"/>
          <w:numId w:val="42"/>
        </w:numPr>
        <w:jc w:val="both"/>
        <w:rPr>
          <w:rFonts w:asciiTheme="minorHAnsi" w:hAnsiTheme="minorHAnsi" w:cstheme="minorHAnsi"/>
          <w:b w:val="0"/>
          <w:sz w:val="20"/>
          <w:szCs w:val="20"/>
        </w:rPr>
      </w:pPr>
      <w:r w:rsidRPr="00A13B41">
        <w:rPr>
          <w:rFonts w:asciiTheme="minorHAnsi" w:hAnsiTheme="minorHAnsi" w:cstheme="minorHAnsi"/>
          <w:b w:val="0"/>
          <w:sz w:val="20"/>
          <w:szCs w:val="20"/>
        </w:rPr>
        <w:t xml:space="preserve">Essex, M., McLane, M.F., Lee, T.H. et al. (1983) Antibodies to cell membrane antigens associated with human T-cell leukemia virus in patients with AIDS. Science </w:t>
      </w:r>
      <w:proofErr w:type="gramStart"/>
      <w:r w:rsidRPr="00A13B41">
        <w:rPr>
          <w:rFonts w:asciiTheme="minorHAnsi" w:hAnsiTheme="minorHAnsi" w:cstheme="minorHAnsi"/>
          <w:b w:val="0"/>
          <w:sz w:val="20"/>
          <w:szCs w:val="20"/>
        </w:rPr>
        <w:t>220 :</w:t>
      </w:r>
      <w:proofErr w:type="gramEnd"/>
      <w:r w:rsidRPr="00A13B41">
        <w:rPr>
          <w:rFonts w:asciiTheme="minorHAnsi" w:hAnsiTheme="minorHAnsi" w:cstheme="minorHAnsi"/>
          <w:b w:val="0"/>
          <w:sz w:val="20"/>
          <w:szCs w:val="20"/>
        </w:rPr>
        <w:t xml:space="preserve"> 859-862. </w:t>
      </w:r>
    </w:p>
    <w:p w:rsidR="00A13B41" w:rsidRPr="00A13B41" w:rsidRDefault="00A13B41" w:rsidP="00A13B41">
      <w:pPr>
        <w:pStyle w:val="Title"/>
        <w:numPr>
          <w:ilvl w:val="0"/>
          <w:numId w:val="42"/>
        </w:numPr>
        <w:jc w:val="both"/>
        <w:rPr>
          <w:rFonts w:asciiTheme="minorHAnsi" w:hAnsiTheme="minorHAnsi" w:cstheme="minorHAnsi"/>
          <w:b w:val="0"/>
          <w:sz w:val="20"/>
          <w:szCs w:val="20"/>
        </w:rPr>
      </w:pPr>
      <w:r w:rsidRPr="00A13B41">
        <w:rPr>
          <w:rFonts w:asciiTheme="minorHAnsi" w:hAnsiTheme="minorHAnsi" w:cstheme="minorHAnsi"/>
          <w:b w:val="0"/>
          <w:sz w:val="20"/>
          <w:szCs w:val="20"/>
        </w:rPr>
        <w:t xml:space="preserve">Gallo, R.C., </w:t>
      </w:r>
      <w:proofErr w:type="spellStart"/>
      <w:r w:rsidRPr="00A13B41">
        <w:rPr>
          <w:rFonts w:asciiTheme="minorHAnsi" w:hAnsiTheme="minorHAnsi" w:cstheme="minorHAnsi"/>
          <w:b w:val="0"/>
          <w:sz w:val="20"/>
          <w:szCs w:val="20"/>
        </w:rPr>
        <w:t>Saluahuddin</w:t>
      </w:r>
      <w:proofErr w:type="spellEnd"/>
      <w:r w:rsidRPr="00A13B41">
        <w:rPr>
          <w:rFonts w:asciiTheme="minorHAnsi" w:hAnsiTheme="minorHAnsi" w:cstheme="minorHAnsi"/>
          <w:b w:val="0"/>
          <w:sz w:val="20"/>
          <w:szCs w:val="20"/>
        </w:rPr>
        <w:t xml:space="preserve">, S.Z., </w:t>
      </w:r>
      <w:proofErr w:type="spellStart"/>
      <w:r w:rsidRPr="00A13B41">
        <w:rPr>
          <w:rFonts w:asciiTheme="minorHAnsi" w:hAnsiTheme="minorHAnsi" w:cstheme="minorHAnsi"/>
          <w:b w:val="0"/>
          <w:sz w:val="20"/>
          <w:szCs w:val="20"/>
        </w:rPr>
        <w:t>Popovic</w:t>
      </w:r>
      <w:proofErr w:type="spellEnd"/>
      <w:r w:rsidRPr="00A13B41">
        <w:rPr>
          <w:rFonts w:asciiTheme="minorHAnsi" w:hAnsiTheme="minorHAnsi" w:cstheme="minorHAnsi"/>
          <w:b w:val="0"/>
          <w:sz w:val="20"/>
          <w:szCs w:val="20"/>
        </w:rPr>
        <w:t xml:space="preserve">, M., et al. (1984) Frequent detection and isolation of cytopathic retroviruses (HTLV-III) from patients with AIDS and at risk for AIDS. Science </w:t>
      </w:r>
      <w:proofErr w:type="gramStart"/>
      <w:r w:rsidRPr="00A13B41">
        <w:rPr>
          <w:rFonts w:asciiTheme="minorHAnsi" w:hAnsiTheme="minorHAnsi" w:cstheme="minorHAnsi"/>
          <w:b w:val="0"/>
          <w:sz w:val="20"/>
          <w:szCs w:val="20"/>
        </w:rPr>
        <w:t>224 :</w:t>
      </w:r>
      <w:proofErr w:type="gramEnd"/>
      <w:r w:rsidRPr="00A13B41">
        <w:rPr>
          <w:rFonts w:asciiTheme="minorHAnsi" w:hAnsiTheme="minorHAnsi" w:cstheme="minorHAnsi"/>
          <w:b w:val="0"/>
          <w:sz w:val="20"/>
          <w:szCs w:val="20"/>
        </w:rPr>
        <w:t xml:space="preserve"> 500-503. </w:t>
      </w:r>
    </w:p>
    <w:p w:rsidR="00A13B41" w:rsidRPr="00A13B41" w:rsidRDefault="00A13B41" w:rsidP="00A13B41">
      <w:pPr>
        <w:pStyle w:val="Title"/>
        <w:numPr>
          <w:ilvl w:val="0"/>
          <w:numId w:val="42"/>
        </w:numPr>
        <w:jc w:val="both"/>
        <w:rPr>
          <w:rFonts w:asciiTheme="minorHAnsi" w:hAnsiTheme="minorHAnsi" w:cstheme="minorHAnsi"/>
          <w:b w:val="0"/>
          <w:sz w:val="20"/>
          <w:szCs w:val="20"/>
        </w:rPr>
      </w:pPr>
      <w:proofErr w:type="spellStart"/>
      <w:r w:rsidRPr="00A13B41">
        <w:rPr>
          <w:rFonts w:asciiTheme="minorHAnsi" w:hAnsiTheme="minorHAnsi" w:cstheme="minorHAnsi"/>
          <w:b w:val="0"/>
          <w:sz w:val="20"/>
          <w:szCs w:val="20"/>
        </w:rPr>
        <w:t>Kenealy</w:t>
      </w:r>
      <w:proofErr w:type="spellEnd"/>
      <w:r w:rsidRPr="00A13B41">
        <w:rPr>
          <w:rFonts w:asciiTheme="minorHAnsi" w:hAnsiTheme="minorHAnsi" w:cstheme="minorHAnsi"/>
          <w:b w:val="0"/>
          <w:sz w:val="20"/>
          <w:szCs w:val="20"/>
        </w:rPr>
        <w:t xml:space="preserve">, W., Reed, D., </w:t>
      </w:r>
      <w:proofErr w:type="spellStart"/>
      <w:r w:rsidRPr="00A13B41">
        <w:rPr>
          <w:rFonts w:asciiTheme="minorHAnsi" w:hAnsiTheme="minorHAnsi" w:cstheme="minorHAnsi"/>
          <w:b w:val="0"/>
          <w:sz w:val="20"/>
          <w:szCs w:val="20"/>
        </w:rPr>
        <w:t>Cybulsky</w:t>
      </w:r>
      <w:proofErr w:type="spellEnd"/>
      <w:r w:rsidRPr="00A13B41">
        <w:rPr>
          <w:rFonts w:asciiTheme="minorHAnsi" w:hAnsiTheme="minorHAnsi" w:cstheme="minorHAnsi"/>
          <w:b w:val="0"/>
          <w:sz w:val="20"/>
          <w:szCs w:val="20"/>
        </w:rPr>
        <w:t xml:space="preserve">, R., et.al. (1987) Analysis of human serum antibodies to human immunodeficiency virus (HIV) using recombinant ENV and GAG antigens. AIDS Res Human </w:t>
      </w:r>
      <w:proofErr w:type="spellStart"/>
      <w:r w:rsidRPr="00A13B41">
        <w:rPr>
          <w:rFonts w:asciiTheme="minorHAnsi" w:hAnsiTheme="minorHAnsi" w:cstheme="minorHAnsi"/>
          <w:b w:val="0"/>
          <w:sz w:val="20"/>
          <w:szCs w:val="20"/>
        </w:rPr>
        <w:t>Retrovir</w:t>
      </w:r>
      <w:proofErr w:type="spellEnd"/>
      <w:r w:rsidRPr="00A13B41">
        <w:rPr>
          <w:rFonts w:asciiTheme="minorHAnsi" w:hAnsiTheme="minorHAnsi" w:cstheme="minorHAnsi"/>
          <w:b w:val="0"/>
          <w:sz w:val="20"/>
          <w:szCs w:val="20"/>
        </w:rPr>
        <w:t xml:space="preserve"> 3:95-105. </w:t>
      </w:r>
    </w:p>
    <w:p w:rsidR="00A13B41" w:rsidRPr="00A13B41" w:rsidRDefault="00A13B41" w:rsidP="00A13B41">
      <w:pPr>
        <w:pStyle w:val="Title"/>
        <w:numPr>
          <w:ilvl w:val="0"/>
          <w:numId w:val="42"/>
        </w:numPr>
        <w:jc w:val="both"/>
        <w:rPr>
          <w:rFonts w:asciiTheme="minorHAnsi" w:hAnsiTheme="minorHAnsi" w:cstheme="minorHAnsi"/>
          <w:b w:val="0"/>
          <w:sz w:val="20"/>
          <w:szCs w:val="20"/>
        </w:rPr>
      </w:pPr>
      <w:r w:rsidRPr="00A13B41">
        <w:rPr>
          <w:rFonts w:asciiTheme="minorHAnsi" w:hAnsiTheme="minorHAnsi" w:cstheme="minorHAnsi"/>
          <w:b w:val="0"/>
          <w:sz w:val="20"/>
          <w:szCs w:val="20"/>
        </w:rPr>
        <w:t xml:space="preserve">Kovacs, A., Xu, J., Rasheed, S., et al. (1995) Comparison of a rapid non-isotopic polymerase chain reaction assay with four commonly used methods for the early diagnosis of human Immunodeficiency Virus type 1 infection in neonates and children. </w:t>
      </w:r>
      <w:proofErr w:type="spellStart"/>
      <w:r w:rsidRPr="00A13B41">
        <w:rPr>
          <w:rFonts w:asciiTheme="minorHAnsi" w:hAnsiTheme="minorHAnsi" w:cstheme="minorHAnsi"/>
          <w:b w:val="0"/>
          <w:sz w:val="20"/>
          <w:szCs w:val="20"/>
        </w:rPr>
        <w:t>Pediatr</w:t>
      </w:r>
      <w:proofErr w:type="spellEnd"/>
      <w:r w:rsidRPr="00A13B41">
        <w:rPr>
          <w:rFonts w:asciiTheme="minorHAnsi" w:hAnsiTheme="minorHAnsi" w:cstheme="minorHAnsi"/>
          <w:b w:val="0"/>
          <w:sz w:val="20"/>
          <w:szCs w:val="20"/>
        </w:rPr>
        <w:t xml:space="preserve"> Infect Dis J </w:t>
      </w:r>
      <w:proofErr w:type="gramStart"/>
      <w:r w:rsidRPr="00A13B41">
        <w:rPr>
          <w:rFonts w:asciiTheme="minorHAnsi" w:hAnsiTheme="minorHAnsi" w:cstheme="minorHAnsi"/>
          <w:b w:val="0"/>
          <w:sz w:val="20"/>
          <w:szCs w:val="20"/>
        </w:rPr>
        <w:t>14 :</w:t>
      </w:r>
      <w:proofErr w:type="gramEnd"/>
      <w:r w:rsidRPr="00A13B41">
        <w:rPr>
          <w:rFonts w:asciiTheme="minorHAnsi" w:hAnsiTheme="minorHAnsi" w:cstheme="minorHAnsi"/>
          <w:b w:val="0"/>
          <w:sz w:val="20"/>
          <w:szCs w:val="20"/>
        </w:rPr>
        <w:t xml:space="preserve"> 948-954. </w:t>
      </w:r>
    </w:p>
    <w:p w:rsidR="00A13B41" w:rsidRPr="00A13B41" w:rsidRDefault="00A13B41" w:rsidP="00A13B41">
      <w:pPr>
        <w:pStyle w:val="Title"/>
        <w:numPr>
          <w:ilvl w:val="0"/>
          <w:numId w:val="42"/>
        </w:numPr>
        <w:jc w:val="both"/>
        <w:rPr>
          <w:rFonts w:asciiTheme="minorHAnsi" w:hAnsiTheme="minorHAnsi" w:cstheme="minorHAnsi"/>
          <w:b w:val="0"/>
          <w:sz w:val="20"/>
          <w:szCs w:val="20"/>
        </w:rPr>
      </w:pPr>
      <w:proofErr w:type="spellStart"/>
      <w:r w:rsidRPr="00A13B41">
        <w:rPr>
          <w:rFonts w:asciiTheme="minorHAnsi" w:hAnsiTheme="minorHAnsi" w:cstheme="minorHAnsi"/>
          <w:b w:val="0"/>
          <w:sz w:val="20"/>
          <w:szCs w:val="20"/>
        </w:rPr>
        <w:t>CDC</w:t>
      </w:r>
      <w:proofErr w:type="gramStart"/>
      <w:r w:rsidRPr="00A13B41">
        <w:rPr>
          <w:rFonts w:asciiTheme="minorHAnsi" w:hAnsiTheme="minorHAnsi" w:cstheme="minorHAnsi"/>
          <w:b w:val="0"/>
          <w:sz w:val="20"/>
          <w:szCs w:val="20"/>
        </w:rPr>
        <w:t>:Updated</w:t>
      </w:r>
      <w:proofErr w:type="spellEnd"/>
      <w:proofErr w:type="gramEnd"/>
      <w:r w:rsidRPr="00A13B41">
        <w:rPr>
          <w:rFonts w:asciiTheme="minorHAnsi" w:hAnsiTheme="minorHAnsi" w:cstheme="minorHAnsi"/>
          <w:b w:val="0"/>
          <w:sz w:val="20"/>
          <w:szCs w:val="20"/>
        </w:rPr>
        <w:t xml:space="preserve"> U.S. Public Health Service Guidelines for the Management of Occupational Exposures to HBV, HCV and HIV Recommendations for </w:t>
      </w:r>
      <w:proofErr w:type="spellStart"/>
      <w:r w:rsidRPr="00A13B41">
        <w:rPr>
          <w:rFonts w:asciiTheme="minorHAnsi" w:hAnsiTheme="minorHAnsi" w:cstheme="minorHAnsi"/>
          <w:b w:val="0"/>
          <w:sz w:val="20"/>
          <w:szCs w:val="20"/>
        </w:rPr>
        <w:t>Postexposure</w:t>
      </w:r>
      <w:proofErr w:type="spellEnd"/>
      <w:r w:rsidRPr="00A13B41">
        <w:rPr>
          <w:rFonts w:asciiTheme="minorHAnsi" w:hAnsiTheme="minorHAnsi" w:cstheme="minorHAnsi"/>
          <w:b w:val="0"/>
          <w:sz w:val="20"/>
          <w:szCs w:val="20"/>
        </w:rPr>
        <w:t xml:space="preserve"> Prophylaxis. MMWR 2001; 50(RR-11):1-42. </w:t>
      </w:r>
    </w:p>
    <w:p w:rsidR="00A13B41" w:rsidRPr="00A13B41" w:rsidRDefault="00A13B41" w:rsidP="00A13B41">
      <w:pPr>
        <w:pStyle w:val="Title"/>
        <w:numPr>
          <w:ilvl w:val="0"/>
          <w:numId w:val="42"/>
        </w:numPr>
        <w:jc w:val="both"/>
        <w:rPr>
          <w:rFonts w:asciiTheme="minorHAnsi" w:hAnsiTheme="minorHAnsi" w:cstheme="minorHAnsi"/>
          <w:b w:val="0"/>
          <w:sz w:val="20"/>
          <w:szCs w:val="20"/>
        </w:rPr>
      </w:pPr>
      <w:r w:rsidRPr="00A13B41">
        <w:rPr>
          <w:rFonts w:asciiTheme="minorHAnsi" w:hAnsiTheme="minorHAnsi" w:cstheme="minorHAnsi"/>
          <w:b w:val="0"/>
          <w:sz w:val="20"/>
          <w:szCs w:val="20"/>
        </w:rPr>
        <w:t>CDC: Approval of a New Rapid Test for HIV Antibody. MMWR 2002; 51(46):1051-1052</w:t>
      </w:r>
    </w:p>
    <w:p w:rsidR="00A26080" w:rsidRDefault="00A26080" w:rsidP="00A26080">
      <w:pPr>
        <w:pStyle w:val="Title"/>
        <w:ind w:left="48"/>
        <w:jc w:val="both"/>
        <w:rPr>
          <w:rFonts w:asciiTheme="minorHAnsi" w:hAnsiTheme="minorHAnsi" w:cstheme="minorHAnsi"/>
          <w:b w:val="0"/>
          <w:sz w:val="20"/>
          <w:szCs w:val="20"/>
        </w:rPr>
      </w:pPr>
    </w:p>
    <w:sectPr w:rsidR="00A26080" w:rsidSect="00A93438">
      <w:footerReference w:type="default" r:id="rId14"/>
      <w:pgSz w:w="12240" w:h="15840" w:code="1"/>
      <w:pgMar w:top="1152" w:right="1440" w:bottom="1152" w:left="1440" w:header="288" w:footer="63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5B3" w:rsidRDefault="009425B3">
      <w:r>
        <w:separator/>
      </w:r>
    </w:p>
  </w:endnote>
  <w:endnote w:type="continuationSeparator" w:id="0">
    <w:p w:rsidR="009425B3" w:rsidRDefault="0094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XBlk BT">
    <w:altName w:val="Arial Black"/>
    <w:charset w:val="00"/>
    <w:family w:val="swiss"/>
    <w:pitch w:val="variable"/>
    <w:sig w:usb0="00000007" w:usb1="00000000" w:usb2="00000000" w:usb3="00000000" w:csb0="00000011" w:csb1="00000000"/>
  </w:font>
  <w:font w:name="Futura Condensed">
    <w:altName w:val="Futura Condensed"/>
    <w:panose1 w:val="00000000000000000000"/>
    <w:charset w:val="00"/>
    <w:family w:val="swiss"/>
    <w:notTrueType/>
    <w:pitch w:val="default"/>
    <w:sig w:usb0="00000003" w:usb1="00000000" w:usb2="00000000" w:usb3="00000000" w:csb0="00000001" w:csb1="00000000"/>
  </w:font>
  <w:font w:name="Univers LT Std 55">
    <w:panose1 w:val="00000000000000000000"/>
    <w:charset w:val="00"/>
    <w:family w:val="swiss"/>
    <w:notTrueType/>
    <w:pitch w:val="variable"/>
    <w:sig w:usb0="00000003" w:usb1="00000000" w:usb2="00000000" w:usb3="00000000" w:csb0="00000001" w:csb1="00000000"/>
  </w:font>
  <w:font w:name="LGGCNE+Arial">
    <w:altName w:val="Arial"/>
    <w:panose1 w:val="00000000000000000000"/>
    <w:charset w:val="00"/>
    <w:family w:val="swiss"/>
    <w:notTrueType/>
    <w:pitch w:val="default"/>
    <w:sig w:usb0="00000003" w:usb1="00000000" w:usb2="00000000" w:usb3="00000000" w:csb0="00000001" w:csb1="00000000"/>
  </w:font>
  <w:font w:name="Dax-Light">
    <w:charset w:val="00"/>
    <w:family w:val="auto"/>
    <w:pitch w:val="variable"/>
    <w:sig w:usb0="8000002F" w:usb1="4000004A" w:usb2="00000000" w:usb3="00000000" w:csb0="00000001" w:csb1="00000000"/>
  </w:font>
  <w:font w:name="Dax-LightItalic">
    <w:altName w:val="Dax-LightItalic"/>
    <w:charset w:val="00"/>
    <w:family w:val="auto"/>
    <w:pitch w:val="default"/>
    <w:sig w:usb0="00000003" w:usb1="00000000" w:usb2="00000000" w:usb3="00000000" w:csb0="00000001" w:csb1="00000000"/>
  </w:font>
  <w:font w:name="Dax-Medium">
    <w:altName w:val="Dax-Medium"/>
    <w:charset w:val="00"/>
    <w:family w:val="auto"/>
    <w:pitch w:val="default"/>
    <w:sig w:usb0="00000003" w:usb1="00000000" w:usb2="00000000" w:usb3="00000000" w:csb0="00000001" w:csb1="00000000"/>
  </w:font>
  <w:font w:name="HelveticaNeueLT Std">
    <w:altName w:val="Arial"/>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746" w:rsidRDefault="00CF2746">
    <w:pPr>
      <w:spacing w:line="240" w:lineRule="exact"/>
    </w:pPr>
  </w:p>
  <w:p w:rsidR="00CF2746" w:rsidRDefault="00AD18BE">
    <w:pPr>
      <w:spacing w:line="19" w:lineRule="exact"/>
    </w:pPr>
    <w:r>
      <w:rPr>
        <w:noProof/>
      </w:rPr>
      <mc:AlternateContent>
        <mc:Choice Requires="wps">
          <w:drawing>
            <wp:anchor distT="0" distB="0" distL="114300" distR="114300" simplePos="0" relativeHeight="251658240" behindDoc="1" locked="1" layoutInCell="0" allowOverlap="1" wp14:anchorId="59D984B9" wp14:editId="08C5A2B3">
              <wp:simplePos x="0" y="0"/>
              <wp:positionH relativeFrom="page">
                <wp:posOffset>914400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49A06" id="Rectangle 2"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8S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OrKfEn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CF2746" w:rsidRPr="009838F9" w:rsidRDefault="00CF2746">
    <w:pPr>
      <w:tabs>
        <w:tab w:val="left" w:pos="-1440"/>
      </w:tabs>
      <w:ind w:left="7920" w:hanging="7920"/>
      <w:rPr>
        <w:rFonts w:ascii="Arial" w:hAnsi="Arial" w:cs="Arial"/>
        <w:color w:val="000000"/>
        <w:sz w:val="16"/>
        <w:szCs w:val="16"/>
      </w:rPr>
    </w:pPr>
    <w:r>
      <w:rPr>
        <w:rFonts w:ascii="Arial" w:hAnsi="Arial" w:cs="Arial"/>
        <w:sz w:val="16"/>
        <w:szCs w:val="16"/>
      </w:rPr>
      <w:tab/>
    </w:r>
  </w:p>
  <w:p w:rsidR="00CF2746" w:rsidRPr="00E95578" w:rsidRDefault="00CF2746">
    <w:pPr>
      <w:tabs>
        <w:tab w:val="left" w:pos="-1440"/>
      </w:tabs>
      <w:ind w:left="7920" w:hanging="7920"/>
      <w:jc w:val="center"/>
      <w:rPr>
        <w:rFonts w:ascii="Arial" w:hAnsi="Arial" w:cs="Arial"/>
        <w:sz w:val="16"/>
        <w:szCs w:val="16"/>
      </w:rPr>
    </w:pPr>
    <w:r w:rsidRPr="005E63FD">
      <w:rPr>
        <w:rFonts w:ascii="Arial" w:hAnsi="Arial" w:cs="Arial"/>
        <w:sz w:val="16"/>
        <w:szCs w:val="16"/>
      </w:rPr>
      <w:t xml:space="preserve">Page </w:t>
    </w:r>
    <w:r w:rsidRPr="005E63FD">
      <w:rPr>
        <w:rFonts w:ascii="Arial" w:hAnsi="Arial" w:cs="Arial"/>
        <w:sz w:val="16"/>
        <w:szCs w:val="16"/>
      </w:rPr>
      <w:fldChar w:fldCharType="begin"/>
    </w:r>
    <w:r w:rsidRPr="005E63FD">
      <w:rPr>
        <w:rFonts w:ascii="Arial" w:hAnsi="Arial" w:cs="Arial"/>
        <w:sz w:val="16"/>
        <w:szCs w:val="16"/>
      </w:rPr>
      <w:instrText xml:space="preserve"> PAGE </w:instrText>
    </w:r>
    <w:r w:rsidRPr="005E63FD">
      <w:rPr>
        <w:rFonts w:ascii="Arial" w:hAnsi="Arial" w:cs="Arial"/>
        <w:sz w:val="16"/>
        <w:szCs w:val="16"/>
      </w:rPr>
      <w:fldChar w:fldCharType="separate"/>
    </w:r>
    <w:r w:rsidR="00CC1D7B">
      <w:rPr>
        <w:rFonts w:ascii="Arial" w:hAnsi="Arial" w:cs="Arial"/>
        <w:noProof/>
        <w:sz w:val="16"/>
        <w:szCs w:val="16"/>
      </w:rPr>
      <w:t>8</w:t>
    </w:r>
    <w:r w:rsidRPr="005E63FD">
      <w:rPr>
        <w:rFonts w:ascii="Arial" w:hAnsi="Arial" w:cs="Arial"/>
        <w:sz w:val="16"/>
        <w:szCs w:val="16"/>
      </w:rPr>
      <w:fldChar w:fldCharType="end"/>
    </w:r>
    <w:r w:rsidRPr="005E63FD">
      <w:rPr>
        <w:rFonts w:ascii="Arial" w:hAnsi="Arial" w:cs="Arial"/>
        <w:sz w:val="16"/>
        <w:szCs w:val="16"/>
      </w:rPr>
      <w:t xml:space="preserve"> of </w:t>
    </w:r>
    <w:r w:rsidRPr="005E63FD">
      <w:rPr>
        <w:rFonts w:ascii="Arial" w:hAnsi="Arial" w:cs="Arial"/>
        <w:sz w:val="16"/>
        <w:szCs w:val="16"/>
      </w:rPr>
      <w:fldChar w:fldCharType="begin"/>
    </w:r>
    <w:r w:rsidRPr="005E63FD">
      <w:rPr>
        <w:rFonts w:ascii="Arial" w:hAnsi="Arial" w:cs="Arial"/>
        <w:sz w:val="16"/>
        <w:szCs w:val="16"/>
      </w:rPr>
      <w:instrText xml:space="preserve"> NUMPAGES </w:instrText>
    </w:r>
    <w:r w:rsidRPr="005E63FD">
      <w:rPr>
        <w:rFonts w:ascii="Arial" w:hAnsi="Arial" w:cs="Arial"/>
        <w:sz w:val="16"/>
        <w:szCs w:val="16"/>
      </w:rPr>
      <w:fldChar w:fldCharType="separate"/>
    </w:r>
    <w:r w:rsidR="00CC1D7B">
      <w:rPr>
        <w:rFonts w:ascii="Arial" w:hAnsi="Arial" w:cs="Arial"/>
        <w:noProof/>
        <w:sz w:val="16"/>
        <w:szCs w:val="16"/>
      </w:rPr>
      <w:t>8</w:t>
    </w:r>
    <w:r w:rsidRPr="005E63FD">
      <w:rPr>
        <w:rFonts w:ascii="Arial" w:hAnsi="Arial" w:cs="Arial"/>
        <w:sz w:val="16"/>
        <w:szCs w:val="16"/>
      </w:rPr>
      <w:fldChar w:fldCharType="end"/>
    </w:r>
  </w:p>
  <w:p w:rsidR="00D018D2" w:rsidRDefault="00D018D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5B3" w:rsidRDefault="009425B3">
      <w:r>
        <w:separator/>
      </w:r>
    </w:p>
  </w:footnote>
  <w:footnote w:type="continuationSeparator" w:id="0">
    <w:p w:rsidR="009425B3" w:rsidRDefault="00942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CD6B5D"/>
    <w:multiLevelType w:val="hybridMultilevel"/>
    <w:tmpl w:val="2A3231E4"/>
    <w:lvl w:ilvl="0" w:tplc="71229930">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E709EA"/>
    <w:multiLevelType w:val="hybridMultilevel"/>
    <w:tmpl w:val="1E2A7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03A8B"/>
    <w:multiLevelType w:val="hybridMultilevel"/>
    <w:tmpl w:val="99D62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313228"/>
    <w:multiLevelType w:val="hybridMultilevel"/>
    <w:tmpl w:val="D8C6D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50274"/>
    <w:multiLevelType w:val="hybridMultilevel"/>
    <w:tmpl w:val="86E69CDC"/>
    <w:lvl w:ilvl="0" w:tplc="5AA27B96">
      <w:start w:val="1"/>
      <w:numFmt w:val="bullet"/>
      <w:lvlText w:val=""/>
      <w:lvlJc w:val="left"/>
      <w:pPr>
        <w:ind w:left="360" w:hanging="360"/>
      </w:pPr>
      <w:rPr>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3749E"/>
    <w:multiLevelType w:val="hybridMultilevel"/>
    <w:tmpl w:val="638A3056"/>
    <w:lvl w:ilvl="0" w:tplc="5AA27B96">
      <w:start w:val="1"/>
      <w:numFmt w:val="bullet"/>
      <w:lvlText w:val=""/>
      <w:lvlJc w:val="left"/>
      <w:pPr>
        <w:ind w:left="360" w:hanging="360"/>
      </w:pPr>
      <w:rPr>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E7D4B"/>
    <w:multiLevelType w:val="hybridMultilevel"/>
    <w:tmpl w:val="E822DF1C"/>
    <w:lvl w:ilvl="0" w:tplc="FAD42D7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3625A9"/>
    <w:multiLevelType w:val="hybridMultilevel"/>
    <w:tmpl w:val="E9BE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267E2"/>
    <w:multiLevelType w:val="hybridMultilevel"/>
    <w:tmpl w:val="0B0E8866"/>
    <w:lvl w:ilvl="0" w:tplc="5AA27B96">
      <w:start w:val="1"/>
      <w:numFmt w:val="bullet"/>
      <w:lvlText w:val=""/>
      <w:lvlJc w:val="left"/>
      <w:pPr>
        <w:ind w:left="360" w:hanging="360"/>
      </w:pPr>
      <w:rPr>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B80B0C"/>
    <w:multiLevelType w:val="hybridMultilevel"/>
    <w:tmpl w:val="F4A60D56"/>
    <w:lvl w:ilvl="0" w:tplc="893C6BB0">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329F2"/>
    <w:multiLevelType w:val="hybridMultilevel"/>
    <w:tmpl w:val="DF72D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6116E"/>
    <w:multiLevelType w:val="hybridMultilevel"/>
    <w:tmpl w:val="A740C744"/>
    <w:lvl w:ilvl="0" w:tplc="A97694D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361A534B"/>
    <w:multiLevelType w:val="hybridMultilevel"/>
    <w:tmpl w:val="5F12A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BC07D9"/>
    <w:multiLevelType w:val="hybridMultilevel"/>
    <w:tmpl w:val="4BFC8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16844"/>
    <w:multiLevelType w:val="hybridMultilevel"/>
    <w:tmpl w:val="913E8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24DD7"/>
    <w:multiLevelType w:val="hybridMultilevel"/>
    <w:tmpl w:val="FE50D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0970CA"/>
    <w:multiLevelType w:val="hybridMultilevel"/>
    <w:tmpl w:val="A71C6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866C3C"/>
    <w:multiLevelType w:val="hybridMultilevel"/>
    <w:tmpl w:val="7700D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9733E4"/>
    <w:multiLevelType w:val="hybridMultilevel"/>
    <w:tmpl w:val="C92C1722"/>
    <w:lvl w:ilvl="0" w:tplc="5AA27B96">
      <w:start w:val="1"/>
      <w:numFmt w:val="bullet"/>
      <w:lvlText w:val=""/>
      <w:lvlJc w:val="left"/>
      <w:pPr>
        <w:ind w:left="360" w:hanging="360"/>
      </w:pPr>
      <w:rPr>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AD5073"/>
    <w:multiLevelType w:val="hybridMultilevel"/>
    <w:tmpl w:val="07A6B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0D720E"/>
    <w:multiLevelType w:val="hybridMultilevel"/>
    <w:tmpl w:val="DCD223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2251860"/>
    <w:multiLevelType w:val="hybridMultilevel"/>
    <w:tmpl w:val="7B8054B4"/>
    <w:lvl w:ilvl="0" w:tplc="A97694D8">
      <w:start w:val="1"/>
      <w:numFmt w:val="decimal"/>
      <w:lvlText w:val="%1."/>
      <w:lvlJc w:val="left"/>
      <w:pPr>
        <w:ind w:left="456"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3" w15:restartNumberingAfterBreak="0">
    <w:nsid w:val="54F50412"/>
    <w:multiLevelType w:val="singleLevel"/>
    <w:tmpl w:val="81AE9806"/>
    <w:lvl w:ilvl="0">
      <w:start w:val="2"/>
      <w:numFmt w:val="upperLetter"/>
      <w:lvlText w:val="%1."/>
      <w:lvlJc w:val="left"/>
      <w:pPr>
        <w:tabs>
          <w:tab w:val="num" w:pos="720"/>
        </w:tabs>
        <w:ind w:left="720" w:hanging="360"/>
      </w:pPr>
      <w:rPr>
        <w:rFonts w:cs="Times New Roman"/>
      </w:rPr>
    </w:lvl>
  </w:abstractNum>
  <w:abstractNum w:abstractNumId="24" w15:restartNumberingAfterBreak="0">
    <w:nsid w:val="5B43689E"/>
    <w:multiLevelType w:val="hybridMultilevel"/>
    <w:tmpl w:val="FC421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A87E84"/>
    <w:multiLevelType w:val="hybridMultilevel"/>
    <w:tmpl w:val="37DA2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445AF1"/>
    <w:multiLevelType w:val="hybridMultilevel"/>
    <w:tmpl w:val="99C6E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6F1843"/>
    <w:multiLevelType w:val="hybridMultilevel"/>
    <w:tmpl w:val="CEFE64C6"/>
    <w:lvl w:ilvl="0" w:tplc="9738E8BC">
      <w:start w:val="1"/>
      <w:numFmt w:val="bullet"/>
      <w:lvlText w:val=""/>
      <w:lvlJc w:val="left"/>
      <w:pPr>
        <w:ind w:left="360" w:hanging="360"/>
      </w:pPr>
      <w:rPr>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1A6AC7"/>
    <w:multiLevelType w:val="hybridMultilevel"/>
    <w:tmpl w:val="54EA1404"/>
    <w:lvl w:ilvl="0" w:tplc="5AA27B96">
      <w:start w:val="1"/>
      <w:numFmt w:val="bullet"/>
      <w:lvlText w:val=""/>
      <w:lvlJc w:val="left"/>
      <w:pPr>
        <w:ind w:left="360" w:hanging="360"/>
      </w:pPr>
      <w:rPr>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C576D3"/>
    <w:multiLevelType w:val="hybridMultilevel"/>
    <w:tmpl w:val="10D06A42"/>
    <w:lvl w:ilvl="0" w:tplc="DD86FF9A">
      <w:start w:val="1"/>
      <w:numFmt w:val="decimal"/>
      <w:lvlText w:val="%1."/>
      <w:lvlJc w:val="left"/>
      <w:pPr>
        <w:ind w:left="360" w:hanging="360"/>
      </w:pPr>
      <w:rPr>
        <w:rFonts w:ascii="Georgia" w:hAnsi="Georgia"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CBE0A52"/>
    <w:multiLevelType w:val="hybridMultilevel"/>
    <w:tmpl w:val="3DC0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B5479D"/>
    <w:multiLevelType w:val="singleLevel"/>
    <w:tmpl w:val="32DA57CC"/>
    <w:lvl w:ilvl="0">
      <w:start w:val="1"/>
      <w:numFmt w:val="upperLetter"/>
      <w:lvlText w:val="%1."/>
      <w:legacy w:legacy="1" w:legacySpace="0" w:legacyIndent="360"/>
      <w:lvlJc w:val="left"/>
      <w:pPr>
        <w:ind w:left="720" w:hanging="360"/>
      </w:pPr>
      <w:rPr>
        <w:rFonts w:cs="Times New Roman"/>
      </w:rPr>
    </w:lvl>
  </w:abstractNum>
  <w:abstractNum w:abstractNumId="32" w15:restartNumberingAfterBreak="0">
    <w:nsid w:val="70ED02CA"/>
    <w:multiLevelType w:val="hybridMultilevel"/>
    <w:tmpl w:val="A5D8F602"/>
    <w:lvl w:ilvl="0" w:tplc="893C6BB0">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F07F9F"/>
    <w:multiLevelType w:val="hybridMultilevel"/>
    <w:tmpl w:val="F900FA1C"/>
    <w:lvl w:ilvl="0" w:tplc="062C27D2">
      <w:start w:val="1"/>
      <w:numFmt w:val="decimal"/>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34" w15:restartNumberingAfterBreak="0">
    <w:nsid w:val="72C36AD3"/>
    <w:multiLevelType w:val="hybridMultilevel"/>
    <w:tmpl w:val="F5B47D66"/>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35" w15:restartNumberingAfterBreak="0">
    <w:nsid w:val="7B4E2AD9"/>
    <w:multiLevelType w:val="singleLevel"/>
    <w:tmpl w:val="0409000F"/>
    <w:lvl w:ilvl="0">
      <w:start w:val="1"/>
      <w:numFmt w:val="decimal"/>
      <w:lvlText w:val="%1."/>
      <w:lvlJc w:val="left"/>
      <w:pPr>
        <w:ind w:left="360" w:hanging="360"/>
      </w:pPr>
      <w:rPr>
        <w:b/>
        <w:i w:val="0"/>
        <w:strike w:val="0"/>
        <w:dstrike w:val="0"/>
        <w:u w:val="none"/>
        <w:effect w:val="none"/>
      </w:rPr>
    </w:lvl>
  </w:abstractNum>
  <w:abstractNum w:abstractNumId="36" w15:restartNumberingAfterBreak="0">
    <w:nsid w:val="7B855EA9"/>
    <w:multiLevelType w:val="hybridMultilevel"/>
    <w:tmpl w:val="6DFE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DD1926"/>
    <w:multiLevelType w:val="hybridMultilevel"/>
    <w:tmpl w:val="F6F6F1CA"/>
    <w:lvl w:ilvl="0" w:tplc="5AA27B96">
      <w:start w:val="1"/>
      <w:numFmt w:val="bullet"/>
      <w:lvlText w:val=""/>
      <w:lvlJc w:val="left"/>
      <w:pPr>
        <w:ind w:left="360" w:hanging="360"/>
      </w:pPr>
      <w:rPr>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35044B"/>
    <w:multiLevelType w:val="hybridMultilevel"/>
    <w:tmpl w:val="CDBE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lvlOverride w:ilvl="0">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1"/>
        <w:numFmt w:val="bullet"/>
        <w:lvlText w:val=""/>
        <w:legacy w:legacy="1" w:legacySpace="0" w:legacyIndent="360"/>
        <w:lvlJc w:val="left"/>
        <w:pPr>
          <w:ind w:left="2160" w:hanging="360"/>
        </w:pPr>
        <w:rPr>
          <w:rFonts w:ascii="Symbol" w:hAnsi="Symbol" w:hint="default"/>
        </w:rPr>
      </w:lvl>
    </w:lvlOverride>
  </w:num>
  <w:num w:numId="4">
    <w:abstractNumId w:val="35"/>
  </w:num>
  <w:num w:numId="5">
    <w:abstractNumId w:val="31"/>
  </w:num>
  <w:num w:numId="6">
    <w:abstractNumId w:val="23"/>
  </w:num>
  <w:num w:numId="7">
    <w:abstractNumId w:val="9"/>
  </w:num>
  <w:num w:numId="8">
    <w:abstractNumId w:val="27"/>
  </w:num>
  <w:num w:numId="9">
    <w:abstractNumId w:val="6"/>
  </w:num>
  <w:num w:numId="10">
    <w:abstractNumId w:val="37"/>
  </w:num>
  <w:num w:numId="11">
    <w:abstractNumId w:val="19"/>
  </w:num>
  <w:num w:numId="12">
    <w:abstractNumId w:val="28"/>
  </w:num>
  <w:num w:numId="13">
    <w:abstractNumId w:val="5"/>
  </w:num>
  <w:num w:numId="14">
    <w:abstractNumId w:val="24"/>
  </w:num>
  <w:num w:numId="15">
    <w:abstractNumId w:val="36"/>
  </w:num>
  <w:num w:numId="16">
    <w:abstractNumId w:val="17"/>
  </w:num>
  <w:num w:numId="17">
    <w:abstractNumId w:val="3"/>
  </w:num>
  <w:num w:numId="18">
    <w:abstractNumId w:val="13"/>
  </w:num>
  <w:num w:numId="19">
    <w:abstractNumId w:val="1"/>
  </w:num>
  <w:num w:numId="20">
    <w:abstractNumId w:val="34"/>
  </w:num>
  <w:num w:numId="21">
    <w:abstractNumId w:val="3"/>
  </w:num>
  <w:num w:numId="22">
    <w:abstractNumId w:val="21"/>
  </w:num>
  <w:num w:numId="23">
    <w:abstractNumId w:val="15"/>
  </w:num>
  <w:num w:numId="24">
    <w:abstractNumId w:val="8"/>
  </w:num>
  <w:num w:numId="25">
    <w:abstractNumId w:val="29"/>
  </w:num>
  <w:num w:numId="26">
    <w:abstractNumId w:val="7"/>
  </w:num>
  <w:num w:numId="27">
    <w:abstractNumId w:val="38"/>
  </w:num>
  <w:num w:numId="28">
    <w:abstractNumId w:val="2"/>
  </w:num>
  <w:num w:numId="29">
    <w:abstractNumId w:val="26"/>
  </w:num>
  <w:num w:numId="30">
    <w:abstractNumId w:val="16"/>
  </w:num>
  <w:num w:numId="31">
    <w:abstractNumId w:val="25"/>
  </w:num>
  <w:num w:numId="32">
    <w:abstractNumId w:val="4"/>
  </w:num>
  <w:num w:numId="33">
    <w:abstractNumId w:val="14"/>
  </w:num>
  <w:num w:numId="34">
    <w:abstractNumId w:val="11"/>
  </w:num>
  <w:num w:numId="35">
    <w:abstractNumId w:val="18"/>
  </w:num>
  <w:num w:numId="36">
    <w:abstractNumId w:val="30"/>
  </w:num>
  <w:num w:numId="37">
    <w:abstractNumId w:val="32"/>
  </w:num>
  <w:num w:numId="38">
    <w:abstractNumId w:val="10"/>
  </w:num>
  <w:num w:numId="39">
    <w:abstractNumId w:val="20"/>
  </w:num>
  <w:num w:numId="40">
    <w:abstractNumId w:val="12"/>
  </w:num>
  <w:num w:numId="41">
    <w:abstractNumId w:val="22"/>
  </w:num>
  <w:num w:numId="42">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66"/>
    <w:rsid w:val="000006E0"/>
    <w:rsid w:val="000149E6"/>
    <w:rsid w:val="00044F92"/>
    <w:rsid w:val="00050E1F"/>
    <w:rsid w:val="00073A85"/>
    <w:rsid w:val="00077D3E"/>
    <w:rsid w:val="0008078F"/>
    <w:rsid w:val="00081857"/>
    <w:rsid w:val="000962E0"/>
    <w:rsid w:val="000A67EB"/>
    <w:rsid w:val="000C765E"/>
    <w:rsid w:val="00100310"/>
    <w:rsid w:val="0010740F"/>
    <w:rsid w:val="00120790"/>
    <w:rsid w:val="00151B0C"/>
    <w:rsid w:val="00157743"/>
    <w:rsid w:val="001743A0"/>
    <w:rsid w:val="00183866"/>
    <w:rsid w:val="00187A1B"/>
    <w:rsid w:val="001B4002"/>
    <w:rsid w:val="001C4CC4"/>
    <w:rsid w:val="001D229C"/>
    <w:rsid w:val="001D6375"/>
    <w:rsid w:val="00222B94"/>
    <w:rsid w:val="00223574"/>
    <w:rsid w:val="00225AEB"/>
    <w:rsid w:val="00236509"/>
    <w:rsid w:val="0024383F"/>
    <w:rsid w:val="00245121"/>
    <w:rsid w:val="00255774"/>
    <w:rsid w:val="00257CC5"/>
    <w:rsid w:val="0028069F"/>
    <w:rsid w:val="00297E57"/>
    <w:rsid w:val="002A054D"/>
    <w:rsid w:val="002B75E2"/>
    <w:rsid w:val="002C339D"/>
    <w:rsid w:val="002C4532"/>
    <w:rsid w:val="002D5B8F"/>
    <w:rsid w:val="00315C14"/>
    <w:rsid w:val="00326558"/>
    <w:rsid w:val="00341025"/>
    <w:rsid w:val="00366008"/>
    <w:rsid w:val="00373B9E"/>
    <w:rsid w:val="00380FC9"/>
    <w:rsid w:val="003A1C5C"/>
    <w:rsid w:val="003C241D"/>
    <w:rsid w:val="003C7C33"/>
    <w:rsid w:val="003E226E"/>
    <w:rsid w:val="004020F8"/>
    <w:rsid w:val="00415B74"/>
    <w:rsid w:val="004214E2"/>
    <w:rsid w:val="00462B95"/>
    <w:rsid w:val="0046402C"/>
    <w:rsid w:val="00477373"/>
    <w:rsid w:val="004937A8"/>
    <w:rsid w:val="004C64DA"/>
    <w:rsid w:val="004E2045"/>
    <w:rsid w:val="004E267A"/>
    <w:rsid w:val="004F10D2"/>
    <w:rsid w:val="004F45F3"/>
    <w:rsid w:val="00535573"/>
    <w:rsid w:val="0054110A"/>
    <w:rsid w:val="00591425"/>
    <w:rsid w:val="00596FE2"/>
    <w:rsid w:val="005A463E"/>
    <w:rsid w:val="005B3ED2"/>
    <w:rsid w:val="005C7BF6"/>
    <w:rsid w:val="005D1296"/>
    <w:rsid w:val="005D6CA6"/>
    <w:rsid w:val="005E0F49"/>
    <w:rsid w:val="005E63FD"/>
    <w:rsid w:val="005F10BC"/>
    <w:rsid w:val="006178CB"/>
    <w:rsid w:val="0062211C"/>
    <w:rsid w:val="00622E3C"/>
    <w:rsid w:val="00627F06"/>
    <w:rsid w:val="0063029F"/>
    <w:rsid w:val="0063141A"/>
    <w:rsid w:val="006436D1"/>
    <w:rsid w:val="00645840"/>
    <w:rsid w:val="00646309"/>
    <w:rsid w:val="00660A84"/>
    <w:rsid w:val="00691DB8"/>
    <w:rsid w:val="00693CE4"/>
    <w:rsid w:val="006A03B3"/>
    <w:rsid w:val="006B2BA3"/>
    <w:rsid w:val="006D5A14"/>
    <w:rsid w:val="0071084C"/>
    <w:rsid w:val="00715221"/>
    <w:rsid w:val="00723585"/>
    <w:rsid w:val="00753371"/>
    <w:rsid w:val="00760706"/>
    <w:rsid w:val="00761C15"/>
    <w:rsid w:val="0077083F"/>
    <w:rsid w:val="00774FBD"/>
    <w:rsid w:val="007765FE"/>
    <w:rsid w:val="00777CA8"/>
    <w:rsid w:val="00786E5D"/>
    <w:rsid w:val="00796734"/>
    <w:rsid w:val="007C7A6F"/>
    <w:rsid w:val="007E1294"/>
    <w:rsid w:val="007E46E7"/>
    <w:rsid w:val="007F49E5"/>
    <w:rsid w:val="00830FEE"/>
    <w:rsid w:val="00845B73"/>
    <w:rsid w:val="0085692D"/>
    <w:rsid w:val="0085724B"/>
    <w:rsid w:val="008C20A7"/>
    <w:rsid w:val="008D1ADB"/>
    <w:rsid w:val="008E3430"/>
    <w:rsid w:val="008E6CA1"/>
    <w:rsid w:val="008F3F15"/>
    <w:rsid w:val="00916939"/>
    <w:rsid w:val="00927D08"/>
    <w:rsid w:val="0094211C"/>
    <w:rsid w:val="009425B3"/>
    <w:rsid w:val="00951302"/>
    <w:rsid w:val="00956943"/>
    <w:rsid w:val="009741AE"/>
    <w:rsid w:val="0098098D"/>
    <w:rsid w:val="009838F9"/>
    <w:rsid w:val="009A6179"/>
    <w:rsid w:val="009B3BC9"/>
    <w:rsid w:val="009C0C24"/>
    <w:rsid w:val="009C4C4B"/>
    <w:rsid w:val="009E489C"/>
    <w:rsid w:val="009F61EA"/>
    <w:rsid w:val="009F7F4E"/>
    <w:rsid w:val="00A03169"/>
    <w:rsid w:val="00A05224"/>
    <w:rsid w:val="00A074F5"/>
    <w:rsid w:val="00A07736"/>
    <w:rsid w:val="00A13B41"/>
    <w:rsid w:val="00A16B71"/>
    <w:rsid w:val="00A20E99"/>
    <w:rsid w:val="00A25B4D"/>
    <w:rsid w:val="00A26080"/>
    <w:rsid w:val="00A261C9"/>
    <w:rsid w:val="00A30BE6"/>
    <w:rsid w:val="00A30C4E"/>
    <w:rsid w:val="00A52EA0"/>
    <w:rsid w:val="00A56464"/>
    <w:rsid w:val="00A6113D"/>
    <w:rsid w:val="00A619AE"/>
    <w:rsid w:val="00A6248D"/>
    <w:rsid w:val="00A70BD0"/>
    <w:rsid w:val="00A773C8"/>
    <w:rsid w:val="00A808F3"/>
    <w:rsid w:val="00A86D6A"/>
    <w:rsid w:val="00A902C2"/>
    <w:rsid w:val="00A90865"/>
    <w:rsid w:val="00A9157C"/>
    <w:rsid w:val="00A93438"/>
    <w:rsid w:val="00AA2F87"/>
    <w:rsid w:val="00AD18BE"/>
    <w:rsid w:val="00AD30BC"/>
    <w:rsid w:val="00AF0361"/>
    <w:rsid w:val="00AF1938"/>
    <w:rsid w:val="00B16733"/>
    <w:rsid w:val="00B62E69"/>
    <w:rsid w:val="00B9108B"/>
    <w:rsid w:val="00BB20F9"/>
    <w:rsid w:val="00BB7530"/>
    <w:rsid w:val="00BF2D94"/>
    <w:rsid w:val="00BF7375"/>
    <w:rsid w:val="00C009F6"/>
    <w:rsid w:val="00C16E91"/>
    <w:rsid w:val="00C73D3C"/>
    <w:rsid w:val="00C76E06"/>
    <w:rsid w:val="00C92662"/>
    <w:rsid w:val="00CA02EF"/>
    <w:rsid w:val="00CB2642"/>
    <w:rsid w:val="00CC1D7B"/>
    <w:rsid w:val="00CE5F37"/>
    <w:rsid w:val="00CF2746"/>
    <w:rsid w:val="00D018D2"/>
    <w:rsid w:val="00D13EEC"/>
    <w:rsid w:val="00D161EA"/>
    <w:rsid w:val="00D16E81"/>
    <w:rsid w:val="00D21495"/>
    <w:rsid w:val="00D252C1"/>
    <w:rsid w:val="00D27587"/>
    <w:rsid w:val="00D32319"/>
    <w:rsid w:val="00D41FE0"/>
    <w:rsid w:val="00D53B82"/>
    <w:rsid w:val="00D56600"/>
    <w:rsid w:val="00D70E1F"/>
    <w:rsid w:val="00D83F79"/>
    <w:rsid w:val="00D90929"/>
    <w:rsid w:val="00DA7475"/>
    <w:rsid w:val="00DB69AC"/>
    <w:rsid w:val="00DD2D34"/>
    <w:rsid w:val="00DF3D94"/>
    <w:rsid w:val="00DF4A06"/>
    <w:rsid w:val="00E06350"/>
    <w:rsid w:val="00E1060B"/>
    <w:rsid w:val="00E13FF1"/>
    <w:rsid w:val="00E14A6C"/>
    <w:rsid w:val="00E20EDC"/>
    <w:rsid w:val="00E24CD2"/>
    <w:rsid w:val="00E31A64"/>
    <w:rsid w:val="00E43D89"/>
    <w:rsid w:val="00E47DEB"/>
    <w:rsid w:val="00E65051"/>
    <w:rsid w:val="00E73714"/>
    <w:rsid w:val="00E74562"/>
    <w:rsid w:val="00E87565"/>
    <w:rsid w:val="00E95578"/>
    <w:rsid w:val="00EA766E"/>
    <w:rsid w:val="00EB22EA"/>
    <w:rsid w:val="00EB5593"/>
    <w:rsid w:val="00EF6961"/>
    <w:rsid w:val="00F05F39"/>
    <w:rsid w:val="00F11D85"/>
    <w:rsid w:val="00F52975"/>
    <w:rsid w:val="00F5445D"/>
    <w:rsid w:val="00F745CB"/>
    <w:rsid w:val="00F80794"/>
    <w:rsid w:val="00F86ADE"/>
    <w:rsid w:val="00F93896"/>
    <w:rsid w:val="00FB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B4A14A"/>
  <w15:docId w15:val="{D2646DEF-5C1D-4E5E-B5E6-19A6BE51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99"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lsdException w:name="Table Columns 2" w:semiHidden="1" w:uiPriority="99"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C4532"/>
    <w:pPr>
      <w:keepNext/>
      <w:outlineLvl w:val="0"/>
    </w:pPr>
    <w:rPr>
      <w:rFonts w:ascii="Arial" w:hAnsi="Arial" w:cs="Arial"/>
      <w:b/>
      <w:bCs/>
    </w:rPr>
  </w:style>
  <w:style w:type="paragraph" w:styleId="Heading2">
    <w:name w:val="heading 2"/>
    <w:basedOn w:val="Normal"/>
    <w:next w:val="Normal"/>
    <w:link w:val="Heading2Char"/>
    <w:qFormat/>
    <w:rsid w:val="002C453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1"/>
    <w:qFormat/>
    <w:rsid w:val="002C453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C4532"/>
    <w:pPr>
      <w:keepNext/>
      <w:spacing w:before="240" w:after="60"/>
      <w:outlineLvl w:val="3"/>
    </w:pPr>
    <w:rPr>
      <w:b/>
      <w:bCs/>
      <w:sz w:val="28"/>
      <w:szCs w:val="28"/>
    </w:rPr>
  </w:style>
  <w:style w:type="paragraph" w:styleId="Heading5">
    <w:name w:val="heading 5"/>
    <w:basedOn w:val="Normal"/>
    <w:next w:val="Normal"/>
    <w:link w:val="Heading5Char"/>
    <w:qFormat/>
    <w:rsid w:val="002C4532"/>
    <w:pPr>
      <w:spacing w:before="240" w:after="60"/>
      <w:outlineLvl w:val="4"/>
    </w:pPr>
    <w:rPr>
      <w:rFonts w:ascii="Century Gothic" w:hAnsi="Century Gothic"/>
      <w:b/>
      <w:bCs/>
      <w:i/>
      <w:iCs/>
      <w:sz w:val="26"/>
      <w:szCs w:val="26"/>
    </w:rPr>
  </w:style>
  <w:style w:type="paragraph" w:styleId="Heading6">
    <w:name w:val="heading 6"/>
    <w:basedOn w:val="Normal"/>
    <w:next w:val="Normal"/>
    <w:link w:val="Heading6Char"/>
    <w:qFormat/>
    <w:rsid w:val="002C453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532"/>
    <w:rPr>
      <w:rFonts w:ascii="Arial" w:hAnsi="Arial" w:cs="Arial"/>
      <w:b/>
      <w:bCs/>
      <w:sz w:val="24"/>
      <w:szCs w:val="24"/>
    </w:rPr>
  </w:style>
  <w:style w:type="character" w:customStyle="1" w:styleId="Heading2Char">
    <w:name w:val="Heading 2 Char"/>
    <w:basedOn w:val="DefaultParagraphFont"/>
    <w:link w:val="Heading2"/>
    <w:rsid w:val="002C4532"/>
    <w:rPr>
      <w:rFonts w:ascii="Arial" w:hAnsi="Arial" w:cs="Arial"/>
      <w:b/>
      <w:bCs/>
      <w:i/>
      <w:iCs/>
      <w:sz w:val="28"/>
      <w:szCs w:val="28"/>
    </w:rPr>
  </w:style>
  <w:style w:type="character" w:customStyle="1" w:styleId="Heading3Char">
    <w:name w:val="Heading 3 Char"/>
    <w:basedOn w:val="DefaultParagraphFont"/>
    <w:link w:val="Heading3"/>
    <w:uiPriority w:val="1"/>
    <w:rsid w:val="002C4532"/>
    <w:rPr>
      <w:rFonts w:ascii="Arial" w:hAnsi="Arial" w:cs="Arial"/>
      <w:b/>
      <w:bCs/>
      <w:sz w:val="26"/>
      <w:szCs w:val="26"/>
    </w:rPr>
  </w:style>
  <w:style w:type="character" w:customStyle="1" w:styleId="Heading4Char">
    <w:name w:val="Heading 4 Char"/>
    <w:basedOn w:val="DefaultParagraphFont"/>
    <w:link w:val="Heading4"/>
    <w:rsid w:val="002C4532"/>
    <w:rPr>
      <w:b/>
      <w:bCs/>
      <w:sz w:val="28"/>
      <w:szCs w:val="28"/>
    </w:rPr>
  </w:style>
  <w:style w:type="character" w:customStyle="1" w:styleId="Heading5Char">
    <w:name w:val="Heading 5 Char"/>
    <w:basedOn w:val="DefaultParagraphFont"/>
    <w:link w:val="Heading5"/>
    <w:rsid w:val="002C4532"/>
    <w:rPr>
      <w:rFonts w:ascii="Century Gothic" w:hAnsi="Century Gothic"/>
      <w:b/>
      <w:bCs/>
      <w:i/>
      <w:iCs/>
      <w:sz w:val="26"/>
      <w:szCs w:val="26"/>
    </w:rPr>
  </w:style>
  <w:style w:type="character" w:customStyle="1" w:styleId="Heading6Char">
    <w:name w:val="Heading 6 Char"/>
    <w:basedOn w:val="DefaultParagraphFont"/>
    <w:link w:val="Heading6"/>
    <w:rsid w:val="002C4532"/>
    <w:rPr>
      <w:b/>
      <w:bCs/>
      <w:sz w:val="22"/>
      <w:szCs w:val="22"/>
    </w:rPr>
  </w:style>
  <w:style w:type="paragraph" w:customStyle="1" w:styleId="Level1">
    <w:name w:val="Level 1"/>
    <w:basedOn w:val="Normal"/>
    <w:pPr>
      <w:widowControl w:val="0"/>
      <w:autoSpaceDE w:val="0"/>
      <w:autoSpaceDN w:val="0"/>
      <w:adjustRightInd w:val="0"/>
      <w:ind w:left="720" w:hanging="720"/>
    </w:pPr>
    <w:rPr>
      <w:sz w:val="20"/>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rsid w:val="0098098D"/>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C4532"/>
    <w:rPr>
      <w:sz w:val="24"/>
      <w:szCs w:val="24"/>
    </w:rPr>
  </w:style>
  <w:style w:type="paragraph" w:styleId="BodyTextIndent">
    <w:name w:val="Body Text Indent"/>
    <w:basedOn w:val="Normal"/>
    <w:link w:val="BodyTextIndentChar"/>
    <w:pPr>
      <w:ind w:left="1440"/>
    </w:pPr>
    <w:rPr>
      <w:rFonts w:ascii="Arial" w:hAnsi="Arial"/>
    </w:rPr>
  </w:style>
  <w:style w:type="character" w:customStyle="1" w:styleId="BodyTextIndentChar">
    <w:name w:val="Body Text Indent Char"/>
    <w:link w:val="BodyTextIndent"/>
    <w:rsid w:val="002C4532"/>
    <w:rPr>
      <w:rFonts w:ascii="Arial" w:hAnsi="Arial"/>
      <w:sz w:val="24"/>
      <w:szCs w:val="24"/>
    </w:rPr>
  </w:style>
  <w:style w:type="paragraph" w:styleId="Title">
    <w:name w:val="Title"/>
    <w:basedOn w:val="Normal"/>
    <w:link w:val="TitleChar"/>
    <w:qFormat/>
    <w:pPr>
      <w:jc w:val="center"/>
    </w:pPr>
    <w:rPr>
      <w:rFonts w:ascii="Arial" w:hAnsi="Arial"/>
      <w:b/>
      <w:bCs/>
      <w:sz w:val="36"/>
      <w:szCs w:val="36"/>
    </w:rPr>
  </w:style>
  <w:style w:type="character" w:customStyle="1" w:styleId="TitleChar">
    <w:name w:val="Title Char"/>
    <w:link w:val="Title"/>
    <w:rsid w:val="002C4532"/>
    <w:rPr>
      <w:rFonts w:ascii="Arial" w:hAnsi="Arial"/>
      <w:b/>
      <w:bCs/>
      <w:sz w:val="36"/>
      <w:szCs w:val="36"/>
    </w:rPr>
  </w:style>
  <w:style w:type="paragraph" w:styleId="BodyTextIndent2">
    <w:name w:val="Body Text Indent 2"/>
    <w:basedOn w:val="Normal"/>
    <w:rsid w:val="005E63FD"/>
    <w:pPr>
      <w:spacing w:after="120" w:line="480" w:lineRule="auto"/>
      <w:ind w:left="360"/>
    </w:pPr>
  </w:style>
  <w:style w:type="paragraph" w:styleId="BodyTextIndent3">
    <w:name w:val="Body Text Indent 3"/>
    <w:basedOn w:val="Normal"/>
    <w:link w:val="BodyTextIndent3Char"/>
    <w:rsid w:val="004E2045"/>
    <w:pPr>
      <w:spacing w:after="120"/>
      <w:ind w:left="360"/>
    </w:pPr>
    <w:rPr>
      <w:sz w:val="16"/>
      <w:szCs w:val="16"/>
    </w:rPr>
  </w:style>
  <w:style w:type="character" w:customStyle="1" w:styleId="BodyTextIndent3Char">
    <w:name w:val="Body Text Indent 3 Char"/>
    <w:link w:val="BodyTextIndent3"/>
    <w:rsid w:val="002C4532"/>
    <w:rPr>
      <w:sz w:val="16"/>
      <w:szCs w:val="16"/>
    </w:rPr>
  </w:style>
  <w:style w:type="paragraph" w:customStyle="1" w:styleId="Level4">
    <w:name w:val="Level 4"/>
    <w:rsid w:val="004E2045"/>
    <w:pPr>
      <w:autoSpaceDE w:val="0"/>
      <w:autoSpaceDN w:val="0"/>
      <w:adjustRightInd w:val="0"/>
      <w:ind w:left="2880"/>
    </w:pPr>
    <w:rPr>
      <w:szCs w:val="24"/>
    </w:rPr>
  </w:style>
  <w:style w:type="character" w:styleId="Hyperlink">
    <w:name w:val="Hyperlink"/>
    <w:rsid w:val="00D90929"/>
    <w:rPr>
      <w:rFonts w:ascii="Arial" w:hAnsi="Arial" w:cs="Arial" w:hint="default"/>
      <w:i/>
      <w:iCs/>
      <w:color w:val="0000FF"/>
      <w:u w:val="single"/>
    </w:rPr>
  </w:style>
  <w:style w:type="character" w:customStyle="1" w:styleId="SYSHYPERTEXT">
    <w:name w:val="SYS_HYPERTEXT"/>
    <w:rsid w:val="00D90929"/>
    <w:rPr>
      <w:color w:val="0000FF"/>
      <w:u w:val="single"/>
    </w:rPr>
  </w:style>
  <w:style w:type="paragraph" w:styleId="BalloonText">
    <w:name w:val="Balloon Text"/>
    <w:basedOn w:val="Normal"/>
    <w:link w:val="BalloonTextChar"/>
    <w:rsid w:val="0085724B"/>
    <w:rPr>
      <w:rFonts w:ascii="Tahoma" w:hAnsi="Tahoma" w:cs="Tahoma"/>
      <w:sz w:val="16"/>
      <w:szCs w:val="16"/>
    </w:rPr>
  </w:style>
  <w:style w:type="character" w:customStyle="1" w:styleId="BalloonTextChar">
    <w:name w:val="Balloon Text Char"/>
    <w:link w:val="BalloonText"/>
    <w:locked/>
    <w:rsid w:val="002C4532"/>
    <w:rPr>
      <w:rFonts w:ascii="Tahoma" w:hAnsi="Tahoma" w:cs="Tahoma"/>
      <w:sz w:val="16"/>
      <w:szCs w:val="16"/>
    </w:rPr>
  </w:style>
  <w:style w:type="table" w:styleId="TableGrid">
    <w:name w:val="Table Grid"/>
    <w:basedOn w:val="TableNormal"/>
    <w:uiPriority w:val="99"/>
    <w:rsid w:val="00D32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596FE2"/>
    <w:rPr>
      <w:color w:val="606420"/>
      <w:u w:val="single"/>
    </w:rPr>
  </w:style>
  <w:style w:type="paragraph" w:styleId="BodyText">
    <w:name w:val="Body Text"/>
    <w:basedOn w:val="Normal"/>
    <w:link w:val="BodyTextChar"/>
    <w:uiPriority w:val="1"/>
    <w:unhideWhenUsed/>
    <w:qFormat/>
    <w:rsid w:val="00120790"/>
    <w:pPr>
      <w:spacing w:after="120"/>
    </w:pPr>
  </w:style>
  <w:style w:type="character" w:customStyle="1" w:styleId="BodyTextChar">
    <w:name w:val="Body Text Char"/>
    <w:basedOn w:val="DefaultParagraphFont"/>
    <w:link w:val="BodyText"/>
    <w:uiPriority w:val="1"/>
    <w:rsid w:val="00120790"/>
    <w:rPr>
      <w:sz w:val="24"/>
      <w:szCs w:val="24"/>
    </w:rPr>
  </w:style>
  <w:style w:type="paragraph" w:customStyle="1" w:styleId="Headline">
    <w:name w:val="Headline"/>
    <w:rsid w:val="00120790"/>
    <w:pPr>
      <w:spacing w:after="72" w:line="200" w:lineRule="atLeast"/>
    </w:pPr>
    <w:rPr>
      <w:rFonts w:ascii="Futura XBlk BT" w:hAnsi="Futura XBlk BT"/>
      <w:color w:val="000000"/>
    </w:rPr>
  </w:style>
  <w:style w:type="paragraph" w:styleId="BodyText2">
    <w:name w:val="Body Text 2"/>
    <w:basedOn w:val="Normal"/>
    <w:link w:val="BodyText2Char"/>
    <w:rsid w:val="002C4532"/>
    <w:pPr>
      <w:spacing w:after="120" w:line="480" w:lineRule="auto"/>
    </w:pPr>
    <w:rPr>
      <w:rFonts w:ascii="Century Gothic" w:hAnsi="Century Gothic"/>
      <w:sz w:val="22"/>
      <w:szCs w:val="22"/>
    </w:rPr>
  </w:style>
  <w:style w:type="character" w:customStyle="1" w:styleId="BodyText2Char">
    <w:name w:val="Body Text 2 Char"/>
    <w:basedOn w:val="DefaultParagraphFont"/>
    <w:link w:val="BodyText2"/>
    <w:rsid w:val="002C4532"/>
    <w:rPr>
      <w:rFonts w:ascii="Century Gothic" w:hAnsi="Century Gothic"/>
      <w:sz w:val="22"/>
      <w:szCs w:val="22"/>
    </w:rPr>
  </w:style>
  <w:style w:type="paragraph" w:styleId="BodyText3">
    <w:name w:val="Body Text 3"/>
    <w:basedOn w:val="Normal"/>
    <w:link w:val="BodyText3Char"/>
    <w:rsid w:val="002C4532"/>
    <w:pPr>
      <w:spacing w:after="120"/>
    </w:pPr>
    <w:rPr>
      <w:rFonts w:ascii="Century Gothic" w:hAnsi="Century Gothic"/>
      <w:sz w:val="16"/>
      <w:szCs w:val="16"/>
    </w:rPr>
  </w:style>
  <w:style w:type="character" w:customStyle="1" w:styleId="BodyText3Char">
    <w:name w:val="Body Text 3 Char"/>
    <w:basedOn w:val="DefaultParagraphFont"/>
    <w:link w:val="BodyText3"/>
    <w:rsid w:val="002C4532"/>
    <w:rPr>
      <w:rFonts w:ascii="Century Gothic" w:hAnsi="Century Gothic"/>
      <w:sz w:val="16"/>
      <w:szCs w:val="16"/>
    </w:rPr>
  </w:style>
  <w:style w:type="paragraph" w:styleId="Subtitle">
    <w:name w:val="Subtitle"/>
    <w:basedOn w:val="Normal"/>
    <w:link w:val="SubtitleChar"/>
    <w:qFormat/>
    <w:rsid w:val="002C4532"/>
    <w:pPr>
      <w:jc w:val="center"/>
    </w:pPr>
    <w:rPr>
      <w:rFonts w:ascii="Arial" w:hAnsi="Arial"/>
      <w:sz w:val="32"/>
    </w:rPr>
  </w:style>
  <w:style w:type="character" w:customStyle="1" w:styleId="SubtitleChar">
    <w:name w:val="Subtitle Char"/>
    <w:basedOn w:val="DefaultParagraphFont"/>
    <w:link w:val="Subtitle"/>
    <w:rsid w:val="002C4532"/>
    <w:rPr>
      <w:rFonts w:ascii="Arial" w:hAnsi="Arial"/>
      <w:sz w:val="32"/>
      <w:szCs w:val="24"/>
    </w:rPr>
  </w:style>
  <w:style w:type="paragraph" w:customStyle="1" w:styleId="Pa3">
    <w:name w:val="Pa3"/>
    <w:basedOn w:val="Normal"/>
    <w:next w:val="Normal"/>
    <w:rsid w:val="002C4532"/>
    <w:pPr>
      <w:autoSpaceDE w:val="0"/>
      <w:autoSpaceDN w:val="0"/>
      <w:adjustRightInd w:val="0"/>
      <w:spacing w:line="141" w:lineRule="atLeast"/>
    </w:pPr>
    <w:rPr>
      <w:rFonts w:ascii="Futura Condensed" w:hAnsi="Futura Condensed"/>
    </w:rPr>
  </w:style>
  <w:style w:type="character" w:customStyle="1" w:styleId="A4">
    <w:name w:val="A4"/>
    <w:uiPriority w:val="99"/>
    <w:rsid w:val="002C4532"/>
    <w:rPr>
      <w:color w:val="221E1F"/>
      <w:sz w:val="8"/>
    </w:rPr>
  </w:style>
  <w:style w:type="paragraph" w:styleId="HTMLPreformatted">
    <w:name w:val="HTML Preformatted"/>
    <w:basedOn w:val="Normal"/>
    <w:link w:val="HTMLPreformattedChar"/>
    <w:rsid w:val="002C4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C4532"/>
    <w:rPr>
      <w:rFonts w:ascii="Courier New" w:hAnsi="Courier New" w:cs="Courier New"/>
    </w:rPr>
  </w:style>
  <w:style w:type="paragraph" w:customStyle="1" w:styleId="body">
    <w:name w:val="body"/>
    <w:basedOn w:val="Normal"/>
    <w:rsid w:val="002C4532"/>
    <w:pPr>
      <w:widowControl w:val="0"/>
      <w:autoSpaceDE w:val="0"/>
      <w:autoSpaceDN w:val="0"/>
      <w:adjustRightInd w:val="0"/>
      <w:spacing w:after="180" w:line="190" w:lineRule="atLeast"/>
      <w:jc w:val="both"/>
      <w:textAlignment w:val="center"/>
    </w:pPr>
    <w:rPr>
      <w:rFonts w:ascii="Univers LT Std 55" w:hAnsi="Univers LT Std 55"/>
      <w:color w:val="000000"/>
      <w:sz w:val="15"/>
      <w:szCs w:val="15"/>
    </w:rPr>
  </w:style>
  <w:style w:type="paragraph" w:customStyle="1" w:styleId="Default">
    <w:name w:val="Default"/>
    <w:rsid w:val="002C4532"/>
    <w:pPr>
      <w:autoSpaceDE w:val="0"/>
      <w:autoSpaceDN w:val="0"/>
      <w:adjustRightInd w:val="0"/>
    </w:pPr>
    <w:rPr>
      <w:rFonts w:ascii="LGGCNE+Arial" w:hAnsi="LGGCNE+Arial" w:cs="LGGCNE+Arial"/>
      <w:color w:val="000000"/>
      <w:sz w:val="24"/>
      <w:szCs w:val="24"/>
    </w:rPr>
  </w:style>
  <w:style w:type="paragraph" w:customStyle="1" w:styleId="Pa5">
    <w:name w:val="Pa5"/>
    <w:basedOn w:val="Default"/>
    <w:next w:val="Default"/>
    <w:uiPriority w:val="99"/>
    <w:rsid w:val="002C4532"/>
    <w:pPr>
      <w:spacing w:line="141" w:lineRule="atLeast"/>
    </w:pPr>
    <w:rPr>
      <w:rFonts w:ascii="Dax-Light" w:hAnsi="Dax-Light" w:cs="Times New Roman"/>
      <w:color w:val="auto"/>
    </w:rPr>
  </w:style>
  <w:style w:type="paragraph" w:customStyle="1" w:styleId="Pa10">
    <w:name w:val="Pa10"/>
    <w:basedOn w:val="Default"/>
    <w:next w:val="Default"/>
    <w:uiPriority w:val="99"/>
    <w:rsid w:val="002C4532"/>
    <w:pPr>
      <w:spacing w:line="141" w:lineRule="atLeast"/>
    </w:pPr>
    <w:rPr>
      <w:rFonts w:ascii="Dax-Light" w:hAnsi="Dax-Light" w:cs="Times New Roman"/>
      <w:color w:val="auto"/>
    </w:rPr>
  </w:style>
  <w:style w:type="paragraph" w:customStyle="1" w:styleId="Pa11">
    <w:name w:val="Pa11"/>
    <w:basedOn w:val="Default"/>
    <w:next w:val="Default"/>
    <w:rsid w:val="002C4532"/>
    <w:pPr>
      <w:spacing w:line="141" w:lineRule="atLeast"/>
    </w:pPr>
    <w:rPr>
      <w:rFonts w:ascii="Dax-Light" w:hAnsi="Dax-Light" w:cs="Times New Roman"/>
      <w:color w:val="auto"/>
    </w:rPr>
  </w:style>
  <w:style w:type="character" w:customStyle="1" w:styleId="A3">
    <w:name w:val="A3"/>
    <w:uiPriority w:val="99"/>
    <w:rsid w:val="002C4532"/>
    <w:rPr>
      <w:color w:val="221E1F"/>
      <w:sz w:val="8"/>
    </w:rPr>
  </w:style>
  <w:style w:type="paragraph" w:customStyle="1" w:styleId="Pa8">
    <w:name w:val="Pa8"/>
    <w:basedOn w:val="Default"/>
    <w:next w:val="Default"/>
    <w:rsid w:val="002C4532"/>
    <w:pPr>
      <w:spacing w:line="141" w:lineRule="atLeast"/>
    </w:pPr>
    <w:rPr>
      <w:rFonts w:ascii="Dax-Light" w:hAnsi="Dax-Light" w:cs="Times New Roman"/>
      <w:color w:val="auto"/>
    </w:rPr>
  </w:style>
  <w:style w:type="paragraph" w:customStyle="1" w:styleId="Pa12">
    <w:name w:val="Pa12"/>
    <w:basedOn w:val="Default"/>
    <w:next w:val="Default"/>
    <w:uiPriority w:val="99"/>
    <w:rsid w:val="002C4532"/>
    <w:pPr>
      <w:spacing w:line="141" w:lineRule="atLeast"/>
    </w:pPr>
    <w:rPr>
      <w:rFonts w:ascii="Dax-Light" w:hAnsi="Dax-Light" w:cs="Times New Roman"/>
      <w:color w:val="auto"/>
    </w:rPr>
  </w:style>
  <w:style w:type="paragraph" w:customStyle="1" w:styleId="Pa7">
    <w:name w:val="Pa7"/>
    <w:basedOn w:val="Default"/>
    <w:next w:val="Default"/>
    <w:uiPriority w:val="99"/>
    <w:rsid w:val="002C4532"/>
    <w:pPr>
      <w:spacing w:line="141" w:lineRule="atLeast"/>
    </w:pPr>
    <w:rPr>
      <w:rFonts w:ascii="Dax-Light" w:hAnsi="Dax-Light" w:cs="Times New Roman"/>
      <w:color w:val="auto"/>
    </w:rPr>
  </w:style>
  <w:style w:type="character" w:customStyle="1" w:styleId="A2">
    <w:name w:val="A2"/>
    <w:uiPriority w:val="99"/>
    <w:rsid w:val="002C4532"/>
    <w:rPr>
      <w:color w:val="221E1F"/>
      <w:sz w:val="18"/>
    </w:rPr>
  </w:style>
  <w:style w:type="character" w:customStyle="1" w:styleId="A5">
    <w:name w:val="A5"/>
    <w:rsid w:val="002C4532"/>
    <w:rPr>
      <w:rFonts w:ascii="Dax-LightItalic" w:hAnsi="Dax-LightItalic"/>
      <w:color w:val="221E1F"/>
      <w:sz w:val="14"/>
      <w:u w:val="single"/>
    </w:rPr>
  </w:style>
  <w:style w:type="paragraph" w:customStyle="1" w:styleId="Pa1">
    <w:name w:val="Pa1"/>
    <w:basedOn w:val="Default"/>
    <w:next w:val="Default"/>
    <w:uiPriority w:val="99"/>
    <w:rsid w:val="002C4532"/>
    <w:pPr>
      <w:spacing w:line="181" w:lineRule="atLeast"/>
    </w:pPr>
    <w:rPr>
      <w:rFonts w:ascii="Dax-Light" w:hAnsi="Dax-Light" w:cs="Times New Roman"/>
      <w:color w:val="auto"/>
    </w:rPr>
  </w:style>
  <w:style w:type="character" w:customStyle="1" w:styleId="A0">
    <w:name w:val="A0"/>
    <w:rsid w:val="002C4532"/>
    <w:rPr>
      <w:rFonts w:ascii="Dax-Medium" w:hAnsi="Dax-Medium"/>
      <w:color w:val="221E1F"/>
      <w:sz w:val="14"/>
    </w:rPr>
  </w:style>
  <w:style w:type="paragraph" w:customStyle="1" w:styleId="Pa6">
    <w:name w:val="Pa6"/>
    <w:basedOn w:val="Default"/>
    <w:next w:val="Default"/>
    <w:uiPriority w:val="99"/>
    <w:rsid w:val="002C4532"/>
    <w:pPr>
      <w:spacing w:line="181" w:lineRule="atLeast"/>
    </w:pPr>
    <w:rPr>
      <w:rFonts w:ascii="Dax-Light" w:hAnsi="Dax-Light" w:cs="Times New Roman"/>
      <w:color w:val="auto"/>
    </w:rPr>
  </w:style>
  <w:style w:type="paragraph" w:customStyle="1" w:styleId="Pa15">
    <w:name w:val="Pa15"/>
    <w:basedOn w:val="Default"/>
    <w:next w:val="Default"/>
    <w:rsid w:val="002C4532"/>
    <w:pPr>
      <w:spacing w:line="141" w:lineRule="atLeast"/>
    </w:pPr>
    <w:rPr>
      <w:rFonts w:ascii="Dax-Light" w:hAnsi="Dax-Light" w:cs="Times New Roman"/>
      <w:color w:val="auto"/>
    </w:rPr>
  </w:style>
  <w:style w:type="character" w:customStyle="1" w:styleId="A6">
    <w:name w:val="A6"/>
    <w:rsid w:val="002C4532"/>
    <w:rPr>
      <w:rFonts w:ascii="Dax-LightItalic" w:hAnsi="Dax-LightItalic"/>
      <w:color w:val="221E1F"/>
      <w:sz w:val="12"/>
    </w:rPr>
  </w:style>
  <w:style w:type="paragraph" w:customStyle="1" w:styleId="Pa13">
    <w:name w:val="Pa13"/>
    <w:basedOn w:val="Default"/>
    <w:next w:val="Default"/>
    <w:uiPriority w:val="99"/>
    <w:rsid w:val="002C4532"/>
    <w:pPr>
      <w:spacing w:line="141" w:lineRule="atLeast"/>
    </w:pPr>
    <w:rPr>
      <w:rFonts w:ascii="Dax-Light" w:hAnsi="Dax-Light" w:cs="Times New Roman"/>
      <w:color w:val="auto"/>
    </w:rPr>
  </w:style>
  <w:style w:type="table" w:customStyle="1" w:styleId="ColorfulList1">
    <w:name w:val="Colorful List1"/>
    <w:uiPriority w:val="99"/>
    <w:rsid w:val="002C4532"/>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paragraph" w:styleId="ListParagraph">
    <w:name w:val="List Paragraph"/>
    <w:basedOn w:val="Normal"/>
    <w:uiPriority w:val="1"/>
    <w:qFormat/>
    <w:rsid w:val="002C4532"/>
    <w:pPr>
      <w:ind w:left="720"/>
      <w:contextualSpacing/>
    </w:pPr>
    <w:rPr>
      <w:rFonts w:ascii="Century Gothic" w:hAnsi="Century Gothic"/>
      <w:sz w:val="22"/>
      <w:szCs w:val="22"/>
    </w:rPr>
  </w:style>
  <w:style w:type="character" w:customStyle="1" w:styleId="A7">
    <w:name w:val="A7"/>
    <w:uiPriority w:val="99"/>
    <w:rsid w:val="002C4532"/>
    <w:rPr>
      <w:color w:val="221E1F"/>
      <w:sz w:val="8"/>
    </w:rPr>
  </w:style>
  <w:style w:type="character" w:styleId="CommentReference">
    <w:name w:val="annotation reference"/>
    <w:rsid w:val="002C4532"/>
    <w:rPr>
      <w:rFonts w:cs="Times New Roman"/>
      <w:sz w:val="16"/>
      <w:szCs w:val="16"/>
    </w:rPr>
  </w:style>
  <w:style w:type="paragraph" w:styleId="CommentText">
    <w:name w:val="annotation text"/>
    <w:basedOn w:val="Normal"/>
    <w:link w:val="CommentTextChar"/>
    <w:rsid w:val="002C4532"/>
    <w:rPr>
      <w:rFonts w:ascii="Century Gothic" w:hAnsi="Century Gothic"/>
      <w:sz w:val="20"/>
      <w:szCs w:val="20"/>
    </w:rPr>
  </w:style>
  <w:style w:type="character" w:customStyle="1" w:styleId="CommentTextChar">
    <w:name w:val="Comment Text Char"/>
    <w:basedOn w:val="DefaultParagraphFont"/>
    <w:link w:val="CommentText"/>
    <w:rsid w:val="002C4532"/>
    <w:rPr>
      <w:rFonts w:ascii="Century Gothic" w:hAnsi="Century Gothic"/>
    </w:rPr>
  </w:style>
  <w:style w:type="paragraph" w:styleId="CommentSubject">
    <w:name w:val="annotation subject"/>
    <w:basedOn w:val="CommentText"/>
    <w:next w:val="CommentText"/>
    <w:link w:val="CommentSubjectChar"/>
    <w:rsid w:val="002C4532"/>
    <w:rPr>
      <w:b/>
      <w:bCs/>
    </w:rPr>
  </w:style>
  <w:style w:type="character" w:customStyle="1" w:styleId="CommentSubjectChar">
    <w:name w:val="Comment Subject Char"/>
    <w:basedOn w:val="CommentTextChar"/>
    <w:link w:val="CommentSubject"/>
    <w:rsid w:val="002C4532"/>
    <w:rPr>
      <w:rFonts w:ascii="Century Gothic" w:hAnsi="Century Gothic"/>
      <w:b/>
      <w:bCs/>
    </w:rPr>
  </w:style>
  <w:style w:type="paragraph" w:customStyle="1" w:styleId="Pa0">
    <w:name w:val="Pa0"/>
    <w:basedOn w:val="Default"/>
    <w:next w:val="Default"/>
    <w:uiPriority w:val="99"/>
    <w:rsid w:val="002C4532"/>
    <w:pPr>
      <w:spacing w:line="141" w:lineRule="atLeast"/>
    </w:pPr>
    <w:rPr>
      <w:rFonts w:ascii="Dax-Medium" w:hAnsi="Dax-Medium" w:cs="Times New Roman"/>
      <w:color w:val="auto"/>
    </w:rPr>
  </w:style>
  <w:style w:type="paragraph" w:customStyle="1" w:styleId="Pa9">
    <w:name w:val="Pa9"/>
    <w:basedOn w:val="Default"/>
    <w:next w:val="Default"/>
    <w:uiPriority w:val="99"/>
    <w:rsid w:val="002C4532"/>
    <w:pPr>
      <w:spacing w:line="141" w:lineRule="atLeast"/>
    </w:pPr>
    <w:rPr>
      <w:rFonts w:ascii="Dax-Light" w:hAnsi="Dax-Light" w:cs="Times New Roman"/>
      <w:color w:val="auto"/>
    </w:rPr>
  </w:style>
  <w:style w:type="paragraph" w:styleId="TOAHeading">
    <w:name w:val="toa heading"/>
    <w:basedOn w:val="Normal"/>
    <w:next w:val="Normal"/>
    <w:rsid w:val="002C4532"/>
    <w:pPr>
      <w:tabs>
        <w:tab w:val="right" w:pos="9360"/>
      </w:tabs>
      <w:suppressAutoHyphens/>
    </w:pPr>
    <w:rPr>
      <w:rFonts w:ascii="Courier New" w:hAnsi="Courier New"/>
      <w:sz w:val="20"/>
      <w:szCs w:val="20"/>
    </w:rPr>
  </w:style>
  <w:style w:type="paragraph" w:styleId="EndnoteText">
    <w:name w:val="endnote text"/>
    <w:basedOn w:val="Normal"/>
    <w:link w:val="EndnoteTextChar"/>
    <w:rsid w:val="002C4532"/>
    <w:rPr>
      <w:rFonts w:ascii="Courier New" w:hAnsi="Courier New"/>
      <w:szCs w:val="20"/>
    </w:rPr>
  </w:style>
  <w:style w:type="character" w:customStyle="1" w:styleId="EndnoteTextChar">
    <w:name w:val="Endnote Text Char"/>
    <w:basedOn w:val="DefaultParagraphFont"/>
    <w:link w:val="EndnoteText"/>
    <w:rsid w:val="002C4532"/>
    <w:rPr>
      <w:rFonts w:ascii="Courier New" w:hAnsi="Courier New"/>
      <w:sz w:val="24"/>
    </w:rPr>
  </w:style>
  <w:style w:type="paragraph" w:customStyle="1" w:styleId="Pa14">
    <w:name w:val="Pa14"/>
    <w:basedOn w:val="Default"/>
    <w:next w:val="Default"/>
    <w:rsid w:val="002C4532"/>
    <w:pPr>
      <w:spacing w:line="141" w:lineRule="atLeast"/>
    </w:pPr>
    <w:rPr>
      <w:rFonts w:ascii="Dax-Medium" w:hAnsi="Dax-Medium" w:cs="Times New Roman"/>
      <w:color w:val="auto"/>
    </w:rPr>
  </w:style>
  <w:style w:type="paragraph" w:customStyle="1" w:styleId="Pa16">
    <w:name w:val="Pa16"/>
    <w:basedOn w:val="Default"/>
    <w:next w:val="Default"/>
    <w:rsid w:val="002C4532"/>
    <w:pPr>
      <w:spacing w:line="141" w:lineRule="atLeast"/>
    </w:pPr>
    <w:rPr>
      <w:rFonts w:ascii="Dax-Light" w:hAnsi="Dax-Light" w:cs="Times New Roman"/>
      <w:color w:val="auto"/>
    </w:rPr>
  </w:style>
  <w:style w:type="paragraph" w:customStyle="1" w:styleId="Pa17">
    <w:name w:val="Pa17"/>
    <w:basedOn w:val="Default"/>
    <w:next w:val="Default"/>
    <w:rsid w:val="002C4532"/>
    <w:pPr>
      <w:spacing w:line="141" w:lineRule="atLeast"/>
    </w:pPr>
    <w:rPr>
      <w:rFonts w:ascii="Dax-Light" w:hAnsi="Dax-Light" w:cs="Times New Roman"/>
      <w:color w:val="auto"/>
    </w:rPr>
  </w:style>
  <w:style w:type="table" w:customStyle="1" w:styleId="TableGrid1">
    <w:name w:val="Table Grid1"/>
    <w:basedOn w:val="TableNormal"/>
    <w:next w:val="TableGrid"/>
    <w:uiPriority w:val="59"/>
    <w:rsid w:val="002C4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C4532"/>
    <w:pPr>
      <w:widowControl w:val="0"/>
    </w:pPr>
    <w:rPr>
      <w:rFonts w:ascii="Calibri" w:eastAsia="Calibri" w:hAnsi="Calibri"/>
      <w:sz w:val="22"/>
      <w:szCs w:val="22"/>
    </w:rPr>
  </w:style>
  <w:style w:type="character" w:customStyle="1" w:styleId="A11">
    <w:name w:val="A11"/>
    <w:uiPriority w:val="99"/>
    <w:rsid w:val="002C4532"/>
    <w:rPr>
      <w:rFonts w:cs="HelveticaNeueLT Std"/>
      <w:b/>
      <w:bCs/>
      <w:color w:val="000000"/>
      <w:sz w:val="10"/>
      <w:szCs w:val="10"/>
    </w:rPr>
  </w:style>
  <w:style w:type="paragraph" w:customStyle="1" w:styleId="Pa4">
    <w:name w:val="Pa4"/>
    <w:basedOn w:val="Default"/>
    <w:next w:val="Default"/>
    <w:uiPriority w:val="99"/>
    <w:rsid w:val="002C4532"/>
    <w:pPr>
      <w:spacing w:line="180" w:lineRule="atLeast"/>
    </w:pPr>
    <w:rPr>
      <w:rFonts w:ascii="HelveticaNeueLT Std" w:hAnsi="HelveticaNeueLT Std" w:cs="Times New Roman"/>
      <w:color w:val="auto"/>
    </w:rPr>
  </w:style>
  <w:style w:type="character" w:customStyle="1" w:styleId="A1">
    <w:name w:val="A1"/>
    <w:uiPriority w:val="99"/>
    <w:rsid w:val="002C4532"/>
    <w:rPr>
      <w:rFonts w:cs="HelveticaNeueLT Std"/>
      <w:i/>
      <w:iCs/>
      <w:color w:val="000000"/>
      <w:sz w:val="18"/>
      <w:szCs w:val="18"/>
    </w:rPr>
  </w:style>
  <w:style w:type="character" w:customStyle="1" w:styleId="UnresolvedMention">
    <w:name w:val="Unresolved Mention"/>
    <w:uiPriority w:val="99"/>
    <w:semiHidden/>
    <w:unhideWhenUsed/>
    <w:rsid w:val="002C4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97590">
      <w:bodyDiv w:val="1"/>
      <w:marLeft w:val="0"/>
      <w:marRight w:val="0"/>
      <w:marTop w:val="0"/>
      <w:marBottom w:val="0"/>
      <w:divBdr>
        <w:top w:val="none" w:sz="0" w:space="0" w:color="auto"/>
        <w:left w:val="none" w:sz="0" w:space="0" w:color="auto"/>
        <w:bottom w:val="none" w:sz="0" w:space="0" w:color="auto"/>
        <w:right w:val="none" w:sz="0" w:space="0" w:color="auto"/>
      </w:divBdr>
    </w:div>
    <w:div w:id="96589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7df522e7-de1a-421d-acff-b3074c42741b@chickasaw.net"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8</Pages>
  <Words>4063</Words>
  <Characters>21602</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Chickasaw Nation Health System Policy Format</vt:lpstr>
    </vt:vector>
  </TitlesOfParts>
  <Company>Chickasaw Nation Health System</Company>
  <LinksUpToDate>false</LinksUpToDate>
  <CharactersWithSpaces>25614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Chickasaw Nation Health System Policy Format</dc:title>
  <dc:subject/>
  <dc:creator>Regina Klupenger</dc:creator>
  <cp:keywords/>
  <dc:description/>
  <cp:lastModifiedBy>Melissa Washington</cp:lastModifiedBy>
  <cp:revision>3</cp:revision>
  <cp:lastPrinted>2022-02-14T22:38:00Z</cp:lastPrinted>
  <dcterms:created xsi:type="dcterms:W3CDTF">2022-02-14T21:24:00Z</dcterms:created>
  <dcterms:modified xsi:type="dcterms:W3CDTF">2022-02-14T22:56:00Z</dcterms:modified>
</cp:coreProperties>
</file>