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B9F3" w14:textId="77777777" w:rsidR="00A7089B" w:rsidRPr="00E23638" w:rsidRDefault="00A7089B" w:rsidP="00BB694C">
      <w:pPr>
        <w:jc w:val="both"/>
        <w:rPr>
          <w:rFonts w:ascii="Times New Roman" w:eastAsia="Times New Roman" w:hAnsi="Times New Roman" w:cs="Times New Roman"/>
          <w:sz w:val="22"/>
          <w:szCs w:val="22"/>
        </w:rPr>
      </w:pPr>
    </w:p>
    <w:p w14:paraId="3F75BD4D" w14:textId="3614F960" w:rsidR="004B2D4B" w:rsidRPr="00E23638" w:rsidRDefault="00A7089B" w:rsidP="00682023">
      <w:pPr>
        <w:pStyle w:val="Heading1"/>
        <w:autoSpaceDE w:val="0"/>
        <w:autoSpaceDN w:val="0"/>
        <w:adjustRightInd w:val="0"/>
        <w:jc w:val="both"/>
        <w:rPr>
          <w:rFonts w:eastAsia="NewsGothicMT"/>
          <w:b w:val="0"/>
          <w:sz w:val="22"/>
          <w:szCs w:val="22"/>
        </w:rPr>
      </w:pPr>
      <w:r w:rsidRPr="00E23638">
        <w:rPr>
          <w:sz w:val="22"/>
          <w:szCs w:val="22"/>
        </w:rPr>
        <w:t>Purpose:</w:t>
      </w:r>
      <w:r w:rsidR="00E23638" w:rsidRPr="00E23638">
        <w:rPr>
          <w:sz w:val="22"/>
          <w:szCs w:val="22"/>
        </w:rPr>
        <w:t xml:space="preserve"> </w:t>
      </w:r>
      <w:r w:rsidR="004B2D4B" w:rsidRPr="00E23638">
        <w:rPr>
          <w:rFonts w:eastAsia="NewsGothicMT"/>
          <w:b w:val="0"/>
          <w:sz w:val="22"/>
          <w:szCs w:val="22"/>
        </w:rPr>
        <w:t xml:space="preserve">Proficiency Testing (PT) serves as an external check to verify the accuracy of </w:t>
      </w:r>
      <w:r w:rsidR="00E23638" w:rsidRPr="00E23638">
        <w:rPr>
          <w:rFonts w:eastAsia="NewsGothicMT"/>
          <w:b w:val="0"/>
          <w:sz w:val="22"/>
          <w:szCs w:val="22"/>
        </w:rPr>
        <w:t>Bioreach Laboratories</w:t>
      </w:r>
      <w:r w:rsidR="004B2D4B" w:rsidRPr="00E23638">
        <w:rPr>
          <w:rFonts w:eastAsia="NewsGothicMT"/>
          <w:b w:val="0"/>
          <w:sz w:val="22"/>
          <w:szCs w:val="22"/>
        </w:rPr>
        <w:t xml:space="preserve"> test results by providing unknown specimens to analyze. The laboratory maintains annual enrollment in PT for the following types</w:t>
      </w:r>
      <w:r w:rsidR="00E23638">
        <w:rPr>
          <w:rFonts w:eastAsia="NewsGothicMT"/>
          <w:b w:val="0"/>
          <w:sz w:val="22"/>
          <w:szCs w:val="22"/>
        </w:rPr>
        <w:t xml:space="preserve"> of testing:</w:t>
      </w:r>
    </w:p>
    <w:p w14:paraId="22EBF97B" w14:textId="4830655A" w:rsidR="004B2D4B" w:rsidRDefault="004B2D4B" w:rsidP="00E23638">
      <w:pPr>
        <w:pStyle w:val="ListParagraph"/>
        <w:numPr>
          <w:ilvl w:val="0"/>
          <w:numId w:val="13"/>
        </w:numPr>
        <w:autoSpaceDE w:val="0"/>
        <w:autoSpaceDN w:val="0"/>
        <w:adjustRightInd w:val="0"/>
        <w:jc w:val="both"/>
        <w:rPr>
          <w:rFonts w:eastAsia="NewsGothicMT"/>
          <w:sz w:val="22"/>
          <w:szCs w:val="22"/>
        </w:rPr>
      </w:pPr>
      <w:r w:rsidRPr="00E23638">
        <w:rPr>
          <w:rFonts w:eastAsia="NewsGothicMT"/>
          <w:sz w:val="22"/>
          <w:szCs w:val="22"/>
        </w:rPr>
        <w:t>regulated analytes performed by non-waived methods</w:t>
      </w:r>
    </w:p>
    <w:p w14:paraId="51CEBA9A" w14:textId="437BD2CB" w:rsidR="004B2D4B" w:rsidRPr="00E23638" w:rsidRDefault="004B2D4B" w:rsidP="00E23638">
      <w:pPr>
        <w:pStyle w:val="ListParagraph"/>
        <w:numPr>
          <w:ilvl w:val="0"/>
          <w:numId w:val="13"/>
        </w:numPr>
        <w:autoSpaceDE w:val="0"/>
        <w:autoSpaceDN w:val="0"/>
        <w:adjustRightInd w:val="0"/>
        <w:jc w:val="both"/>
        <w:rPr>
          <w:rFonts w:eastAsia="NewsGothicMT"/>
          <w:sz w:val="22"/>
          <w:szCs w:val="22"/>
        </w:rPr>
      </w:pPr>
      <w:r w:rsidRPr="00E23638">
        <w:rPr>
          <w:rFonts w:eastAsia="NewsGothicMT"/>
          <w:sz w:val="22"/>
          <w:szCs w:val="22"/>
        </w:rPr>
        <w:t>unregulated analytes performed by non-waived methods</w:t>
      </w:r>
    </w:p>
    <w:p w14:paraId="6B532759" w14:textId="77777777" w:rsidR="004B2D4B" w:rsidRPr="00E23638" w:rsidRDefault="004B2D4B" w:rsidP="004B2D4B">
      <w:pPr>
        <w:autoSpaceDE w:val="0"/>
        <w:autoSpaceDN w:val="0"/>
        <w:adjustRightInd w:val="0"/>
        <w:ind w:firstLine="720"/>
        <w:jc w:val="both"/>
        <w:rPr>
          <w:rFonts w:ascii="Times New Roman" w:eastAsia="NewsGothicMT" w:hAnsi="Times New Roman" w:cs="Times New Roman"/>
          <w:sz w:val="22"/>
          <w:szCs w:val="22"/>
        </w:rPr>
      </w:pPr>
    </w:p>
    <w:p w14:paraId="3FE21915" w14:textId="77777777" w:rsidR="004B2D4B" w:rsidRPr="00E23638" w:rsidRDefault="004B2D4B" w:rsidP="004B2D4B">
      <w:pPr>
        <w:jc w:val="both"/>
        <w:rPr>
          <w:rFonts w:ascii="Times New Roman" w:hAnsi="Times New Roman" w:cs="Times New Roman"/>
          <w:b/>
          <w:sz w:val="22"/>
          <w:szCs w:val="22"/>
        </w:rPr>
      </w:pPr>
      <w:r w:rsidRPr="00E23638">
        <w:rPr>
          <w:rFonts w:ascii="Times New Roman" w:hAnsi="Times New Roman" w:cs="Times New Roman"/>
          <w:b/>
          <w:sz w:val="22"/>
          <w:szCs w:val="22"/>
        </w:rPr>
        <w:t>GUIDELINES FOR PROFICIENCY TESTING</w:t>
      </w:r>
    </w:p>
    <w:p w14:paraId="5FE9009C" w14:textId="77777777" w:rsidR="004B2D4B" w:rsidRPr="00E23638" w:rsidRDefault="004B2D4B" w:rsidP="004B2D4B">
      <w:pPr>
        <w:jc w:val="both"/>
        <w:rPr>
          <w:rFonts w:ascii="Times New Roman" w:hAnsi="Times New Roman" w:cs="Times New Roman"/>
          <w:b/>
          <w:sz w:val="22"/>
          <w:szCs w:val="22"/>
        </w:rPr>
      </w:pPr>
    </w:p>
    <w:p w14:paraId="08C9538A" w14:textId="77777777" w:rsidR="004B2D4B" w:rsidRPr="00E23638" w:rsidRDefault="004B2D4B" w:rsidP="004B2D4B">
      <w:pPr>
        <w:pStyle w:val="ListParagraph"/>
        <w:numPr>
          <w:ilvl w:val="0"/>
          <w:numId w:val="11"/>
        </w:numPr>
        <w:contextualSpacing/>
        <w:jc w:val="both"/>
        <w:rPr>
          <w:sz w:val="22"/>
          <w:szCs w:val="22"/>
        </w:rPr>
      </w:pPr>
      <w:r w:rsidRPr="00E23638">
        <w:rPr>
          <w:sz w:val="22"/>
          <w:szCs w:val="22"/>
        </w:rPr>
        <w:t>Expected shipment dates are provided at the time of PT enrollment by the PT provider so that arrival of PT samples can be anticipated.  These dates are noted on a laboratory calendar.</w:t>
      </w:r>
    </w:p>
    <w:p w14:paraId="2E969A11" w14:textId="77777777" w:rsidR="004B2D4B" w:rsidRPr="00E23638" w:rsidRDefault="004B2D4B" w:rsidP="004B2D4B">
      <w:pPr>
        <w:pStyle w:val="ListParagraph"/>
        <w:numPr>
          <w:ilvl w:val="0"/>
          <w:numId w:val="11"/>
        </w:numPr>
        <w:contextualSpacing/>
        <w:jc w:val="both"/>
        <w:rPr>
          <w:sz w:val="22"/>
          <w:szCs w:val="22"/>
        </w:rPr>
      </w:pPr>
      <w:r w:rsidRPr="00E23638">
        <w:rPr>
          <w:sz w:val="22"/>
          <w:szCs w:val="22"/>
        </w:rPr>
        <w:t xml:space="preserve">All PT samples will be immediately examined when they arrive in the laboratory.  If the samples are damaged or of questionable integrity and replacement samples are needed, the PT provider will be notified immediately.  </w:t>
      </w:r>
    </w:p>
    <w:p w14:paraId="62A15C36" w14:textId="77777777" w:rsidR="004B2D4B" w:rsidRPr="00E23638" w:rsidRDefault="004B2D4B" w:rsidP="004B2D4B">
      <w:pPr>
        <w:pStyle w:val="ListParagraph"/>
        <w:numPr>
          <w:ilvl w:val="0"/>
          <w:numId w:val="11"/>
        </w:numPr>
        <w:contextualSpacing/>
        <w:jc w:val="both"/>
        <w:rPr>
          <w:sz w:val="22"/>
          <w:szCs w:val="22"/>
        </w:rPr>
      </w:pPr>
      <w:r w:rsidRPr="00E23638">
        <w:rPr>
          <w:sz w:val="22"/>
          <w:szCs w:val="22"/>
        </w:rPr>
        <w:t>The cut-off date for submission of results will be noted and the testing will be integrated into the normal workload and assigned randomly to the individuals performing patient testing.</w:t>
      </w:r>
    </w:p>
    <w:p w14:paraId="635B5BE2" w14:textId="77777777" w:rsidR="004B2D4B" w:rsidRPr="00E23638" w:rsidRDefault="004B2D4B" w:rsidP="004B2D4B">
      <w:pPr>
        <w:pStyle w:val="ListParagraph"/>
        <w:numPr>
          <w:ilvl w:val="0"/>
          <w:numId w:val="11"/>
        </w:numPr>
        <w:contextualSpacing/>
        <w:jc w:val="both"/>
        <w:rPr>
          <w:sz w:val="22"/>
          <w:szCs w:val="22"/>
        </w:rPr>
      </w:pPr>
      <w:r w:rsidRPr="00E23638">
        <w:rPr>
          <w:sz w:val="22"/>
          <w:szCs w:val="22"/>
        </w:rPr>
        <w:t>All PT samples will be treated in the same manner as patient samples.</w:t>
      </w:r>
    </w:p>
    <w:p w14:paraId="42E0C5E4" w14:textId="77777777" w:rsidR="004B2D4B" w:rsidRPr="00E23638" w:rsidRDefault="004B2D4B" w:rsidP="004B2D4B">
      <w:pPr>
        <w:pStyle w:val="ListParagraph"/>
        <w:numPr>
          <w:ilvl w:val="0"/>
          <w:numId w:val="11"/>
        </w:numPr>
        <w:contextualSpacing/>
        <w:jc w:val="both"/>
        <w:rPr>
          <w:sz w:val="22"/>
          <w:szCs w:val="22"/>
        </w:rPr>
      </w:pPr>
      <w:r w:rsidRPr="00E23638">
        <w:rPr>
          <w:sz w:val="22"/>
          <w:szCs w:val="22"/>
        </w:rPr>
        <w:t>There will be no communication with any other laboratory regarding the samples or results prior to the cut-off date for the submission of results.</w:t>
      </w:r>
    </w:p>
    <w:p w14:paraId="44149F09" w14:textId="77777777" w:rsidR="004B2D4B" w:rsidRPr="00E23638" w:rsidRDefault="004B2D4B" w:rsidP="004B2D4B">
      <w:pPr>
        <w:pStyle w:val="ListParagraph"/>
        <w:numPr>
          <w:ilvl w:val="0"/>
          <w:numId w:val="11"/>
        </w:numPr>
        <w:contextualSpacing/>
        <w:jc w:val="both"/>
        <w:rPr>
          <w:sz w:val="22"/>
          <w:szCs w:val="22"/>
        </w:rPr>
      </w:pPr>
      <w:r w:rsidRPr="00E23638">
        <w:rPr>
          <w:sz w:val="22"/>
          <w:szCs w:val="22"/>
        </w:rPr>
        <w:t>PT samples will not be sent to any other laboratory, even if the laboratory is temporarily unable to test them.  Promptly notify the PT provider of any inability to test the PT samples so that the laboratory will not receive a zero score for not participating.</w:t>
      </w:r>
    </w:p>
    <w:p w14:paraId="6625E2A0" w14:textId="77777777" w:rsidR="004B2D4B" w:rsidRPr="00E23638" w:rsidRDefault="004B2D4B" w:rsidP="004B2D4B">
      <w:pPr>
        <w:pStyle w:val="ListParagraph"/>
        <w:numPr>
          <w:ilvl w:val="0"/>
          <w:numId w:val="11"/>
        </w:numPr>
        <w:contextualSpacing/>
        <w:jc w:val="both"/>
        <w:rPr>
          <w:sz w:val="22"/>
          <w:szCs w:val="22"/>
        </w:rPr>
      </w:pPr>
      <w:r w:rsidRPr="00E23638">
        <w:rPr>
          <w:sz w:val="22"/>
          <w:szCs w:val="22"/>
        </w:rPr>
        <w:t>All documentation pertaining to the PT participation are retained.  This includes:</w:t>
      </w:r>
    </w:p>
    <w:p w14:paraId="56740378" w14:textId="77777777" w:rsidR="004B2D4B" w:rsidRPr="00E23638" w:rsidRDefault="004B2D4B" w:rsidP="004B2D4B">
      <w:pPr>
        <w:pStyle w:val="ListParagraph"/>
        <w:numPr>
          <w:ilvl w:val="1"/>
          <w:numId w:val="12"/>
        </w:numPr>
        <w:contextualSpacing/>
        <w:jc w:val="both"/>
        <w:rPr>
          <w:sz w:val="22"/>
          <w:szCs w:val="22"/>
        </w:rPr>
      </w:pPr>
      <w:r w:rsidRPr="00E23638">
        <w:rPr>
          <w:sz w:val="22"/>
          <w:szCs w:val="22"/>
        </w:rPr>
        <w:t xml:space="preserve">how the PT samples were handled, prepared, processed and tested, </w:t>
      </w:r>
    </w:p>
    <w:p w14:paraId="3BB5E949" w14:textId="77777777" w:rsidR="004B2D4B" w:rsidRPr="00E23638" w:rsidRDefault="004B2D4B" w:rsidP="004B2D4B">
      <w:pPr>
        <w:pStyle w:val="ListParagraph"/>
        <w:numPr>
          <w:ilvl w:val="1"/>
          <w:numId w:val="12"/>
        </w:numPr>
        <w:contextualSpacing/>
        <w:jc w:val="both"/>
        <w:rPr>
          <w:sz w:val="22"/>
          <w:szCs w:val="22"/>
        </w:rPr>
      </w:pPr>
      <w:r w:rsidRPr="00E23638">
        <w:rPr>
          <w:sz w:val="22"/>
          <w:szCs w:val="22"/>
        </w:rPr>
        <w:t>information and instructions sent with the samples,</w:t>
      </w:r>
    </w:p>
    <w:p w14:paraId="4CC3756D" w14:textId="77777777" w:rsidR="004B2D4B" w:rsidRPr="00E23638" w:rsidRDefault="004B2D4B" w:rsidP="004B2D4B">
      <w:pPr>
        <w:pStyle w:val="ListParagraph"/>
        <w:numPr>
          <w:ilvl w:val="1"/>
          <w:numId w:val="12"/>
        </w:numPr>
        <w:contextualSpacing/>
        <w:jc w:val="both"/>
        <w:rPr>
          <w:sz w:val="22"/>
          <w:szCs w:val="22"/>
        </w:rPr>
      </w:pPr>
      <w:r w:rsidRPr="00E23638">
        <w:rPr>
          <w:sz w:val="22"/>
          <w:szCs w:val="22"/>
        </w:rPr>
        <w:t xml:space="preserve">all work sheets, instrument tapes and logs related to testing the samples, </w:t>
      </w:r>
    </w:p>
    <w:p w14:paraId="017CC39F" w14:textId="394DF01D" w:rsidR="004B2D4B" w:rsidRPr="00E23638" w:rsidRDefault="004B2D4B" w:rsidP="004B2D4B">
      <w:pPr>
        <w:pStyle w:val="ListParagraph"/>
        <w:numPr>
          <w:ilvl w:val="1"/>
          <w:numId w:val="12"/>
        </w:numPr>
        <w:contextualSpacing/>
        <w:jc w:val="both"/>
        <w:rPr>
          <w:sz w:val="22"/>
          <w:szCs w:val="22"/>
        </w:rPr>
      </w:pPr>
      <w:r w:rsidRPr="00E23638">
        <w:rPr>
          <w:sz w:val="22"/>
          <w:szCs w:val="22"/>
        </w:rPr>
        <w:t>copies of the attestation form signed by the Testing Personnel and the Laboratory Director</w:t>
      </w:r>
      <w:r w:rsidR="00E23638">
        <w:rPr>
          <w:sz w:val="22"/>
          <w:szCs w:val="22"/>
        </w:rPr>
        <w:t>/designee</w:t>
      </w:r>
      <w:r w:rsidRPr="00E23638">
        <w:rPr>
          <w:sz w:val="22"/>
          <w:szCs w:val="22"/>
        </w:rPr>
        <w:t xml:space="preserve"> </w:t>
      </w:r>
    </w:p>
    <w:p w14:paraId="2A696941" w14:textId="77777777" w:rsidR="004B2D4B" w:rsidRPr="00E23638" w:rsidRDefault="004B2D4B" w:rsidP="004B2D4B">
      <w:pPr>
        <w:pStyle w:val="ListParagraph"/>
        <w:numPr>
          <w:ilvl w:val="1"/>
          <w:numId w:val="12"/>
        </w:numPr>
        <w:contextualSpacing/>
        <w:jc w:val="both"/>
        <w:rPr>
          <w:sz w:val="22"/>
          <w:szCs w:val="22"/>
        </w:rPr>
      </w:pPr>
      <w:r w:rsidRPr="00E23638">
        <w:rPr>
          <w:sz w:val="22"/>
          <w:szCs w:val="22"/>
        </w:rPr>
        <w:t>the result submission forms.</w:t>
      </w:r>
    </w:p>
    <w:p w14:paraId="28F7A8D3" w14:textId="5DC75181" w:rsidR="004B2D4B" w:rsidRPr="00E23638" w:rsidRDefault="004B2D4B" w:rsidP="004B2D4B">
      <w:pPr>
        <w:pStyle w:val="ListParagraph"/>
        <w:numPr>
          <w:ilvl w:val="0"/>
          <w:numId w:val="11"/>
        </w:numPr>
        <w:contextualSpacing/>
        <w:jc w:val="both"/>
        <w:rPr>
          <w:sz w:val="22"/>
          <w:szCs w:val="22"/>
        </w:rPr>
      </w:pPr>
      <w:r w:rsidRPr="00E23638">
        <w:rPr>
          <w:sz w:val="22"/>
          <w:szCs w:val="22"/>
        </w:rPr>
        <w:t xml:space="preserve">When PT results are received, they will be promptly evaluated by the Laboratory Director or a qualified designee, the review will be documented and the results of the evaluation will be shared with the Testing Personnel. </w:t>
      </w:r>
      <w:r w:rsidR="00E23638">
        <w:rPr>
          <w:sz w:val="22"/>
          <w:szCs w:val="22"/>
        </w:rPr>
        <w:t xml:space="preserve"> Lab Director is to sign all PT scorecard results. </w:t>
      </w:r>
      <w:r w:rsidRPr="00E23638">
        <w:rPr>
          <w:sz w:val="22"/>
          <w:szCs w:val="22"/>
        </w:rPr>
        <w:t xml:space="preserve"> </w:t>
      </w:r>
    </w:p>
    <w:p w14:paraId="40146D33" w14:textId="0D30A810" w:rsidR="004B2D4B" w:rsidRPr="00E23638" w:rsidRDefault="004B2D4B" w:rsidP="004B2D4B">
      <w:pPr>
        <w:pStyle w:val="ListParagraph"/>
        <w:numPr>
          <w:ilvl w:val="0"/>
          <w:numId w:val="11"/>
        </w:numPr>
        <w:contextualSpacing/>
        <w:jc w:val="both"/>
        <w:rPr>
          <w:sz w:val="22"/>
          <w:szCs w:val="22"/>
        </w:rPr>
      </w:pPr>
      <w:r w:rsidRPr="00E23638">
        <w:rPr>
          <w:sz w:val="22"/>
          <w:szCs w:val="22"/>
        </w:rPr>
        <w:t>All unacceptable PT results will be investigated, consultation will be obtained where indicated and remedial education will be performed, as appropriate. All results that</w:t>
      </w:r>
      <w:r w:rsidR="00E23638">
        <w:rPr>
          <w:sz w:val="22"/>
          <w:szCs w:val="22"/>
        </w:rPr>
        <w:t xml:space="preserve"> do not fall within Proficiency test scoring parameters will be investigated using PT form included in Quality assurance policy. </w:t>
      </w:r>
    </w:p>
    <w:p w14:paraId="6AAE04BF" w14:textId="1E5BB560" w:rsidR="004B2D4B" w:rsidRPr="00E23638" w:rsidRDefault="004B2D4B" w:rsidP="004B2D4B">
      <w:pPr>
        <w:pStyle w:val="ListParagraph"/>
        <w:numPr>
          <w:ilvl w:val="0"/>
          <w:numId w:val="11"/>
        </w:numPr>
        <w:contextualSpacing/>
        <w:jc w:val="both"/>
        <w:rPr>
          <w:sz w:val="22"/>
          <w:szCs w:val="22"/>
        </w:rPr>
      </w:pPr>
      <w:r w:rsidRPr="00E23638">
        <w:rPr>
          <w:sz w:val="22"/>
          <w:szCs w:val="22"/>
        </w:rPr>
        <w:t>All the PT documentation will be retained for a minimum of two years.</w:t>
      </w:r>
    </w:p>
    <w:p w14:paraId="30F8F2FF" w14:textId="77777777" w:rsidR="004B2D4B" w:rsidRPr="00E23638" w:rsidRDefault="004B2D4B" w:rsidP="004B2D4B">
      <w:pPr>
        <w:ind w:left="1080"/>
        <w:rPr>
          <w:rFonts w:ascii="Times New Roman" w:hAnsi="Times New Roman" w:cs="Times New Roman"/>
          <w:sz w:val="22"/>
          <w:szCs w:val="22"/>
        </w:rPr>
      </w:pPr>
    </w:p>
    <w:p w14:paraId="5BDE7AFE" w14:textId="7E0155C8" w:rsidR="004B2D4B" w:rsidRPr="00E23638" w:rsidRDefault="004B2D4B" w:rsidP="004B2D4B">
      <w:pPr>
        <w:ind w:left="1080"/>
        <w:rPr>
          <w:rFonts w:ascii="Times New Roman" w:hAnsi="Times New Roman" w:cs="Times New Roman"/>
          <w:sz w:val="22"/>
          <w:szCs w:val="22"/>
        </w:rPr>
      </w:pPr>
      <w:r w:rsidRPr="00E23638">
        <w:rPr>
          <w:rFonts w:ascii="Times New Roman" w:hAnsi="Times New Roman" w:cs="Times New Roman"/>
          <w:sz w:val="22"/>
          <w:szCs w:val="22"/>
        </w:rPr>
        <w:tab/>
      </w:r>
    </w:p>
    <w:p w14:paraId="01214D5A" w14:textId="77777777" w:rsidR="004B2D4B" w:rsidRPr="00E23638" w:rsidRDefault="004B2D4B" w:rsidP="004B2D4B">
      <w:pPr>
        <w:ind w:left="1080"/>
        <w:rPr>
          <w:rFonts w:ascii="Times New Roman" w:hAnsi="Times New Roman" w:cs="Times New Roman"/>
          <w:sz w:val="22"/>
          <w:szCs w:val="22"/>
        </w:rPr>
      </w:pPr>
    </w:p>
    <w:p w14:paraId="2E20A913" w14:textId="77777777" w:rsidR="00F92F64" w:rsidRPr="00E23638" w:rsidRDefault="00F92F64" w:rsidP="00F92F64">
      <w:pPr>
        <w:jc w:val="both"/>
        <w:rPr>
          <w:rFonts w:ascii="Times New Roman" w:hAnsi="Times New Roman" w:cs="Times New Roman"/>
          <w:sz w:val="22"/>
          <w:szCs w:val="22"/>
        </w:rPr>
      </w:pPr>
    </w:p>
    <w:sectPr w:rsidR="00F92F64" w:rsidRPr="00E23638" w:rsidSect="00F45907">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3557" w14:textId="77777777" w:rsidR="00002731" w:rsidRDefault="00002731" w:rsidP="00A7089B">
      <w:r>
        <w:separator/>
      </w:r>
    </w:p>
  </w:endnote>
  <w:endnote w:type="continuationSeparator" w:id="0">
    <w:p w14:paraId="168AA70F" w14:textId="77777777" w:rsidR="00002731" w:rsidRDefault="00002731" w:rsidP="00A7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GothicMT">
    <w:altName w:val="Arial Unicode MS"/>
    <w:panose1 w:val="00000000000000000000"/>
    <w:charset w:val="81"/>
    <w:family w:val="swiss"/>
    <w:notTrueType/>
    <w:pitch w:val="default"/>
    <w:sig w:usb0="00000003"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8850" w14:textId="77777777" w:rsidR="00002731" w:rsidRDefault="00002731" w:rsidP="00A7089B">
      <w:r>
        <w:separator/>
      </w:r>
    </w:p>
  </w:footnote>
  <w:footnote w:type="continuationSeparator" w:id="0">
    <w:p w14:paraId="2ACF19CD" w14:textId="77777777" w:rsidR="00002731" w:rsidRDefault="00002731" w:rsidP="00A7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5" w:type="dxa"/>
      <w:tblLook w:val="04A0" w:firstRow="1" w:lastRow="0" w:firstColumn="1" w:lastColumn="0" w:noHBand="0" w:noVBand="1"/>
    </w:tblPr>
    <w:tblGrid>
      <w:gridCol w:w="3251"/>
      <w:gridCol w:w="2650"/>
      <w:gridCol w:w="3140"/>
    </w:tblGrid>
    <w:tr w:rsidR="00915EAE" w14:paraId="792A0332" w14:textId="77777777" w:rsidTr="00D24695">
      <w:trPr>
        <w:trHeight w:val="530"/>
      </w:trPr>
      <w:tc>
        <w:tcPr>
          <w:tcW w:w="3420" w:type="dxa"/>
        </w:tcPr>
        <w:p w14:paraId="1CD5B75B" w14:textId="77777777" w:rsidR="00197B2E" w:rsidRPr="00AA6F84" w:rsidRDefault="00197B2E" w:rsidP="00197B2E">
          <w:pPr>
            <w:pStyle w:val="Header"/>
            <w:rPr>
              <w:rFonts w:ascii="Times New Roman" w:hAnsi="Times New Roman" w:cs="Times New Roman"/>
              <w:b/>
              <w:bCs/>
            </w:rPr>
          </w:pPr>
          <w:r>
            <w:rPr>
              <w:rFonts w:ascii="Times New Roman" w:hAnsi="Times New Roman" w:cs="Times New Roman"/>
              <w:b/>
              <w:bCs/>
            </w:rPr>
            <w:t>Bioreach Laboratories</w:t>
          </w:r>
        </w:p>
      </w:tc>
      <w:tc>
        <w:tcPr>
          <w:tcW w:w="2790" w:type="dxa"/>
        </w:tcPr>
        <w:p w14:paraId="4DE7DEB9" w14:textId="1386F047" w:rsidR="00197B2E" w:rsidRDefault="00197B2E" w:rsidP="00197B2E">
          <w:pPr>
            <w:pStyle w:val="Header"/>
            <w:rPr>
              <w:rFonts w:ascii="Times New Roman" w:hAnsi="Times New Roman" w:cs="Times New Roman"/>
              <w:b/>
              <w:bCs/>
            </w:rPr>
          </w:pPr>
          <w:r>
            <w:rPr>
              <w:rFonts w:ascii="Times New Roman" w:hAnsi="Times New Roman" w:cs="Times New Roman"/>
              <w:b/>
              <w:bCs/>
            </w:rPr>
            <w:t>Policy 1.0</w:t>
          </w:r>
          <w:r w:rsidR="004B2D4B">
            <w:rPr>
              <w:rFonts w:ascii="Times New Roman" w:hAnsi="Times New Roman" w:cs="Times New Roman"/>
              <w:b/>
              <w:bCs/>
            </w:rPr>
            <w:t>7</w:t>
          </w:r>
        </w:p>
      </w:tc>
      <w:tc>
        <w:tcPr>
          <w:tcW w:w="3325" w:type="dxa"/>
        </w:tcPr>
        <w:p w14:paraId="734282CD" w14:textId="77777777" w:rsidR="00197B2E" w:rsidRDefault="004B2D4B" w:rsidP="00197B2E">
          <w:pPr>
            <w:pStyle w:val="Header"/>
            <w:rPr>
              <w:rFonts w:ascii="Times New Roman" w:hAnsi="Times New Roman" w:cs="Times New Roman"/>
              <w:b/>
              <w:bCs/>
            </w:rPr>
          </w:pPr>
          <w:r>
            <w:rPr>
              <w:rFonts w:ascii="Times New Roman" w:hAnsi="Times New Roman" w:cs="Times New Roman"/>
              <w:b/>
              <w:bCs/>
            </w:rPr>
            <w:t xml:space="preserve">Proficiency </w:t>
          </w:r>
        </w:p>
        <w:p w14:paraId="53582FAE" w14:textId="27F82588" w:rsidR="004B2D4B" w:rsidRDefault="004B2D4B" w:rsidP="00197B2E">
          <w:pPr>
            <w:pStyle w:val="Header"/>
            <w:rPr>
              <w:rFonts w:ascii="Times New Roman" w:hAnsi="Times New Roman" w:cs="Times New Roman"/>
              <w:b/>
              <w:bCs/>
            </w:rPr>
          </w:pPr>
          <w:r>
            <w:rPr>
              <w:rFonts w:ascii="Times New Roman" w:hAnsi="Times New Roman" w:cs="Times New Roman"/>
              <w:b/>
              <w:bCs/>
            </w:rPr>
            <w:t>Testing Policy</w:t>
          </w:r>
        </w:p>
      </w:tc>
    </w:tr>
    <w:tr w:rsidR="00915EAE" w14:paraId="17E4871D" w14:textId="77777777" w:rsidTr="00D24695">
      <w:trPr>
        <w:trHeight w:val="602"/>
      </w:trPr>
      <w:tc>
        <w:tcPr>
          <w:tcW w:w="3420" w:type="dxa"/>
        </w:tcPr>
        <w:p w14:paraId="5BC97EF6"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Document Date/Revision Date:</w:t>
          </w:r>
        </w:p>
      </w:tc>
      <w:tc>
        <w:tcPr>
          <w:tcW w:w="2790" w:type="dxa"/>
        </w:tcPr>
        <w:p w14:paraId="5C188F7D"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05/24/2023</w:t>
          </w:r>
        </w:p>
      </w:tc>
      <w:tc>
        <w:tcPr>
          <w:tcW w:w="3325" w:type="dxa"/>
        </w:tcPr>
        <w:p w14:paraId="35458C5F"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 xml:space="preserve">Approved by: </w:t>
          </w:r>
        </w:p>
        <w:p w14:paraId="4826E9CF"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Ammon Bayles, PhD, HCLD</w:t>
          </w:r>
        </w:p>
      </w:tc>
    </w:tr>
  </w:tbl>
  <w:p w14:paraId="2DE24666" w14:textId="77777777" w:rsidR="00C329F2" w:rsidRDefault="00C3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177"/>
    <w:multiLevelType w:val="hybridMultilevel"/>
    <w:tmpl w:val="9C18DF4E"/>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5BF9"/>
    <w:multiLevelType w:val="hybridMultilevel"/>
    <w:tmpl w:val="5C78CFE6"/>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A6037"/>
    <w:multiLevelType w:val="hybridMultilevel"/>
    <w:tmpl w:val="5FF4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8186D"/>
    <w:multiLevelType w:val="hybridMultilevel"/>
    <w:tmpl w:val="908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A2A83"/>
    <w:multiLevelType w:val="multilevel"/>
    <w:tmpl w:val="468005E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start w:val="1"/>
      <w:numFmt w:val="decimal"/>
      <w:pStyle w:val="Heading5"/>
      <w:lvlText w:val="%1.%2.%3.%4.%5"/>
      <w:lvlJc w:val="left"/>
      <w:pPr>
        <w:tabs>
          <w:tab w:val="num" w:pos="0"/>
        </w:tabs>
      </w:pPr>
    </w:lvl>
    <w:lvl w:ilvl="5">
      <w:start w:val="1"/>
      <w:numFmt w:val="decimal"/>
      <w:pStyle w:val="Heading6"/>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5" w15:restartNumberingAfterBreak="0">
    <w:nsid w:val="43D33EE0"/>
    <w:multiLevelType w:val="hybridMultilevel"/>
    <w:tmpl w:val="CB7020CA"/>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60D17"/>
    <w:multiLevelType w:val="hybridMultilevel"/>
    <w:tmpl w:val="FE9AEC14"/>
    <w:lvl w:ilvl="0" w:tplc="DFE88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575A3"/>
    <w:multiLevelType w:val="multilevel"/>
    <w:tmpl w:val="C1461E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EE7BC0"/>
    <w:multiLevelType w:val="hybridMultilevel"/>
    <w:tmpl w:val="A5D0CC7E"/>
    <w:lvl w:ilvl="0" w:tplc="04090019">
      <w:start w:val="1"/>
      <w:numFmt w:val="lowerLetter"/>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7B7DE8"/>
    <w:multiLevelType w:val="hybridMultilevel"/>
    <w:tmpl w:val="519C3B02"/>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51FA4"/>
    <w:multiLevelType w:val="hybridMultilevel"/>
    <w:tmpl w:val="B9D49BCC"/>
    <w:lvl w:ilvl="0" w:tplc="F378C59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653AC5"/>
    <w:multiLevelType w:val="hybridMultilevel"/>
    <w:tmpl w:val="5F441904"/>
    <w:lvl w:ilvl="0" w:tplc="04090019">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C229C2"/>
    <w:multiLevelType w:val="hybridMultilevel"/>
    <w:tmpl w:val="7870DA0A"/>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959262">
    <w:abstractNumId w:val="4"/>
  </w:num>
  <w:num w:numId="2" w16cid:durableId="856771978">
    <w:abstractNumId w:val="1"/>
  </w:num>
  <w:num w:numId="3" w16cid:durableId="411240603">
    <w:abstractNumId w:val="0"/>
  </w:num>
  <w:num w:numId="4" w16cid:durableId="747770149">
    <w:abstractNumId w:val="5"/>
  </w:num>
  <w:num w:numId="5" w16cid:durableId="1583562096">
    <w:abstractNumId w:val="12"/>
  </w:num>
  <w:num w:numId="6" w16cid:durableId="841237253">
    <w:abstractNumId w:val="9"/>
  </w:num>
  <w:num w:numId="7" w16cid:durableId="288169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7666635">
    <w:abstractNumId w:val="3"/>
  </w:num>
  <w:num w:numId="9" w16cid:durableId="1625430889">
    <w:abstractNumId w:val="2"/>
  </w:num>
  <w:num w:numId="10" w16cid:durableId="383872337">
    <w:abstractNumId w:val="10"/>
  </w:num>
  <w:num w:numId="11" w16cid:durableId="1664122421">
    <w:abstractNumId w:val="11"/>
  </w:num>
  <w:num w:numId="12" w16cid:durableId="270211629">
    <w:abstractNumId w:val="8"/>
  </w:num>
  <w:num w:numId="13" w16cid:durableId="1606041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89B"/>
    <w:rsid w:val="00002731"/>
    <w:rsid w:val="0006714F"/>
    <w:rsid w:val="00126815"/>
    <w:rsid w:val="00197B2E"/>
    <w:rsid w:val="001E135E"/>
    <w:rsid w:val="00275734"/>
    <w:rsid w:val="0029388B"/>
    <w:rsid w:val="002E466A"/>
    <w:rsid w:val="00321532"/>
    <w:rsid w:val="00345D3F"/>
    <w:rsid w:val="003646E9"/>
    <w:rsid w:val="003924DF"/>
    <w:rsid w:val="004B2D4B"/>
    <w:rsid w:val="004D6F47"/>
    <w:rsid w:val="004F5704"/>
    <w:rsid w:val="00516C5B"/>
    <w:rsid w:val="005C6A63"/>
    <w:rsid w:val="005D408F"/>
    <w:rsid w:val="0065527A"/>
    <w:rsid w:val="00731ACC"/>
    <w:rsid w:val="007438C9"/>
    <w:rsid w:val="007A60A4"/>
    <w:rsid w:val="007B7B04"/>
    <w:rsid w:val="007D2CF7"/>
    <w:rsid w:val="0086510E"/>
    <w:rsid w:val="00915EAE"/>
    <w:rsid w:val="00996C64"/>
    <w:rsid w:val="009C2E8F"/>
    <w:rsid w:val="009C5650"/>
    <w:rsid w:val="00A17701"/>
    <w:rsid w:val="00A7089B"/>
    <w:rsid w:val="00A94FE5"/>
    <w:rsid w:val="00AE7EC9"/>
    <w:rsid w:val="00AE7F4D"/>
    <w:rsid w:val="00B071E8"/>
    <w:rsid w:val="00B13594"/>
    <w:rsid w:val="00BB694C"/>
    <w:rsid w:val="00C024EE"/>
    <w:rsid w:val="00C329F2"/>
    <w:rsid w:val="00C83090"/>
    <w:rsid w:val="00CB13F1"/>
    <w:rsid w:val="00CE2592"/>
    <w:rsid w:val="00D24BAB"/>
    <w:rsid w:val="00D52872"/>
    <w:rsid w:val="00DE7C42"/>
    <w:rsid w:val="00E00768"/>
    <w:rsid w:val="00E23638"/>
    <w:rsid w:val="00E31BA4"/>
    <w:rsid w:val="00EA1998"/>
    <w:rsid w:val="00EF5F09"/>
    <w:rsid w:val="00F00F60"/>
    <w:rsid w:val="00F07E36"/>
    <w:rsid w:val="00F45907"/>
    <w:rsid w:val="00F47815"/>
    <w:rsid w:val="00F92F64"/>
    <w:rsid w:val="00FB0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18C3D"/>
  <w14:defaultImageDpi w14:val="330"/>
  <w15:docId w15:val="{61FD0431-8FEF-4422-A908-860CFB65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Title"/>
    <w:basedOn w:val="Normal"/>
    <w:next w:val="Normal"/>
    <w:link w:val="Heading1Char"/>
    <w:qFormat/>
    <w:rsid w:val="00A7089B"/>
    <w:pPr>
      <w:numPr>
        <w:numId w:val="1"/>
      </w:numPr>
      <w:spacing w:before="240" w:after="120"/>
      <w:outlineLvl w:val="0"/>
    </w:pPr>
    <w:rPr>
      <w:rFonts w:ascii="Times New Roman" w:eastAsia="Times New Roman" w:hAnsi="Times New Roman" w:cs="Times New Roman"/>
      <w:b/>
      <w:kern w:val="28"/>
      <w:sz w:val="20"/>
      <w:szCs w:val="20"/>
    </w:rPr>
  </w:style>
  <w:style w:type="paragraph" w:styleId="Heading2">
    <w:name w:val="heading 2"/>
    <w:aliases w:val="Numbered List"/>
    <w:basedOn w:val="Normal"/>
    <w:link w:val="Heading2Char"/>
    <w:qFormat/>
    <w:rsid w:val="00A7089B"/>
    <w:pPr>
      <w:numPr>
        <w:ilvl w:val="1"/>
        <w:numId w:val="1"/>
      </w:numPr>
      <w:tabs>
        <w:tab w:val="clear" w:pos="720"/>
        <w:tab w:val="left" w:pos="810"/>
      </w:tabs>
      <w:ind w:left="810" w:hanging="450"/>
      <w:outlineLvl w:val="1"/>
    </w:pPr>
    <w:rPr>
      <w:rFonts w:ascii="Times New Roman" w:eastAsia="Times New Roman" w:hAnsi="Times New Roman" w:cs="Times New Roman"/>
      <w:sz w:val="20"/>
      <w:szCs w:val="20"/>
    </w:rPr>
  </w:style>
  <w:style w:type="paragraph" w:styleId="Heading3">
    <w:name w:val="heading 3"/>
    <w:aliases w:val="Bulleted List"/>
    <w:basedOn w:val="Normal"/>
    <w:next w:val="Normal"/>
    <w:link w:val="Heading3Char"/>
    <w:qFormat/>
    <w:rsid w:val="00A7089B"/>
    <w:pPr>
      <w:keepNext/>
      <w:numPr>
        <w:ilvl w:val="2"/>
        <w:numId w:val="1"/>
      </w:numPr>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A7089B"/>
    <w:pPr>
      <w:keepNext/>
      <w:numPr>
        <w:ilvl w:val="3"/>
        <w:numId w:val="1"/>
      </w:numPr>
      <w:spacing w:before="240" w:after="60"/>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A7089B"/>
    <w:pPr>
      <w:numPr>
        <w:ilvl w:val="4"/>
        <w:numId w:val="1"/>
      </w:numPr>
      <w:spacing w:before="240" w:after="60"/>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A7089B"/>
    <w:pPr>
      <w:numPr>
        <w:ilvl w:val="5"/>
        <w:numId w:val="1"/>
      </w:numPr>
      <w:spacing w:before="240" w:after="60"/>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A7089B"/>
    <w:pPr>
      <w:numPr>
        <w:ilvl w:val="6"/>
        <w:numId w:val="1"/>
      </w:numPr>
      <w:spacing w:before="240" w:after="60"/>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A7089B"/>
    <w:pPr>
      <w:numPr>
        <w:ilvl w:val="7"/>
        <w:numId w:val="1"/>
      </w:numPr>
      <w:spacing w:before="240" w:after="60"/>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A7089B"/>
    <w:pPr>
      <w:numPr>
        <w:ilvl w:val="8"/>
        <w:numId w:val="1"/>
      </w:numPr>
      <w:spacing w:before="240" w:after="60"/>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mentsChar">
    <w:name w:val="Requirements Char"/>
    <w:basedOn w:val="DefaultParagraphFont"/>
    <w:link w:val="Requirements"/>
    <w:rsid w:val="00A7089B"/>
  </w:style>
  <w:style w:type="paragraph" w:customStyle="1" w:styleId="Requirements">
    <w:name w:val="Requirements"/>
    <w:basedOn w:val="Normal"/>
    <w:link w:val="RequirementsChar"/>
    <w:rsid w:val="00A7089B"/>
    <w:pPr>
      <w:spacing w:after="120"/>
      <w:ind w:left="1170"/>
    </w:pPr>
  </w:style>
  <w:style w:type="paragraph" w:styleId="Header">
    <w:name w:val="header"/>
    <w:basedOn w:val="Normal"/>
    <w:link w:val="HeaderChar"/>
    <w:uiPriority w:val="99"/>
    <w:unhideWhenUsed/>
    <w:rsid w:val="00A7089B"/>
    <w:pPr>
      <w:tabs>
        <w:tab w:val="center" w:pos="4320"/>
        <w:tab w:val="right" w:pos="8640"/>
      </w:tabs>
    </w:pPr>
  </w:style>
  <w:style w:type="character" w:customStyle="1" w:styleId="HeaderChar">
    <w:name w:val="Header Char"/>
    <w:basedOn w:val="DefaultParagraphFont"/>
    <w:link w:val="Header"/>
    <w:uiPriority w:val="99"/>
    <w:rsid w:val="00A7089B"/>
  </w:style>
  <w:style w:type="paragraph" w:styleId="Footer">
    <w:name w:val="footer"/>
    <w:basedOn w:val="Normal"/>
    <w:link w:val="FooterChar"/>
    <w:uiPriority w:val="99"/>
    <w:unhideWhenUsed/>
    <w:rsid w:val="00A7089B"/>
    <w:pPr>
      <w:tabs>
        <w:tab w:val="center" w:pos="4320"/>
        <w:tab w:val="right" w:pos="8640"/>
      </w:tabs>
    </w:pPr>
  </w:style>
  <w:style w:type="character" w:customStyle="1" w:styleId="FooterChar">
    <w:name w:val="Footer Char"/>
    <w:basedOn w:val="DefaultParagraphFont"/>
    <w:link w:val="Footer"/>
    <w:uiPriority w:val="99"/>
    <w:rsid w:val="00A7089B"/>
  </w:style>
  <w:style w:type="character" w:customStyle="1" w:styleId="Heading1Char">
    <w:name w:val="Heading 1 Char"/>
    <w:aliases w:val="Section Title Char"/>
    <w:basedOn w:val="DefaultParagraphFont"/>
    <w:link w:val="Heading1"/>
    <w:rsid w:val="00A7089B"/>
    <w:rPr>
      <w:rFonts w:ascii="Times New Roman" w:eastAsia="Times New Roman" w:hAnsi="Times New Roman" w:cs="Times New Roman"/>
      <w:b/>
      <w:kern w:val="28"/>
      <w:sz w:val="20"/>
      <w:szCs w:val="20"/>
    </w:rPr>
  </w:style>
  <w:style w:type="character" w:customStyle="1" w:styleId="Heading2Char">
    <w:name w:val="Heading 2 Char"/>
    <w:aliases w:val="Numbered List Char"/>
    <w:basedOn w:val="DefaultParagraphFont"/>
    <w:link w:val="Heading2"/>
    <w:rsid w:val="00A7089B"/>
    <w:rPr>
      <w:rFonts w:ascii="Times New Roman" w:eastAsia="Times New Roman" w:hAnsi="Times New Roman" w:cs="Times New Roman"/>
      <w:sz w:val="20"/>
      <w:szCs w:val="20"/>
    </w:rPr>
  </w:style>
  <w:style w:type="character" w:customStyle="1" w:styleId="Heading3Char">
    <w:name w:val="Heading 3 Char"/>
    <w:aliases w:val="Bulleted List Char"/>
    <w:basedOn w:val="DefaultParagraphFont"/>
    <w:link w:val="Heading3"/>
    <w:rsid w:val="00A7089B"/>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A7089B"/>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A7089B"/>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A7089B"/>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A7089B"/>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A7089B"/>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A7089B"/>
    <w:rPr>
      <w:rFonts w:ascii="Times New Roman" w:eastAsia="Times New Roman" w:hAnsi="Times New Roman" w:cs="Times New Roman"/>
      <w:sz w:val="20"/>
      <w:szCs w:val="20"/>
    </w:rPr>
  </w:style>
  <w:style w:type="paragraph" w:customStyle="1" w:styleId="Table">
    <w:name w:val="Table"/>
    <w:basedOn w:val="Normal"/>
    <w:rsid w:val="00A7089B"/>
    <w:pPr>
      <w:spacing w:before="120" w:after="1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A6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0A4"/>
    <w:rPr>
      <w:rFonts w:ascii="Segoe UI" w:hAnsi="Segoe UI" w:cs="Segoe UI"/>
      <w:sz w:val="18"/>
      <w:szCs w:val="18"/>
    </w:rPr>
  </w:style>
  <w:style w:type="table" w:customStyle="1" w:styleId="TableGrid1">
    <w:name w:val="Table Grid1"/>
    <w:basedOn w:val="TableNormal"/>
    <w:next w:val="TableGrid"/>
    <w:uiPriority w:val="59"/>
    <w:rsid w:val="00F4590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66A"/>
    <w:pPr>
      <w:ind w:left="720"/>
    </w:pPr>
    <w:rPr>
      <w:rFonts w:ascii="Times New Roman" w:eastAsia="Times New Roman" w:hAnsi="Times New Roman" w:cs="Times New Roman"/>
      <w:sz w:val="20"/>
      <w:szCs w:val="20"/>
    </w:rPr>
  </w:style>
  <w:style w:type="paragraph" w:styleId="Revision">
    <w:name w:val="Revision"/>
    <w:hidden/>
    <w:uiPriority w:val="99"/>
    <w:semiHidden/>
    <w:rsid w:val="0029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02133">
      <w:bodyDiv w:val="1"/>
      <w:marLeft w:val="0"/>
      <w:marRight w:val="0"/>
      <w:marTop w:val="0"/>
      <w:marBottom w:val="0"/>
      <w:divBdr>
        <w:top w:val="none" w:sz="0" w:space="0" w:color="auto"/>
        <w:left w:val="none" w:sz="0" w:space="0" w:color="auto"/>
        <w:bottom w:val="none" w:sz="0" w:space="0" w:color="auto"/>
        <w:right w:val="none" w:sz="0" w:space="0" w:color="auto"/>
      </w:divBdr>
    </w:div>
    <w:div w:id="2043751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8D39D94A6C7468A5C8FA7228F0325" ma:contentTypeVersion="2" ma:contentTypeDescription="Create a new document." ma:contentTypeScope="" ma:versionID="8ef59871a4a82e8b8b2572ae919e7f2c">
  <xsd:schema xmlns:xsd="http://www.w3.org/2001/XMLSchema" xmlns:xs="http://www.w3.org/2001/XMLSchema" xmlns:p="http://schemas.microsoft.com/office/2006/metadata/properties" xmlns:ns2="4b4ee4aa-06a6-450f-b031-27a60b169155" targetNamespace="http://schemas.microsoft.com/office/2006/metadata/properties" ma:root="true" ma:fieldsID="f1b46d2d1a24894da24901e1b9a1e2a6" ns2:_="">
    <xsd:import namespace="4b4ee4aa-06a6-450f-b031-27a60b1691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ee4aa-06a6-450f-b031-27a60b169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7DAE2-3B75-408C-A389-2E34FE2B4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ee4aa-06a6-450f-b031-27a60b169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5DC0B-D7F0-46A7-9C2B-0D1B904B34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2209DC-3B1B-449B-9D75-7B5BAB921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Dawsey</dc:creator>
  <cp:keywords/>
  <dc:description/>
  <cp:lastModifiedBy>Laurence Schuermann</cp:lastModifiedBy>
  <cp:revision>3</cp:revision>
  <cp:lastPrinted>2017-09-13T21:25:00Z</cp:lastPrinted>
  <dcterms:created xsi:type="dcterms:W3CDTF">2023-09-10T17:06:00Z</dcterms:created>
  <dcterms:modified xsi:type="dcterms:W3CDTF">2023-09-10T17:14:00Z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0x0101002A98D39D94A6C7468A5C8FA7228F0325</vt:lpwstr>
  </property>
</Properties>
</file>