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9ED2F12" w:rsidP="20CB103E" w:rsidRDefault="39ED2F12" w14:paraId="682279E7" w14:textId="1AB81518">
      <w:pPr>
        <w:pStyle w:val="Heading1"/>
        <w:ind w:left="360"/>
        <w:jc w:val="both"/>
        <w:rPr>
          <w:sz w:val="24"/>
          <w:szCs w:val="24"/>
          <w:highlight w:val="lightGray"/>
        </w:rPr>
      </w:pPr>
      <w:r w:rsidRPr="20CB103E" w:rsidR="39ED2F12">
        <w:rPr>
          <w:sz w:val="24"/>
          <w:szCs w:val="24"/>
          <w:highlight w:val="lightGray"/>
        </w:rPr>
        <w:t>No changes</w:t>
      </w:r>
    </w:p>
    <w:p xmlns:wp14="http://schemas.microsoft.com/office/word/2010/wordml" w:rsidR="000D169D" w:rsidRDefault="004577AD" w14:paraId="4FB3E2D4" wp14:textId="77777777">
      <w:pPr>
        <w:pStyle w:val="Heading1"/>
        <w:numPr>
          <w:ilvl w:val="0"/>
          <w:numId w:val="2"/>
        </w:numPr>
        <w:jc w:val="both"/>
        <w:rPr>
          <w:sz w:val="24"/>
          <w:szCs w:val="24"/>
        </w:rPr>
      </w:pPr>
      <w:r>
        <w:rPr>
          <w:sz w:val="24"/>
          <w:szCs w:val="24"/>
        </w:rPr>
        <w:t>Purpose:</w:t>
      </w:r>
    </w:p>
    <w:p xmlns:wp14="http://schemas.microsoft.com/office/word/2010/wordml" w:rsidR="000D169D" w:rsidRDefault="004577AD" w14:paraId="5B4FF39E" wp14:textId="77777777">
      <w:pPr>
        <w:jc w:val="both"/>
        <w:rPr>
          <w:rFonts w:ascii="Times New Roman" w:hAnsi="Times New Roman" w:eastAsia="Times New Roman" w:cs="Times New Roman"/>
        </w:rPr>
      </w:pPr>
      <w:r>
        <w:rPr>
          <w:rFonts w:ascii="Times New Roman" w:hAnsi="Times New Roman" w:eastAsia="Times New Roman" w:cs="Times New Roman"/>
        </w:rPr>
        <w:t>This policy describes the process of ensuring procedures for competency assessment are established for monitoring individuals who conduct preanalytical, analytical, and postanalytical phases of testing to assure that they are competent and maintain their competency to process specimens, perform test procedures and report test results promptly and proficiently, and whenever necessary, identify needs for remedial training or continuing education to improve skills.</w:t>
      </w:r>
    </w:p>
    <w:p xmlns:wp14="http://schemas.microsoft.com/office/word/2010/wordml" w:rsidR="000D169D" w:rsidRDefault="004577AD" w14:paraId="2C82A5E1" wp14:textId="77777777">
      <w:pPr>
        <w:pStyle w:val="Heading1"/>
        <w:numPr>
          <w:ilvl w:val="0"/>
          <w:numId w:val="2"/>
        </w:numPr>
        <w:jc w:val="both"/>
        <w:rPr>
          <w:sz w:val="24"/>
          <w:szCs w:val="24"/>
        </w:rPr>
      </w:pPr>
      <w:r>
        <w:rPr>
          <w:sz w:val="24"/>
          <w:szCs w:val="24"/>
        </w:rPr>
        <w:t>Scope:</w:t>
      </w:r>
    </w:p>
    <w:p xmlns:wp14="http://schemas.microsoft.com/office/word/2010/wordml" w:rsidR="000D169D" w:rsidRDefault="004577AD" w14:paraId="1AC87FE9" wp14:textId="77777777">
      <w:pPr>
        <w:jc w:val="both"/>
        <w:rPr>
          <w:rFonts w:ascii="Times New Roman" w:hAnsi="Times New Roman" w:eastAsia="Times New Roman" w:cs="Times New Roman"/>
        </w:rPr>
      </w:pPr>
      <w:r>
        <w:rPr>
          <w:rFonts w:ascii="Times New Roman" w:hAnsi="Times New Roman" w:eastAsia="Times New Roman" w:cs="Times New Roman"/>
        </w:rPr>
        <w:t>Applies to all non-waived testing and other designated personnel of the laboratory.</w:t>
      </w:r>
    </w:p>
    <w:p xmlns:wp14="http://schemas.microsoft.com/office/word/2010/wordml" w:rsidR="000D169D" w:rsidRDefault="004577AD" w14:paraId="27C455F4" wp14:textId="77777777">
      <w:pPr>
        <w:pStyle w:val="Heading1"/>
        <w:numPr>
          <w:ilvl w:val="0"/>
          <w:numId w:val="2"/>
        </w:numPr>
        <w:jc w:val="both"/>
        <w:rPr>
          <w:sz w:val="24"/>
          <w:szCs w:val="24"/>
        </w:rPr>
      </w:pPr>
      <w:r>
        <w:rPr>
          <w:sz w:val="24"/>
          <w:szCs w:val="24"/>
        </w:rPr>
        <w:t xml:space="preserve">Definitions: </w:t>
      </w:r>
    </w:p>
    <w:p xmlns:wp14="http://schemas.microsoft.com/office/word/2010/wordml" w:rsidR="000D169D" w:rsidRDefault="004577AD" w14:paraId="48C9DA01" wp14:textId="77777777">
      <w:pPr>
        <w:jc w:val="both"/>
        <w:rPr>
          <w:rFonts w:ascii="Times New Roman" w:hAnsi="Times New Roman" w:eastAsia="Times New Roman" w:cs="Times New Roman"/>
        </w:rPr>
      </w:pPr>
      <w:r>
        <w:rPr>
          <w:rFonts w:ascii="Times New Roman" w:hAnsi="Times New Roman" w:eastAsia="Times New Roman" w:cs="Times New Roman"/>
        </w:rPr>
        <w:t>None</w:t>
      </w:r>
    </w:p>
    <w:p xmlns:wp14="http://schemas.microsoft.com/office/word/2010/wordml" w:rsidR="000D169D" w:rsidRDefault="004577AD" w14:paraId="081D36D0" wp14:textId="77777777">
      <w:pPr>
        <w:pStyle w:val="Heading1"/>
        <w:numPr>
          <w:ilvl w:val="0"/>
          <w:numId w:val="2"/>
        </w:numPr>
        <w:jc w:val="both"/>
        <w:rPr>
          <w:sz w:val="24"/>
          <w:szCs w:val="24"/>
        </w:rPr>
      </w:pPr>
      <w:r>
        <w:rPr>
          <w:sz w:val="24"/>
          <w:szCs w:val="24"/>
        </w:rPr>
        <w:t>Special Safety and Health Considerations:</w:t>
      </w:r>
    </w:p>
    <w:p xmlns:wp14="http://schemas.microsoft.com/office/word/2010/wordml" w:rsidR="000D169D" w:rsidRDefault="004577AD" w14:paraId="2FB93CA7" wp14:textId="77777777">
      <w:pPr>
        <w:jc w:val="both"/>
        <w:rPr>
          <w:rFonts w:ascii="Times New Roman" w:hAnsi="Times New Roman" w:eastAsia="Times New Roman" w:cs="Times New Roman"/>
        </w:rPr>
      </w:pPr>
      <w:r>
        <w:rPr>
          <w:rFonts w:ascii="Times New Roman" w:hAnsi="Times New Roman" w:eastAsia="Times New Roman" w:cs="Times New Roman"/>
        </w:rPr>
        <w:t>Not Applicable</w:t>
      </w:r>
    </w:p>
    <w:p xmlns:wp14="http://schemas.microsoft.com/office/word/2010/wordml" w:rsidR="000D169D" w:rsidRDefault="004577AD" w14:paraId="5460A6EB" wp14:textId="77777777">
      <w:pPr>
        <w:pStyle w:val="Heading1"/>
        <w:numPr>
          <w:ilvl w:val="0"/>
          <w:numId w:val="2"/>
        </w:numPr>
        <w:jc w:val="both"/>
        <w:rPr>
          <w:sz w:val="24"/>
          <w:szCs w:val="24"/>
        </w:rPr>
      </w:pPr>
      <w:r>
        <w:rPr>
          <w:sz w:val="24"/>
          <w:szCs w:val="24"/>
        </w:rPr>
        <w:t>Procedures:</w:t>
      </w:r>
    </w:p>
    <w:tbl>
      <w:tblPr>
        <w:tblStyle w:val="a"/>
        <w:tblW w:w="8370" w:type="dxa"/>
        <w:tblInd w:w="180" w:type="dxa"/>
        <w:tblLayout w:type="fixed"/>
        <w:tblLook w:val="0000" w:firstRow="0" w:lastRow="0" w:firstColumn="0" w:lastColumn="0" w:noHBand="0" w:noVBand="0"/>
      </w:tblPr>
      <w:tblGrid>
        <w:gridCol w:w="720"/>
        <w:gridCol w:w="1530"/>
        <w:gridCol w:w="6120"/>
      </w:tblGrid>
      <w:tr xmlns:wp14="http://schemas.microsoft.com/office/word/2010/wordml" w:rsidR="000D169D" w:rsidTr="1464925A" w14:paraId="43D3F02D" wp14:textId="77777777">
        <w:trPr>
          <w:cantSplit/>
        </w:trPr>
        <w:tc>
          <w:tcPr>
            <w:tcW w:w="720" w:type="dxa"/>
            <w:tcMar/>
          </w:tcPr>
          <w:p w:rsidR="000D169D" w:rsidRDefault="004577AD" w14:paraId="74231C31" wp14:textId="77777777">
            <w:pPr>
              <w:pBdr>
                <w:top w:val="nil"/>
                <w:left w:val="nil"/>
                <w:bottom w:val="single" w:color="000000" w:sz="4" w:space="1"/>
                <w:right w:val="nil"/>
                <w:between w:val="nil"/>
              </w:pBdr>
              <w:spacing w:before="120" w:after="120"/>
              <w:jc w:val="both"/>
              <w:rPr>
                <w:rFonts w:ascii="Times New Roman" w:hAnsi="Times New Roman" w:eastAsia="Times New Roman" w:cs="Times New Roman"/>
                <w:b/>
                <w:color w:val="000000"/>
              </w:rPr>
            </w:pPr>
            <w:r>
              <w:rPr>
                <w:rFonts w:ascii="Times New Roman" w:hAnsi="Times New Roman" w:eastAsia="Times New Roman" w:cs="Times New Roman"/>
                <w:b/>
                <w:color w:val="000000"/>
              </w:rPr>
              <w:t>Step</w:t>
            </w:r>
          </w:p>
        </w:tc>
        <w:tc>
          <w:tcPr>
            <w:tcW w:w="1530" w:type="dxa"/>
            <w:tcMar/>
          </w:tcPr>
          <w:p w:rsidR="000D169D" w:rsidRDefault="004577AD" w14:paraId="000D96CF" wp14:textId="77777777">
            <w:pPr>
              <w:pBdr>
                <w:top w:val="nil"/>
                <w:left w:val="nil"/>
                <w:bottom w:val="single" w:color="000000" w:sz="6" w:space="1"/>
                <w:right w:val="nil"/>
                <w:between w:val="nil"/>
              </w:pBdr>
              <w:spacing w:before="120" w:after="120"/>
              <w:jc w:val="both"/>
              <w:rPr>
                <w:rFonts w:ascii="Times New Roman" w:hAnsi="Times New Roman" w:eastAsia="Times New Roman" w:cs="Times New Roman"/>
                <w:b/>
                <w:color w:val="000000"/>
              </w:rPr>
            </w:pPr>
            <w:r>
              <w:rPr>
                <w:rFonts w:ascii="Times New Roman" w:hAnsi="Times New Roman" w:eastAsia="Times New Roman" w:cs="Times New Roman"/>
                <w:b/>
                <w:color w:val="000000"/>
              </w:rPr>
              <w:t>Responsible</w:t>
            </w:r>
          </w:p>
        </w:tc>
        <w:tc>
          <w:tcPr>
            <w:tcW w:w="6120" w:type="dxa"/>
            <w:tcMar/>
          </w:tcPr>
          <w:p w:rsidR="000D169D" w:rsidRDefault="004577AD" w14:paraId="5CE446E2" wp14:textId="77777777">
            <w:pPr>
              <w:pBdr>
                <w:top w:val="nil"/>
                <w:left w:val="nil"/>
                <w:bottom w:val="single" w:color="000000" w:sz="6" w:space="1"/>
                <w:right w:val="nil"/>
                <w:between w:val="nil"/>
              </w:pBdr>
              <w:spacing w:before="120" w:after="120"/>
              <w:jc w:val="both"/>
              <w:rPr>
                <w:rFonts w:ascii="Times New Roman" w:hAnsi="Times New Roman" w:eastAsia="Times New Roman" w:cs="Times New Roman"/>
                <w:b/>
                <w:color w:val="000000"/>
              </w:rPr>
            </w:pPr>
            <w:r>
              <w:rPr>
                <w:rFonts w:ascii="Times New Roman" w:hAnsi="Times New Roman" w:eastAsia="Times New Roman" w:cs="Times New Roman"/>
                <w:b/>
                <w:color w:val="000000"/>
              </w:rPr>
              <w:t>Action</w:t>
            </w:r>
          </w:p>
        </w:tc>
      </w:tr>
      <w:tr xmlns:wp14="http://schemas.microsoft.com/office/word/2010/wordml" w:rsidR="000D169D" w:rsidTr="1464925A" w14:paraId="0E2D2E07" wp14:textId="77777777">
        <w:trPr>
          <w:cantSplit/>
          <w:trHeight w:val="1431"/>
        </w:trPr>
        <w:tc>
          <w:tcPr>
            <w:tcW w:w="720" w:type="dxa"/>
            <w:tcMar/>
          </w:tcPr>
          <w:p w:rsidR="000D169D" w:rsidRDefault="004577AD" w14:paraId="3A6AA1BC" wp14:textId="77777777">
            <w:pPr>
              <w:pBdr>
                <w:top w:val="nil"/>
                <w:left w:val="nil"/>
                <w:bottom w:val="nil"/>
                <w:right w:val="nil"/>
                <w:between w:val="nil"/>
              </w:pBdr>
              <w:spacing w:before="120" w:after="120"/>
              <w:jc w:val="both"/>
              <w:rPr>
                <w:rFonts w:ascii="Times New Roman" w:hAnsi="Times New Roman" w:eastAsia="Times New Roman" w:cs="Times New Roman"/>
                <w:color w:val="000000"/>
              </w:rPr>
            </w:pPr>
            <w:r>
              <w:rPr>
                <w:rFonts w:ascii="Times New Roman" w:hAnsi="Times New Roman" w:eastAsia="Times New Roman" w:cs="Times New Roman"/>
                <w:color w:val="000000"/>
              </w:rPr>
              <w:t>5.1</w:t>
            </w:r>
          </w:p>
          <w:p w:rsidR="000D169D" w:rsidRDefault="000D169D" w14:paraId="672A6659" wp14:textId="77777777"/>
          <w:p w:rsidR="000D169D" w:rsidRDefault="000D169D" w14:paraId="0A37501D" wp14:textId="77777777"/>
          <w:p w:rsidR="000D169D" w:rsidRDefault="000D169D" w14:paraId="5DAB6C7B" wp14:textId="77777777">
            <w:pPr>
              <w:pBdr>
                <w:top w:val="nil"/>
                <w:left w:val="nil"/>
                <w:bottom w:val="nil"/>
                <w:right w:val="nil"/>
                <w:between w:val="nil"/>
              </w:pBdr>
              <w:spacing w:before="120" w:after="120"/>
              <w:jc w:val="both"/>
              <w:rPr>
                <w:rFonts w:ascii="Times New Roman" w:hAnsi="Times New Roman" w:eastAsia="Times New Roman" w:cs="Times New Roman"/>
                <w:color w:val="000000"/>
                <w:sz w:val="20"/>
                <w:szCs w:val="20"/>
              </w:rPr>
            </w:pPr>
          </w:p>
        </w:tc>
        <w:tc>
          <w:tcPr>
            <w:tcW w:w="1530" w:type="dxa"/>
            <w:tcMar/>
          </w:tcPr>
          <w:p w:rsidR="000D169D" w:rsidRDefault="004577AD" w14:paraId="1EC740FE" wp14:textId="77777777">
            <w:pPr>
              <w:pBdr>
                <w:top w:val="nil"/>
                <w:left w:val="nil"/>
                <w:bottom w:val="nil"/>
                <w:right w:val="nil"/>
                <w:between w:val="nil"/>
              </w:pBdr>
              <w:spacing w:before="120" w:after="120"/>
              <w:jc w:val="both"/>
              <w:rPr>
                <w:rFonts w:ascii="Times New Roman" w:hAnsi="Times New Roman" w:eastAsia="Times New Roman" w:cs="Times New Roman"/>
                <w:color w:val="000000"/>
              </w:rPr>
            </w:pPr>
            <w:r>
              <w:rPr>
                <w:rFonts w:ascii="Times New Roman" w:hAnsi="Times New Roman" w:eastAsia="Times New Roman" w:cs="Times New Roman"/>
                <w:color w:val="000000"/>
              </w:rPr>
              <w:t>Laboratory Director/ Designee</w:t>
            </w:r>
          </w:p>
        </w:tc>
        <w:tc>
          <w:tcPr>
            <w:tcW w:w="6120" w:type="dxa"/>
            <w:tcMar/>
          </w:tcPr>
          <w:p w:rsidR="000D169D" w:rsidRDefault="004577AD" w14:paraId="7A72AC22" wp14:textId="77777777">
            <w:pPr>
              <w:pBdr>
                <w:top w:val="nil"/>
                <w:left w:val="nil"/>
                <w:bottom w:val="nil"/>
                <w:right w:val="nil"/>
                <w:between w:val="nil"/>
              </w:pBdr>
              <w:spacing w:after="120"/>
              <w:ind w:left="108"/>
              <w:jc w:val="both"/>
              <w:rPr>
                <w:rFonts w:ascii="Times New Roman" w:hAnsi="Times New Roman" w:eastAsia="Times New Roman" w:cs="Times New Roman"/>
                <w:color w:val="000000"/>
              </w:rPr>
            </w:pPr>
            <w:r>
              <w:rPr>
                <w:rFonts w:ascii="Times New Roman" w:hAnsi="Times New Roman" w:eastAsia="Times New Roman" w:cs="Times New Roman"/>
                <w:color w:val="000000"/>
              </w:rPr>
              <w:t>Training of laboratory personnel performing non-waived testing by qualified personnel occurs prior to performance of patient testing on any new methodology, instrumentation, or procedure. Training and Competency documentation is maintained for a period of at least 2 years and available at all times.</w:t>
            </w:r>
          </w:p>
        </w:tc>
      </w:tr>
      <w:tr xmlns:wp14="http://schemas.microsoft.com/office/word/2010/wordml" w:rsidR="000D169D" w:rsidTr="1464925A" w14:paraId="37883FAC" wp14:textId="77777777">
        <w:trPr>
          <w:cantSplit/>
        </w:trPr>
        <w:tc>
          <w:tcPr>
            <w:tcW w:w="720" w:type="dxa"/>
            <w:tcMar/>
          </w:tcPr>
          <w:p w:rsidR="000D169D" w:rsidRDefault="004577AD" w14:paraId="48DA2E20" wp14:textId="77777777">
            <w:pPr>
              <w:pBdr>
                <w:top w:val="nil"/>
                <w:left w:val="nil"/>
                <w:bottom w:val="nil"/>
                <w:right w:val="nil"/>
                <w:between w:val="nil"/>
              </w:pBdr>
              <w:spacing w:before="120" w:after="120"/>
              <w:jc w:val="both"/>
              <w:rPr>
                <w:rFonts w:ascii="Times New Roman" w:hAnsi="Times New Roman" w:eastAsia="Times New Roman" w:cs="Times New Roman"/>
                <w:color w:val="000000"/>
              </w:rPr>
            </w:pPr>
            <w:r>
              <w:rPr>
                <w:rFonts w:ascii="Times New Roman" w:hAnsi="Times New Roman" w:eastAsia="Times New Roman" w:cs="Times New Roman"/>
                <w:color w:val="000000"/>
              </w:rPr>
              <w:t>5.2</w:t>
            </w:r>
          </w:p>
        </w:tc>
        <w:tc>
          <w:tcPr>
            <w:tcW w:w="1530" w:type="dxa"/>
            <w:tcMar/>
          </w:tcPr>
          <w:p w:rsidR="000D169D" w:rsidRDefault="000D169D" w14:paraId="02EB378F" wp14:textId="77777777">
            <w:pPr>
              <w:pBdr>
                <w:top w:val="nil"/>
                <w:left w:val="nil"/>
                <w:bottom w:val="nil"/>
                <w:right w:val="nil"/>
                <w:between w:val="nil"/>
              </w:pBdr>
              <w:spacing w:before="120" w:after="120"/>
              <w:jc w:val="both"/>
              <w:rPr>
                <w:rFonts w:ascii="Times New Roman" w:hAnsi="Times New Roman" w:eastAsia="Times New Roman" w:cs="Times New Roman"/>
                <w:color w:val="000000"/>
              </w:rPr>
            </w:pPr>
          </w:p>
        </w:tc>
        <w:tc>
          <w:tcPr>
            <w:tcW w:w="6120" w:type="dxa"/>
            <w:tcMar/>
          </w:tcPr>
          <w:p w:rsidR="000D169D" w:rsidRDefault="004577AD" w14:paraId="26CEDFFE" wp14:textId="77777777">
            <w:pPr>
              <w:pBdr>
                <w:top w:val="nil"/>
                <w:left w:val="nil"/>
                <w:bottom w:val="nil"/>
                <w:right w:val="nil"/>
                <w:between w:val="nil"/>
              </w:pBdr>
              <w:spacing w:after="120"/>
              <w:ind w:left="108"/>
              <w:jc w:val="both"/>
              <w:rPr>
                <w:rFonts w:ascii="Times New Roman" w:hAnsi="Times New Roman" w:eastAsia="Times New Roman" w:cs="Times New Roman"/>
                <w:color w:val="000000"/>
              </w:rPr>
            </w:pPr>
            <w:r>
              <w:rPr>
                <w:rFonts w:ascii="Times New Roman" w:hAnsi="Times New Roman" w:eastAsia="Times New Roman" w:cs="Times New Roman"/>
                <w:color w:val="000000"/>
              </w:rPr>
              <w:t>Competency is evaluated during on-the-job training, proficiency testing, and randomly during the technical audits of test methods.  Competency is assessed and documented prior to initiating testing, at six months during the first year of employment, at one year of employment and annually thereafter. Retraining and reassessment of competency must also occur when problems are identified with an individual's performance. This should include observation of personnel as they perform procedural steps in the pre-a</w:t>
            </w:r>
            <w:r>
              <w:rPr>
                <w:rFonts w:ascii="Times New Roman" w:hAnsi="Times New Roman" w:eastAsia="Times New Roman" w:cs="Times New Roman"/>
                <w:color w:val="000000"/>
              </w:rPr>
              <w:t>nalytic, analytic and post-analytic phases of testing (Competency Form).</w:t>
            </w:r>
          </w:p>
          <w:p w:rsidR="000D169D" w:rsidP="1464925A" w:rsidRDefault="000D169D" w14:paraId="0E1B19B4" wp14:textId="66729A96">
            <w:pPr>
              <w:pBdr>
                <w:top w:val="nil" w:color="000000" w:sz="0" w:space="0"/>
                <w:left w:val="nil" w:color="000000" w:sz="0" w:space="0"/>
                <w:bottom w:val="nil" w:color="000000" w:sz="0" w:space="0"/>
                <w:right w:val="nil" w:color="000000" w:sz="0" w:space="0"/>
                <w:between w:val="nil" w:color="000000" w:sz="0" w:space="0"/>
              </w:pBdr>
              <w:spacing w:after="120"/>
              <w:ind w:left="108"/>
              <w:jc w:val="both"/>
              <w:rPr>
                <w:rFonts w:ascii="Times New Roman" w:hAnsi="Times New Roman" w:eastAsia="Times New Roman" w:cs="Times New Roman"/>
                <w:color w:val="000000" w:themeColor="text1" w:themeTint="FF" w:themeShade="FF"/>
              </w:rPr>
            </w:pPr>
            <w:r w:rsidRPr="1464925A" w:rsidR="004577AD">
              <w:rPr>
                <w:rFonts w:ascii="Times New Roman" w:hAnsi="Times New Roman" w:eastAsia="Times New Roman" w:cs="Times New Roman"/>
                <w:color w:val="000000" w:themeColor="text1" w:themeTint="FF" w:themeShade="FF"/>
              </w:rPr>
              <w:t>Prior to starting patient testing and reporting patient results for new methods or instruments, each individual must have training and be evaluated for proper test performance.  Retraining and reassessment will occur when problems are identified.</w:t>
            </w:r>
          </w:p>
          <w:p w:rsidR="000D169D" w:rsidP="1464925A" w:rsidRDefault="000D169D" w14:paraId="5A39BBE3" wp14:textId="0C80024B">
            <w:pPr>
              <w:pBdr>
                <w:top w:val="nil" w:color="000000" w:sz="0" w:space="0"/>
                <w:left w:val="nil" w:color="000000" w:sz="0" w:space="0"/>
                <w:bottom w:val="nil" w:color="000000" w:sz="0" w:space="0"/>
                <w:right w:val="nil" w:color="000000" w:sz="0" w:space="0"/>
                <w:between w:val="nil" w:color="000000" w:sz="0" w:space="0"/>
              </w:pBdr>
              <w:spacing w:after="120"/>
              <w:ind w:left="108"/>
              <w:jc w:val="both"/>
              <w:rPr>
                <w:rFonts w:ascii="Times New Roman" w:hAnsi="Times New Roman" w:eastAsia="Times New Roman" w:cs="Times New Roman"/>
                <w:color w:val="000000"/>
              </w:rPr>
            </w:pPr>
          </w:p>
        </w:tc>
      </w:tr>
      <w:tr xmlns:wp14="http://schemas.microsoft.com/office/word/2010/wordml" w:rsidR="000D169D" w:rsidTr="1464925A" w14:paraId="70CFEB55" wp14:textId="77777777">
        <w:trPr>
          <w:cantSplit/>
        </w:trPr>
        <w:tc>
          <w:tcPr>
            <w:tcW w:w="720" w:type="dxa"/>
            <w:tcMar/>
          </w:tcPr>
          <w:p w:rsidR="000D169D" w:rsidRDefault="004577AD" w14:paraId="0B0AC77C" wp14:textId="77777777">
            <w:pPr>
              <w:pBdr>
                <w:top w:val="nil"/>
                <w:left w:val="nil"/>
                <w:bottom w:val="nil"/>
                <w:right w:val="nil"/>
                <w:between w:val="nil"/>
              </w:pBdr>
              <w:spacing w:before="120" w:after="120"/>
              <w:jc w:val="both"/>
              <w:rPr>
                <w:rFonts w:ascii="Times New Roman" w:hAnsi="Times New Roman" w:eastAsia="Times New Roman" w:cs="Times New Roman"/>
                <w:color w:val="000000"/>
              </w:rPr>
            </w:pPr>
            <w:r>
              <w:rPr>
                <w:rFonts w:ascii="Times New Roman" w:hAnsi="Times New Roman" w:eastAsia="Times New Roman" w:cs="Times New Roman"/>
                <w:color w:val="000000"/>
              </w:rPr>
              <w:t>5.3</w:t>
            </w:r>
          </w:p>
        </w:tc>
        <w:tc>
          <w:tcPr>
            <w:tcW w:w="1530" w:type="dxa"/>
            <w:tcMar/>
          </w:tcPr>
          <w:p w:rsidR="000D169D" w:rsidRDefault="000D169D" w14:paraId="41C8F396" wp14:textId="77777777">
            <w:pPr>
              <w:pBdr>
                <w:top w:val="nil"/>
                <w:left w:val="nil"/>
                <w:bottom w:val="nil"/>
                <w:right w:val="nil"/>
                <w:between w:val="nil"/>
              </w:pBdr>
              <w:spacing w:before="120" w:after="120"/>
              <w:jc w:val="both"/>
              <w:rPr>
                <w:rFonts w:ascii="Times New Roman" w:hAnsi="Times New Roman" w:eastAsia="Times New Roman" w:cs="Times New Roman"/>
                <w:color w:val="000000"/>
              </w:rPr>
            </w:pPr>
          </w:p>
        </w:tc>
        <w:tc>
          <w:tcPr>
            <w:tcW w:w="6120" w:type="dxa"/>
            <w:tcMar/>
          </w:tcPr>
          <w:p w:rsidR="000D169D" w:rsidRDefault="004577AD" w14:paraId="58E80D4E" wp14:textId="77777777">
            <w:pPr>
              <w:jc w:val="both"/>
              <w:rPr>
                <w:rFonts w:ascii="Times New Roman" w:hAnsi="Times New Roman" w:eastAsia="Times New Roman" w:cs="Times New Roman"/>
              </w:rPr>
            </w:pPr>
            <w:r>
              <w:rPr>
                <w:rFonts w:ascii="Times New Roman" w:hAnsi="Times New Roman" w:eastAsia="Times New Roman" w:cs="Times New Roman"/>
              </w:rPr>
              <w:t>Competency testing includes the following six areas of assessment:</w:t>
            </w:r>
          </w:p>
          <w:p w:rsidR="000D169D" w:rsidRDefault="000D169D" w14:paraId="72A3D3EC" wp14:textId="77777777">
            <w:pPr>
              <w:jc w:val="both"/>
              <w:rPr>
                <w:rFonts w:ascii="Times New Roman" w:hAnsi="Times New Roman" w:eastAsia="Times New Roman" w:cs="Times New Roman"/>
              </w:rPr>
            </w:pPr>
          </w:p>
          <w:p w:rsidR="000D169D" w:rsidRDefault="004577AD" w14:paraId="475CB2F7" wp14:textId="77777777">
            <w:pPr>
              <w:numPr>
                <w:ilvl w:val="2"/>
                <w:numId w:val="1"/>
              </w:numPr>
              <w:pBdr>
                <w:top w:val="nil"/>
                <w:left w:val="nil"/>
                <w:bottom w:val="nil"/>
                <w:right w:val="nil"/>
                <w:between w:val="nil"/>
              </w:pBdr>
              <w:rPr>
                <w:rFonts w:ascii="Times New Roman" w:hAnsi="Times New Roman" w:eastAsia="Times New Roman" w:cs="Times New Roman"/>
                <w:b/>
                <w:color w:val="000000"/>
              </w:rPr>
            </w:pPr>
            <w:r>
              <w:rPr>
                <w:rFonts w:ascii="Times New Roman" w:hAnsi="Times New Roman" w:eastAsia="Times New Roman" w:cs="Times New Roman"/>
                <w:b/>
                <w:color w:val="000000"/>
              </w:rPr>
              <w:t>Direct observations of routine patient test performance, including, as applicable, patient identification and preparation; and specimen collection, handling, processing and testing</w:t>
            </w:r>
          </w:p>
          <w:p w:rsidR="000D169D" w:rsidRDefault="000D169D" w14:paraId="0D0B940D" wp14:textId="77777777">
            <w:pPr>
              <w:pBdr>
                <w:top w:val="nil"/>
                <w:left w:val="nil"/>
                <w:bottom w:val="nil"/>
                <w:right w:val="nil"/>
                <w:between w:val="nil"/>
              </w:pBdr>
              <w:ind w:left="1224"/>
              <w:rPr>
                <w:rFonts w:ascii="Times New Roman" w:hAnsi="Times New Roman" w:eastAsia="Times New Roman" w:cs="Times New Roman"/>
                <w:b/>
                <w:color w:val="000000"/>
              </w:rPr>
            </w:pPr>
          </w:p>
          <w:p w:rsidR="000D169D" w:rsidRDefault="004577AD" w14:paraId="2F521257" wp14:textId="77777777">
            <w:pPr>
              <w:numPr>
                <w:ilvl w:val="2"/>
                <w:numId w:val="1"/>
              </w:numPr>
              <w:pBdr>
                <w:top w:val="nil"/>
                <w:left w:val="nil"/>
                <w:bottom w:val="nil"/>
                <w:right w:val="nil"/>
                <w:between w:val="nil"/>
              </w:pBdr>
              <w:rPr>
                <w:rFonts w:ascii="Times New Roman" w:hAnsi="Times New Roman" w:eastAsia="Times New Roman" w:cs="Times New Roman"/>
                <w:b/>
                <w:color w:val="000000"/>
              </w:rPr>
            </w:pPr>
            <w:r>
              <w:rPr>
                <w:rFonts w:ascii="Times New Roman" w:hAnsi="Times New Roman" w:eastAsia="Times New Roman" w:cs="Times New Roman"/>
                <w:b/>
                <w:color w:val="000000"/>
              </w:rPr>
              <w:t>Monitoring the recording and reporting of test results, including, as applicable, reporting critical results</w:t>
            </w:r>
          </w:p>
          <w:p w:rsidR="000D169D" w:rsidRDefault="000D169D" w14:paraId="0E27B00A" wp14:textId="77777777">
            <w:pPr>
              <w:rPr>
                <w:b/>
              </w:rPr>
            </w:pPr>
          </w:p>
          <w:p w:rsidR="000D169D" w:rsidRDefault="004577AD" w14:paraId="3327B0BA" wp14:textId="77777777">
            <w:pPr>
              <w:numPr>
                <w:ilvl w:val="2"/>
                <w:numId w:val="1"/>
              </w:numPr>
              <w:pBdr>
                <w:top w:val="nil"/>
                <w:left w:val="nil"/>
                <w:bottom w:val="nil"/>
                <w:right w:val="nil"/>
                <w:between w:val="nil"/>
              </w:pBdr>
              <w:rPr>
                <w:rFonts w:ascii="Times New Roman" w:hAnsi="Times New Roman" w:eastAsia="Times New Roman" w:cs="Times New Roman"/>
                <w:b/>
                <w:color w:val="000000"/>
              </w:rPr>
            </w:pPr>
            <w:r>
              <w:rPr>
                <w:rFonts w:ascii="Times New Roman" w:hAnsi="Times New Roman" w:eastAsia="Times New Roman" w:cs="Times New Roman"/>
                <w:b/>
                <w:color w:val="000000"/>
              </w:rPr>
              <w:t>Review of intermediate test results or worksheets, quality control records, proficiency testing results, and preventive maintenance records</w:t>
            </w:r>
          </w:p>
          <w:p w:rsidR="000D169D" w:rsidRDefault="000D169D" w14:paraId="60061E4C" wp14:textId="77777777">
            <w:pPr>
              <w:rPr>
                <w:b/>
              </w:rPr>
            </w:pPr>
          </w:p>
          <w:p w:rsidR="000D169D" w:rsidRDefault="004577AD" w14:paraId="74BB1764" wp14:textId="77777777">
            <w:pPr>
              <w:numPr>
                <w:ilvl w:val="2"/>
                <w:numId w:val="1"/>
              </w:numPr>
              <w:pBdr>
                <w:top w:val="nil"/>
                <w:left w:val="nil"/>
                <w:bottom w:val="nil"/>
                <w:right w:val="nil"/>
                <w:between w:val="nil"/>
              </w:pBdr>
              <w:rPr>
                <w:rFonts w:ascii="Times New Roman" w:hAnsi="Times New Roman" w:eastAsia="Times New Roman" w:cs="Times New Roman"/>
                <w:b/>
                <w:color w:val="000000"/>
              </w:rPr>
            </w:pPr>
            <w:r>
              <w:rPr>
                <w:rFonts w:ascii="Times New Roman" w:hAnsi="Times New Roman" w:eastAsia="Times New Roman" w:cs="Times New Roman"/>
                <w:b/>
                <w:color w:val="000000"/>
              </w:rPr>
              <w:t>Direct observation of performance of instrument maintenance and function checks</w:t>
            </w:r>
          </w:p>
          <w:p w:rsidR="000D169D" w:rsidRDefault="000D169D" w14:paraId="44EAFD9C" wp14:textId="77777777">
            <w:pPr>
              <w:rPr>
                <w:b/>
              </w:rPr>
            </w:pPr>
          </w:p>
          <w:p w:rsidR="000D169D" w:rsidRDefault="004577AD" w14:paraId="654B3554" wp14:textId="77777777">
            <w:pPr>
              <w:numPr>
                <w:ilvl w:val="2"/>
                <w:numId w:val="1"/>
              </w:numPr>
              <w:pBdr>
                <w:top w:val="nil"/>
                <w:left w:val="nil"/>
                <w:bottom w:val="nil"/>
                <w:right w:val="nil"/>
                <w:between w:val="nil"/>
              </w:pBdr>
              <w:rPr>
                <w:rFonts w:ascii="Times New Roman" w:hAnsi="Times New Roman" w:eastAsia="Times New Roman" w:cs="Times New Roman"/>
                <w:b/>
                <w:color w:val="000000"/>
              </w:rPr>
            </w:pPr>
            <w:r>
              <w:rPr>
                <w:rFonts w:ascii="Times New Roman" w:hAnsi="Times New Roman" w:eastAsia="Times New Roman" w:cs="Times New Roman"/>
                <w:b/>
                <w:color w:val="000000"/>
              </w:rPr>
              <w:t>Assessment of test performance through testing previously analyzed specimens, internal blind testing samples or external proficiency testing samples; and</w:t>
            </w:r>
          </w:p>
          <w:p w:rsidR="000D169D" w:rsidRDefault="000D169D" w14:paraId="4B94D5A5" wp14:textId="77777777">
            <w:pPr>
              <w:rPr>
                <w:b/>
              </w:rPr>
            </w:pPr>
          </w:p>
          <w:p w:rsidR="000D169D" w:rsidRDefault="004577AD" w14:paraId="711EA9C2" wp14:textId="77777777">
            <w:pPr>
              <w:numPr>
                <w:ilvl w:val="2"/>
                <w:numId w:val="1"/>
              </w:numPr>
              <w:pBdr>
                <w:top w:val="nil"/>
                <w:left w:val="nil"/>
                <w:bottom w:val="nil"/>
                <w:right w:val="nil"/>
                <w:between w:val="nil"/>
              </w:pBdr>
              <w:rPr>
                <w:rFonts w:ascii="Times New Roman" w:hAnsi="Times New Roman" w:eastAsia="Times New Roman" w:cs="Times New Roman"/>
                <w:b/>
                <w:color w:val="000000"/>
              </w:rPr>
            </w:pPr>
            <w:r>
              <w:rPr>
                <w:rFonts w:ascii="Times New Roman" w:hAnsi="Times New Roman" w:eastAsia="Times New Roman" w:cs="Times New Roman"/>
                <w:b/>
                <w:color w:val="000000"/>
              </w:rPr>
              <w:t>Evaluation of problem-solving skills</w:t>
            </w:r>
          </w:p>
          <w:p w:rsidR="000D169D" w:rsidRDefault="000D169D" w14:paraId="3DEEC669" wp14:textId="77777777">
            <w:pPr>
              <w:pBdr>
                <w:top w:val="nil"/>
                <w:left w:val="nil"/>
                <w:bottom w:val="nil"/>
                <w:right w:val="nil"/>
                <w:between w:val="nil"/>
              </w:pBdr>
              <w:spacing w:after="120"/>
              <w:ind w:left="108"/>
              <w:jc w:val="both"/>
              <w:rPr>
                <w:rFonts w:ascii="Times New Roman" w:hAnsi="Times New Roman" w:eastAsia="Times New Roman" w:cs="Times New Roman"/>
                <w:color w:val="000000"/>
              </w:rPr>
            </w:pPr>
          </w:p>
        </w:tc>
      </w:tr>
    </w:tbl>
    <w:p xmlns:wp14="http://schemas.microsoft.com/office/word/2010/wordml" w:rsidR="000D169D" w:rsidP="20CB103E" w:rsidRDefault="004577AD" w14:paraId="4598C03C" wp14:textId="4DEA97BE">
      <w:pPr>
        <w:pBdr>
          <w:top w:val="nil" w:color="000000" w:sz="0" w:space="0"/>
          <w:left w:val="nil" w:color="000000" w:sz="0" w:space="0"/>
          <w:bottom w:val="nil" w:color="000000" w:sz="0" w:space="0"/>
          <w:right w:val="nil" w:color="000000" w:sz="0" w:space="0"/>
          <w:between w:val="nil" w:color="000000" w:sz="0" w:space="0"/>
        </w:pBdr>
        <w:tabs>
          <w:tab w:val="left" w:pos="2100"/>
        </w:tabs>
        <w:spacing w:before="120" w:after="120"/>
        <w:ind w:left="2160" w:hanging="2100"/>
        <w:jc w:val="both"/>
        <w:rPr>
          <w:rFonts w:ascii="Times New Roman" w:hAnsi="Times New Roman" w:eastAsia="Times New Roman" w:cs="Times New Roman"/>
          <w:color w:val="000000"/>
          <w:sz w:val="20"/>
          <w:szCs w:val="20"/>
        </w:rPr>
      </w:pPr>
      <w:r w:rsidRPr="20CB103E" w:rsidR="004577AD">
        <w:rPr>
          <w:rFonts w:ascii="Times New Roman" w:hAnsi="Times New Roman" w:eastAsia="Times New Roman" w:cs="Times New Roman"/>
          <w:color w:val="000000" w:themeColor="text1" w:themeTint="FF" w:themeShade="FF"/>
        </w:rPr>
        <w:t>5.4</w:t>
      </w:r>
      <w:r>
        <w:tab/>
      </w:r>
      <w:r>
        <w:tab/>
      </w:r>
      <w:r w:rsidRPr="20CB103E" w:rsidR="004577AD">
        <w:rPr>
          <w:rFonts w:ascii="Times New Roman" w:hAnsi="Times New Roman" w:eastAsia="Times New Roman" w:cs="Times New Roman"/>
          <w:color w:val="000000" w:themeColor="text1" w:themeTint="FF" w:themeShade="FF"/>
        </w:rPr>
        <w:t xml:space="preserve">Competency must be assessed for all testing </w:t>
      </w:r>
      <w:r w:rsidRPr="20CB103E" w:rsidR="59570919">
        <w:rPr>
          <w:rFonts w:ascii="Times New Roman" w:hAnsi="Times New Roman" w:eastAsia="Times New Roman" w:cs="Times New Roman"/>
          <w:color w:val="000000" w:themeColor="text1" w:themeTint="FF" w:themeShade="FF"/>
        </w:rPr>
        <w:t>staff.</w:t>
      </w:r>
      <w:r w:rsidRPr="20CB103E" w:rsidR="004577AD">
        <w:rPr>
          <w:rFonts w:ascii="Times New Roman" w:hAnsi="Times New Roman" w:eastAsia="Times New Roman" w:cs="Times New Roman"/>
          <w:i w:val="1"/>
          <w:iCs w:val="1"/>
          <w:color w:val="000000" w:themeColor="text1" w:themeTint="FF" w:themeShade="FF"/>
        </w:rPr>
        <w:t xml:space="preserve"> </w:t>
      </w:r>
      <w:r w:rsidRPr="20CB103E" w:rsidR="004577AD">
        <w:rPr>
          <w:rFonts w:ascii="Times New Roman" w:hAnsi="Times New Roman" w:eastAsia="Times New Roman" w:cs="Times New Roman"/>
          <w:color w:val="000000" w:themeColor="text1" w:themeTint="FF" w:themeShade="FF"/>
        </w:rPr>
        <w:t xml:space="preserve">The Laboratory Director </w:t>
      </w:r>
      <w:r w:rsidRPr="20CB103E" w:rsidR="004577AD">
        <w:rPr>
          <w:rFonts w:ascii="Times New Roman" w:hAnsi="Times New Roman" w:eastAsia="Times New Roman" w:cs="Times New Roman"/>
          <w:color w:val="000000" w:themeColor="text1" w:themeTint="FF" w:themeShade="FF"/>
        </w:rPr>
        <w:t>is responsible for</w:t>
      </w:r>
      <w:r w:rsidRPr="20CB103E" w:rsidR="004577AD">
        <w:rPr>
          <w:rFonts w:ascii="Times New Roman" w:hAnsi="Times New Roman" w:eastAsia="Times New Roman" w:cs="Times New Roman"/>
          <w:color w:val="000000" w:themeColor="text1" w:themeTint="FF" w:themeShade="FF"/>
        </w:rPr>
        <w:t xml:space="preserve"> delegating assessment tasks for performing and recording competency assessments. </w:t>
      </w:r>
    </w:p>
    <w:p xmlns:wp14="http://schemas.microsoft.com/office/word/2010/wordml" w:rsidR="000D169D" w:rsidRDefault="004577AD" w14:paraId="3656B9AB" wp14:textId="77777777">
      <w:pPr>
        <w:tabs>
          <w:tab w:val="left" w:pos="1020"/>
        </w:tabs>
      </w:pPr>
      <w:r>
        <w:tab/>
      </w:r>
    </w:p>
    <w:sectPr w:rsidR="000D169D">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4577AD" w:rsidRDefault="004577AD" w14:paraId="1299C43A" wp14:textId="77777777">
      <w:r>
        <w:separator/>
      </w:r>
    </w:p>
  </w:endnote>
  <w:endnote w:type="continuationSeparator" w:id="0">
    <w:p xmlns:wp14="http://schemas.microsoft.com/office/word/2010/wordml" w:rsidR="004577AD" w:rsidRDefault="004577AD" w14:paraId="4DDBEF0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D169D" w:rsidRDefault="000D169D" w14:paraId="45FB0818" wp14:textId="7777777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D169D" w:rsidRDefault="000D169D" w14:paraId="0FB78278" wp14:textId="77777777">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D169D" w:rsidRDefault="000D169D" w14:paraId="62486C05" wp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4577AD" w:rsidRDefault="004577AD" w14:paraId="3461D779" wp14:textId="77777777">
      <w:r>
        <w:separator/>
      </w:r>
    </w:p>
  </w:footnote>
  <w:footnote w:type="continuationSeparator" w:id="0">
    <w:p xmlns:wp14="http://schemas.microsoft.com/office/word/2010/wordml" w:rsidR="004577AD" w:rsidRDefault="004577AD" w14:paraId="3CF2D8B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D169D" w:rsidRDefault="000D169D" w14:paraId="4101652C" wp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D169D" w:rsidRDefault="000D169D" w14:paraId="049F31CB" wp14:textId="77777777">
    <w:pPr>
      <w:widowControl w:val="0"/>
      <w:pBdr>
        <w:top w:val="nil"/>
        <w:left w:val="nil"/>
        <w:bottom w:val="nil"/>
        <w:right w:val="nil"/>
        <w:between w:val="nil"/>
      </w:pBdr>
      <w:spacing w:line="276" w:lineRule="auto"/>
    </w:pPr>
  </w:p>
  <w:tbl>
    <w:tblPr>
      <w:tblStyle w:val="a0"/>
      <w:tblW w:w="9041" w:type="dxa"/>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48"/>
      <w:gridCol w:w="2646"/>
      <w:gridCol w:w="3147"/>
    </w:tblGrid>
    <w:tr xmlns:wp14="http://schemas.microsoft.com/office/word/2010/wordml" w:rsidR="000D169D" w:rsidTr="20CB103E" w14:paraId="5D049203" wp14:textId="77777777">
      <w:trPr>
        <w:trHeight w:val="530"/>
      </w:trPr>
      <w:tc>
        <w:tcPr>
          <w:tcW w:w="3248" w:type="dxa"/>
          <w:tcMar/>
        </w:tcPr>
        <w:p w:rsidR="000D169D" w:rsidRDefault="004577AD" w14:paraId="0C01397E" wp14:textId="77777777">
          <w:pPr>
            <w:pBdr>
              <w:top w:val="nil"/>
              <w:left w:val="nil"/>
              <w:bottom w:val="nil"/>
              <w:right w:val="nil"/>
              <w:between w:val="nil"/>
            </w:pBdr>
            <w:tabs>
              <w:tab w:val="center" w:pos="4320"/>
              <w:tab w:val="right" w:pos="864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Bioreach Laboratories</w:t>
          </w:r>
        </w:p>
      </w:tc>
      <w:tc>
        <w:tcPr>
          <w:tcW w:w="2646" w:type="dxa"/>
          <w:tcMar/>
        </w:tcPr>
        <w:p w:rsidR="000D169D" w:rsidRDefault="004577AD" w14:paraId="5B2E5598" wp14:textId="77777777">
          <w:pPr>
            <w:pBdr>
              <w:top w:val="nil"/>
              <w:left w:val="nil"/>
              <w:bottom w:val="nil"/>
              <w:right w:val="nil"/>
              <w:between w:val="nil"/>
            </w:pBdr>
            <w:tabs>
              <w:tab w:val="center" w:pos="4320"/>
              <w:tab w:val="right" w:pos="864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Policy 1.04</w:t>
          </w:r>
        </w:p>
      </w:tc>
      <w:tc>
        <w:tcPr>
          <w:tcW w:w="3147" w:type="dxa"/>
          <w:tcMar/>
        </w:tcPr>
        <w:p w:rsidR="000D169D" w:rsidRDefault="004577AD" w14:paraId="2CDDD390" wp14:textId="77777777">
          <w:pPr>
            <w:pBdr>
              <w:top w:val="nil"/>
              <w:left w:val="nil"/>
              <w:bottom w:val="nil"/>
              <w:right w:val="nil"/>
              <w:between w:val="nil"/>
            </w:pBdr>
            <w:tabs>
              <w:tab w:val="center" w:pos="4320"/>
              <w:tab w:val="right" w:pos="864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Competency Assessment Policy and Procedure</w:t>
          </w:r>
        </w:p>
      </w:tc>
    </w:tr>
    <w:tr xmlns:wp14="http://schemas.microsoft.com/office/word/2010/wordml" w:rsidR="000D169D" w:rsidTr="20CB103E" w14:paraId="05540DF4" wp14:textId="77777777">
      <w:trPr>
        <w:trHeight w:val="602"/>
      </w:trPr>
      <w:tc>
        <w:tcPr>
          <w:tcW w:w="3248" w:type="dxa"/>
          <w:tcMar/>
        </w:tcPr>
        <w:p w:rsidR="000D169D" w:rsidRDefault="004577AD" w14:paraId="76BE6BB6" wp14:textId="77777777">
          <w:pPr>
            <w:pBdr>
              <w:top w:val="nil"/>
              <w:left w:val="nil"/>
              <w:bottom w:val="nil"/>
              <w:right w:val="nil"/>
              <w:between w:val="nil"/>
            </w:pBdr>
            <w:tabs>
              <w:tab w:val="center" w:pos="4320"/>
              <w:tab w:val="right" w:pos="864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Document Date/Revision Date:</w:t>
          </w:r>
        </w:p>
      </w:tc>
      <w:tc>
        <w:tcPr>
          <w:tcW w:w="2646" w:type="dxa"/>
          <w:tcMar/>
        </w:tcPr>
        <w:p w:rsidR="000D169D" w:rsidP="20CB103E" w:rsidRDefault="004577AD" w14:paraId="705A1F8A" wp14:textId="2751F50F">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rPr>
              <w:rFonts w:ascii="Times New Roman" w:hAnsi="Times New Roman" w:eastAsia="Times New Roman" w:cs="Times New Roman"/>
              <w:b w:val="1"/>
              <w:bCs w:val="1"/>
              <w:color w:val="000000"/>
              <w:sz w:val="24"/>
              <w:szCs w:val="24"/>
            </w:rPr>
          </w:pPr>
          <w:r w:rsidRPr="20CB103E" w:rsidR="20CB103E">
            <w:rPr>
              <w:rFonts w:ascii="Times New Roman" w:hAnsi="Times New Roman" w:eastAsia="Times New Roman" w:cs="Times New Roman"/>
              <w:b w:val="1"/>
              <w:bCs w:val="1"/>
              <w:color w:val="000000" w:themeColor="text1" w:themeTint="FF" w:themeShade="FF"/>
              <w:sz w:val="24"/>
              <w:szCs w:val="24"/>
            </w:rPr>
            <w:t>0</w:t>
          </w:r>
          <w:r w:rsidRPr="20CB103E" w:rsidR="20CB103E">
            <w:rPr>
              <w:rFonts w:ascii="Times New Roman" w:hAnsi="Times New Roman" w:eastAsia="Times New Roman" w:cs="Times New Roman"/>
              <w:b w:val="1"/>
              <w:bCs w:val="1"/>
              <w:color w:val="000000" w:themeColor="text1" w:themeTint="FF" w:themeShade="FF"/>
              <w:sz w:val="24"/>
              <w:szCs w:val="24"/>
            </w:rPr>
            <w:t>2</w:t>
          </w:r>
          <w:r w:rsidRPr="20CB103E" w:rsidR="20CB103E">
            <w:rPr>
              <w:rFonts w:ascii="Times New Roman" w:hAnsi="Times New Roman" w:eastAsia="Times New Roman" w:cs="Times New Roman"/>
              <w:b w:val="1"/>
              <w:bCs w:val="1"/>
              <w:color w:val="000000" w:themeColor="text1" w:themeTint="FF" w:themeShade="FF"/>
              <w:sz w:val="24"/>
              <w:szCs w:val="24"/>
            </w:rPr>
            <w:t>/2</w:t>
          </w:r>
          <w:r w:rsidRPr="20CB103E" w:rsidR="20CB103E">
            <w:rPr>
              <w:rFonts w:ascii="Times New Roman" w:hAnsi="Times New Roman" w:eastAsia="Times New Roman" w:cs="Times New Roman"/>
              <w:b w:val="1"/>
              <w:bCs w:val="1"/>
              <w:color w:val="000000" w:themeColor="text1" w:themeTint="FF" w:themeShade="FF"/>
              <w:sz w:val="24"/>
              <w:szCs w:val="24"/>
            </w:rPr>
            <w:t>5</w:t>
          </w:r>
          <w:r w:rsidRPr="20CB103E" w:rsidR="20CB103E">
            <w:rPr>
              <w:rFonts w:ascii="Times New Roman" w:hAnsi="Times New Roman" w:eastAsia="Times New Roman" w:cs="Times New Roman"/>
              <w:b w:val="1"/>
              <w:bCs w:val="1"/>
              <w:color w:val="000000" w:themeColor="text1" w:themeTint="FF" w:themeShade="FF"/>
              <w:sz w:val="24"/>
              <w:szCs w:val="24"/>
            </w:rPr>
            <w:t>/202</w:t>
          </w:r>
          <w:r w:rsidRPr="20CB103E" w:rsidR="20CB103E">
            <w:rPr>
              <w:rFonts w:ascii="Times New Roman" w:hAnsi="Times New Roman" w:eastAsia="Times New Roman" w:cs="Times New Roman"/>
              <w:b w:val="1"/>
              <w:bCs w:val="1"/>
              <w:color w:val="000000" w:themeColor="text1" w:themeTint="FF" w:themeShade="FF"/>
              <w:sz w:val="24"/>
              <w:szCs w:val="24"/>
            </w:rPr>
            <w:t>5</w:t>
          </w:r>
        </w:p>
      </w:tc>
      <w:tc>
        <w:tcPr>
          <w:tcW w:w="3147" w:type="dxa"/>
          <w:tcMar/>
        </w:tcPr>
        <w:p w:rsidR="000D169D" w:rsidRDefault="004577AD" w14:paraId="76016827" wp14:textId="77777777">
          <w:pPr>
            <w:pBdr>
              <w:top w:val="nil"/>
              <w:left w:val="nil"/>
              <w:bottom w:val="nil"/>
              <w:right w:val="nil"/>
              <w:between w:val="nil"/>
            </w:pBdr>
            <w:tabs>
              <w:tab w:val="center" w:pos="4320"/>
              <w:tab w:val="right" w:pos="864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Approved by: </w:t>
          </w:r>
        </w:p>
        <w:p w:rsidR="000D169D" w:rsidRDefault="004577AD" w14:paraId="6F912021" wp14:textId="77777777">
          <w:pPr>
            <w:pBdr>
              <w:top w:val="nil"/>
              <w:left w:val="nil"/>
              <w:bottom w:val="nil"/>
              <w:right w:val="nil"/>
              <w:between w:val="nil"/>
            </w:pBdr>
            <w:tabs>
              <w:tab w:val="center" w:pos="4320"/>
              <w:tab w:val="right" w:pos="864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Ammon Bayles, PhD, HCLD</w:t>
          </w:r>
        </w:p>
      </w:tc>
    </w:tr>
  </w:tbl>
  <w:p xmlns:wp14="http://schemas.microsoft.com/office/word/2010/wordml" w:rsidR="000D169D" w:rsidRDefault="000D169D" w14:paraId="53128261" wp14:textId="7777777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D169D" w:rsidRDefault="000D169D" w14:paraId="4B99056E" wp14:textId="7777777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526DD"/>
    <w:multiLevelType w:val="multilevel"/>
    <w:tmpl w:val="FFFFFFFF"/>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7BF94928"/>
    <w:multiLevelType w:val="multilevel"/>
    <w:tmpl w:val="FFFFFFF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1633557">
    <w:abstractNumId w:val="1"/>
  </w:num>
  <w:num w:numId="2" w16cid:durableId="16106234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9D"/>
    <w:rsid w:val="000D169D"/>
    <w:rsid w:val="004577AD"/>
    <w:rsid w:val="004F69D6"/>
    <w:rsid w:val="07149968"/>
    <w:rsid w:val="1464925A"/>
    <w:rsid w:val="20CB103E"/>
    <w:rsid w:val="21E7EC36"/>
    <w:rsid w:val="39ED2F12"/>
    <w:rsid w:val="59570919"/>
    <w:rsid w:val="767F2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026A9FB"/>
  <w15:docId w15:val="{77AABF99-643C-4746-94D4-8C66FB19B8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before="240" w:after="120"/>
      <w:ind w:left="360" w:hanging="360"/>
      <w:outlineLvl w:val="0"/>
    </w:pPr>
    <w:rPr>
      <w:rFonts w:ascii="Times New Roman" w:hAnsi="Times New Roman" w:eastAsia="Times New Roman" w:cs="Times New Roman"/>
      <w:b/>
      <w:sz w:val="20"/>
      <w:szCs w:val="20"/>
    </w:rPr>
  </w:style>
  <w:style w:type="paragraph" w:styleId="Heading2">
    <w:name w:val="heading 2"/>
    <w:basedOn w:val="Normal"/>
    <w:next w:val="Normal"/>
    <w:uiPriority w:val="9"/>
    <w:semiHidden/>
    <w:unhideWhenUsed/>
    <w:qFormat/>
    <w:pPr>
      <w:tabs>
        <w:tab w:val="left" w:pos="810"/>
      </w:tabs>
      <w:ind w:left="810" w:hanging="450"/>
      <w:outlineLvl w:val="1"/>
    </w:pPr>
    <w:rPr>
      <w:rFonts w:ascii="Times New Roman" w:hAnsi="Times New Roman" w:eastAsia="Times New Roman" w:cs="Times New Roman"/>
      <w:sz w:val="20"/>
      <w:szCs w:val="20"/>
    </w:rPr>
  </w:style>
  <w:style w:type="paragraph" w:styleId="Heading3">
    <w:name w:val="heading 3"/>
    <w:basedOn w:val="Normal"/>
    <w:next w:val="Normal"/>
    <w:uiPriority w:val="9"/>
    <w:semiHidden/>
    <w:unhideWhenUsed/>
    <w:qFormat/>
    <w:pPr>
      <w:keepNext/>
      <w:outlineLvl w:val="2"/>
    </w:pPr>
    <w:rPr>
      <w:rFonts w:ascii="Times New Roman" w:hAnsi="Times New Roman" w:eastAsia="Times New Roman" w:cs="Times New Roman"/>
      <w:sz w:val="20"/>
      <w:szCs w:val="20"/>
    </w:rPr>
  </w:style>
  <w:style w:type="paragraph" w:styleId="Heading4">
    <w:name w:val="heading 4"/>
    <w:basedOn w:val="Normal"/>
    <w:next w:val="Normal"/>
    <w:uiPriority w:val="9"/>
    <w:semiHidden/>
    <w:unhideWhenUsed/>
    <w:qFormat/>
    <w:pPr>
      <w:keepNext/>
      <w:spacing w:before="240" w:after="60"/>
      <w:outlineLvl w:val="3"/>
    </w:pPr>
    <w:rPr>
      <w:rFonts w:ascii="Times New Roman" w:hAnsi="Times New Roman" w:eastAsia="Times New Roman" w:cs="Times New Roman"/>
      <w:sz w:val="20"/>
      <w:szCs w:val="20"/>
    </w:rPr>
  </w:style>
  <w:style w:type="paragraph" w:styleId="Heading5">
    <w:name w:val="heading 5"/>
    <w:basedOn w:val="Normal"/>
    <w:next w:val="Normal"/>
    <w:uiPriority w:val="9"/>
    <w:semiHidden/>
    <w:unhideWhenUsed/>
    <w:qFormat/>
    <w:pPr>
      <w:spacing w:before="240" w:after="60"/>
      <w:outlineLvl w:val="4"/>
    </w:pPr>
    <w:rPr>
      <w:rFonts w:ascii="Times New Roman" w:hAnsi="Times New Roman" w:eastAsia="Times New Roman" w:cs="Times New Roman"/>
      <w:sz w:val="20"/>
      <w:szCs w:val="20"/>
    </w:rPr>
  </w:style>
  <w:style w:type="paragraph" w:styleId="Heading6">
    <w:name w:val="heading 6"/>
    <w:basedOn w:val="Normal"/>
    <w:next w:val="Normal"/>
    <w:uiPriority w:val="9"/>
    <w:semiHidden/>
    <w:unhideWhenUsed/>
    <w:qFormat/>
    <w:pPr>
      <w:spacing w:before="240" w:after="60"/>
      <w:outlineLvl w:val="5"/>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72" w:type="dxa"/>
        <w:right w:w="72" w:type="dxa"/>
      </w:tblCellMar>
    </w:tblPr>
  </w:style>
  <w:style w:type="table" w:styleId="a0" w:customStyle="1">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ID xmlns="44854211-89fe-4027-b781-0b104f7d7b02" xsi:nil="true"/>
    <lcf76f155ced4ddcb4097134ff3c332f xmlns="5883600d-43cd-403e-bd9c-fcb18b77cff2">
      <Terms xmlns="http://schemas.microsoft.com/office/infopath/2007/PartnerControls"/>
    </lcf76f155ced4ddcb4097134ff3c332f>
    <TaxCatchAll xmlns="44854211-89fe-4027-b781-0b104f7d7b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A9579A1F72D4F90A197B2CFDEDACD" ma:contentTypeVersion="14" ma:contentTypeDescription="Create a new document." ma:contentTypeScope="" ma:versionID="710c24c608244124cdfabacd6bf1c9dd">
  <xsd:schema xmlns:xsd="http://www.w3.org/2001/XMLSchema" xmlns:xs="http://www.w3.org/2001/XMLSchema" xmlns:p="http://schemas.microsoft.com/office/2006/metadata/properties" xmlns:ns2="44854211-89fe-4027-b781-0b104f7d7b02" xmlns:ns3="5883600d-43cd-403e-bd9c-fcb18b77cff2" targetNamespace="http://schemas.microsoft.com/office/2006/metadata/properties" ma:root="true" ma:fieldsID="0b225e625e3321550642670a2840aa20" ns2:_="" ns3:_="">
    <xsd:import namespace="44854211-89fe-4027-b781-0b104f7d7b02"/>
    <xsd:import namespace="5883600d-43cd-403e-bd9c-fcb18b77cff2"/>
    <xsd:element name="properties">
      <xsd:complexType>
        <xsd:sequence>
          <xsd:element name="documentManagement">
            <xsd:complexType>
              <xsd:all>
                <xsd:element ref="ns2:MigrationSource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54211-89fe-4027-b781-0b104f7d7b02" elementFormDefault="qualified">
    <xsd:import namespace="http://schemas.microsoft.com/office/2006/documentManagement/types"/>
    <xsd:import namespace="http://schemas.microsoft.com/office/infopath/2007/PartnerControls"/>
    <xsd:element name="MigrationSourceID" ma:index="8" nillable="true" ma:displayName="MigrationSourceID" ma:internalName="MigrationSourceID" ma:readOnly="true">
      <xsd:simpleType>
        <xsd:restriction base="dms:Text"/>
      </xsd:simpleType>
    </xsd:element>
    <xsd:element name="TaxCatchAll" ma:index="20" nillable="true" ma:displayName="Taxonomy Catch All Column" ma:hidden="true" ma:list="{851c8076-25e5-4b16-b9ce-92f1dc07d61c}" ma:internalName="TaxCatchAll" ma:showField="CatchAllData" ma:web="44854211-89fe-4027-b781-0b104f7d7b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83600d-43cd-403e-bd9c-fcb18b77cff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aa7b8d-9e9c-457a-bb00-3b831e8ee7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JNRpuV1bS2jx99TKwRxFBSNx3Q==">CgMxLjA4AHIhMUUwSnlGOXhoc0V4dnFFcThDYmUtRHZjUURJQkJJeUpZ</go:docsCustomData>
</go:gDocsCustomXmlDataStorage>
</file>

<file path=customXml/itemProps1.xml><?xml version="1.0" encoding="utf-8"?>
<ds:datastoreItem xmlns:ds="http://schemas.openxmlformats.org/officeDocument/2006/customXml" ds:itemID="{C17C74FD-420F-4E75-BD7D-FB580F05999D}">
  <ds:schemaRefs>
    <ds:schemaRef ds:uri="http://schemas.microsoft.com/office/2006/metadata/properties"/>
    <ds:schemaRef ds:uri="http://schemas.microsoft.com/office/infopath/2007/PartnerControls"/>
    <ds:schemaRef ds:uri="44854211-89fe-4027-b781-0b104f7d7b02"/>
    <ds:schemaRef ds:uri="5883600d-43cd-403e-bd9c-fcb18b77cff2"/>
  </ds:schemaRefs>
</ds:datastoreItem>
</file>

<file path=customXml/itemProps2.xml><?xml version="1.0" encoding="utf-8"?>
<ds:datastoreItem xmlns:ds="http://schemas.openxmlformats.org/officeDocument/2006/customXml" ds:itemID="{C5B6EA76-B851-4398-BBDE-850E1ABD7003}">
  <ds:schemaRefs>
    <ds:schemaRef ds:uri="http://schemas.microsoft.com/sharepoint/v3/contenttype/forms"/>
  </ds:schemaRefs>
</ds:datastoreItem>
</file>

<file path=customXml/itemProps3.xml><?xml version="1.0" encoding="utf-8"?>
<ds:datastoreItem xmlns:ds="http://schemas.openxmlformats.org/officeDocument/2006/customXml" ds:itemID="{7B34CA1E-E5A8-4AFA-A20C-65E00CAC3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54211-89fe-4027-b781-0b104f7d7b02"/>
    <ds:schemaRef ds:uri="5883600d-43cd-403e-bd9c-fcb18b77c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Larry Schuermann</lastModifiedBy>
  <revision>4</revision>
  <dcterms:created xsi:type="dcterms:W3CDTF">2025-02-25T20:06:00.0000000Z</dcterms:created>
  <dcterms:modified xsi:type="dcterms:W3CDTF">2025-02-25T20:09:58.5041361Z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0x01010074CA9579A1F72D4F90A197B2CFDEDACD</vt:lpwstr>
  </property>
  <property fmtid="{D5CDD505-2E9C-101B-9397-08002B2CF9AE}" pid="3" name="Order">
    <vt:r8>12000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