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7C32D1" w:rsidP="5F05D5D6" w:rsidRDefault="007C32D1" w14:paraId="672A6659" wp14:textId="06AB4AB7">
      <w:pPr>
        <w:jc w:val="center"/>
        <w:rPr>
          <w:rFonts w:ascii="Calibri" w:hAnsi="Calibri" w:eastAsia="Calibri" w:cs="Calibri"/>
          <w:sz w:val="22"/>
          <w:szCs w:val="22"/>
        </w:rPr>
      </w:pPr>
      <w:r w:rsidRPr="5F05D5D6" w:rsidR="11DAE319">
        <w:rPr>
          <w:rFonts w:ascii="Calibri" w:hAnsi="Calibri" w:eastAsia="Calibri" w:cs="Calibri"/>
          <w:sz w:val="22"/>
          <w:szCs w:val="22"/>
        </w:rPr>
        <w:t xml:space="preserve">Changes in </w:t>
      </w:r>
      <w:r w:rsidRPr="5F05D5D6" w:rsidR="11DAE319">
        <w:rPr>
          <w:rFonts w:ascii="Calibri" w:hAnsi="Calibri" w:eastAsia="Calibri" w:cs="Calibri"/>
          <w:sz w:val="22"/>
          <w:szCs w:val="22"/>
          <w:highlight w:val="lightGray"/>
        </w:rPr>
        <w:t>Grey</w:t>
      </w:r>
    </w:p>
    <w:p xmlns:wp14="http://schemas.microsoft.com/office/word/2010/wordml" w:rsidR="007C32D1" w:rsidRDefault="00B153C0" w14:paraId="070FFBF5" wp14:textId="2E623484">
      <w:pPr>
        <w:pStyle w:val="Heading1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3C692262" w:rsidR="00B153C0">
        <w:rPr>
          <w:rFonts w:ascii="Calibri" w:hAnsi="Calibri" w:eastAsia="Calibri" w:cs="Calibri"/>
          <w:sz w:val="22"/>
          <w:szCs w:val="22"/>
        </w:rPr>
        <w:t>Purpose</w:t>
      </w:r>
      <w:r w:rsidRPr="3C692262" w:rsidR="5B1824EC">
        <w:rPr>
          <w:rFonts w:ascii="Calibri" w:hAnsi="Calibri" w:eastAsia="Calibri" w:cs="Calibri"/>
          <w:sz w:val="22"/>
          <w:szCs w:val="22"/>
        </w:rPr>
        <w:t>: This</w:t>
      </w:r>
      <w:r w:rsidRPr="3C692262" w:rsidR="00B153C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policy documents how Instrument Maintenance is ensured at Bioreach Laboratories</w:t>
      </w:r>
      <w:r w:rsidRPr="3C692262" w:rsidR="00B153C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 </w:t>
      </w:r>
      <w:r w:rsidRPr="3C692262" w:rsidR="00B153C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covers Analyzers, Refrigerators, Freezers, Centrifuges, Pipettes, Thermometers, </w:t>
      </w:r>
      <w:r w:rsidRPr="3C692262" w:rsidR="00B153C0">
        <w:rPr>
          <w:rFonts w:ascii="Calibri" w:hAnsi="Calibri" w:eastAsia="Calibri" w:cs="Calibri"/>
          <w:b w:val="0"/>
          <w:bCs w:val="0"/>
          <w:sz w:val="22"/>
          <w:szCs w:val="22"/>
        </w:rPr>
        <w:t>Timers</w:t>
      </w:r>
      <w:r w:rsidRPr="3C692262" w:rsidR="00B153C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all other pertinent equipment.</w:t>
      </w:r>
    </w:p>
    <w:p xmlns:wp14="http://schemas.microsoft.com/office/word/2010/wordml" w:rsidR="007C32D1" w:rsidRDefault="00B153C0" w14:paraId="38A6ACC4" wp14:textId="77777777">
      <w:pPr>
        <w:pStyle w:val="Heading1"/>
        <w:widowControl w:val="0"/>
        <w:numPr>
          <w:ilvl w:val="1"/>
          <w:numId w:val="1"/>
        </w:numPr>
        <w:spacing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 w:val="0"/>
          <w:sz w:val="22"/>
          <w:szCs w:val="22"/>
        </w:rPr>
        <w:t>Analyzer Maintenance</w:t>
      </w:r>
    </w:p>
    <w:p xmlns:wp14="http://schemas.microsoft.com/office/word/2010/wordml" w:rsidR="007C32D1" w:rsidRDefault="00B153C0" w14:paraId="3F7E155B" wp14:textId="77777777">
      <w:pPr>
        <w:numPr>
          <w:ilvl w:val="2"/>
          <w:numId w:val="1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Daily, Weekly, Monthly and as required Preventative Maintenance is to be performed and documented by Bioreach Testing staff.</w:t>
      </w:r>
    </w:p>
    <w:p xmlns:wp14="http://schemas.microsoft.com/office/word/2010/wordml" w:rsidR="007C32D1" w:rsidRDefault="00B153C0" w14:paraId="5953C832" wp14:textId="47BAA890">
      <w:pPr>
        <w:numPr>
          <w:ilvl w:val="2"/>
          <w:numId w:val="1"/>
        </w:numPr>
        <w:rPr>
          <w:rFonts w:ascii="Calibri" w:hAnsi="Calibri" w:eastAsia="Calibri" w:cs="Calibri"/>
          <w:sz w:val="22"/>
          <w:szCs w:val="22"/>
        </w:rPr>
      </w:pPr>
      <w:r w:rsidRPr="3C692262" w:rsidR="00B153C0">
        <w:rPr>
          <w:rFonts w:ascii="Calibri" w:hAnsi="Calibri" w:eastAsia="Calibri" w:cs="Calibri"/>
          <w:sz w:val="22"/>
          <w:szCs w:val="22"/>
        </w:rPr>
        <w:t xml:space="preserve">Annual </w:t>
      </w:r>
      <w:r w:rsidRPr="3C692262" w:rsidR="7B7AE79E">
        <w:rPr>
          <w:rFonts w:ascii="Calibri" w:hAnsi="Calibri" w:eastAsia="Calibri" w:cs="Calibri"/>
          <w:sz w:val="22"/>
          <w:szCs w:val="22"/>
        </w:rPr>
        <w:t xml:space="preserve">preventative </w:t>
      </w:r>
      <w:r w:rsidRPr="3C692262" w:rsidR="00B153C0">
        <w:rPr>
          <w:rFonts w:ascii="Calibri" w:hAnsi="Calibri" w:eastAsia="Calibri" w:cs="Calibri"/>
          <w:sz w:val="22"/>
          <w:szCs w:val="22"/>
        </w:rPr>
        <w:t xml:space="preserve">maintenance is performed by the manufacturer. </w:t>
      </w:r>
    </w:p>
    <w:p xmlns:wp14="http://schemas.microsoft.com/office/word/2010/wordml" w:rsidR="007C32D1" w:rsidRDefault="00B153C0" w14:paraId="0A222474" wp14:textId="77777777">
      <w:pPr>
        <w:numPr>
          <w:ilvl w:val="2"/>
          <w:numId w:val="1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Instrument breakdown issues are performed by Testing staff and manufacturer technical support. </w:t>
      </w:r>
    </w:p>
    <w:p xmlns:wp14="http://schemas.microsoft.com/office/word/2010/wordml" w:rsidR="007C32D1" w:rsidRDefault="00B153C0" w14:paraId="3E1110B1" wp14:textId="77777777">
      <w:pPr>
        <w:numPr>
          <w:ilvl w:val="1"/>
          <w:numId w:val="1"/>
        </w:numPr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Refrigerators, Freezers, Centrifuges and Pipettes are to have annual preventative maintenance performed by Bio-Med.</w:t>
      </w:r>
    </w:p>
    <w:p xmlns:wp14="http://schemas.microsoft.com/office/word/2010/wordml" w:rsidR="007C32D1" w:rsidRDefault="00B153C0" w14:paraId="436B1229" wp14:textId="77777777">
      <w:pPr>
        <w:numPr>
          <w:ilvl w:val="2"/>
          <w:numId w:val="1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Initial Calibration/Traceability Certificates are kept and deemed acceptable for the initial year of use. Recalibration verification is performed annually.</w:t>
      </w:r>
    </w:p>
    <w:p xmlns:wp14="http://schemas.microsoft.com/office/word/2010/wordml" w:rsidR="007C32D1" w:rsidRDefault="00B153C0" w14:paraId="6547B9B4" wp14:textId="77777777">
      <w:pPr>
        <w:numPr>
          <w:ilvl w:val="1"/>
          <w:numId w:val="1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Thermometers: All individual thermometers are to have calibration verification performed before expiration of original certificate.</w:t>
      </w:r>
    </w:p>
    <w:p xmlns:wp14="http://schemas.microsoft.com/office/word/2010/wordml" w:rsidR="007C32D1" w:rsidRDefault="00B153C0" w14:paraId="620595A1" wp14:textId="77777777">
      <w:pPr>
        <w:numPr>
          <w:ilvl w:val="2"/>
          <w:numId w:val="1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Calibration verification is completed via NIST calibrated thermocouple.</w:t>
      </w:r>
    </w:p>
    <w:p xmlns:wp14="http://schemas.microsoft.com/office/word/2010/wordml" w:rsidR="007C32D1" w:rsidRDefault="00B153C0" w14:paraId="795DDC1B" wp14:textId="77777777">
      <w:pPr>
        <w:numPr>
          <w:ilvl w:val="1"/>
          <w:numId w:val="1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Timers: All individual timers are to have calibration verification performed before expiration of original calibration certificate.</w:t>
      </w:r>
    </w:p>
    <w:p xmlns:wp14="http://schemas.microsoft.com/office/word/2010/wordml" w:rsidR="007C32D1" w:rsidRDefault="00B153C0" w14:paraId="6A8C3A72" wp14:textId="77777777">
      <w:pPr>
        <w:numPr>
          <w:ilvl w:val="2"/>
          <w:numId w:val="1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Annual calibration verification is completed using Time.gov NIST calibrated clock.</w:t>
      </w:r>
    </w:p>
    <w:p xmlns:wp14="http://schemas.microsoft.com/office/word/2010/wordml" w:rsidR="007C32D1" w:rsidRDefault="00B153C0" w14:paraId="62B6FF39" wp14:textId="54D38169">
      <w:pPr>
        <w:numPr>
          <w:ilvl w:val="1"/>
          <w:numId w:val="1"/>
        </w:numPr>
        <w:rPr>
          <w:sz w:val="22"/>
          <w:szCs w:val="22"/>
        </w:rPr>
      </w:pPr>
      <w:r w:rsidRPr="3C692262" w:rsidR="00B153C0">
        <w:rPr>
          <w:rFonts w:ascii="Calibri" w:hAnsi="Calibri" w:eastAsia="Calibri" w:cs="Calibri"/>
          <w:sz w:val="22"/>
          <w:szCs w:val="22"/>
        </w:rPr>
        <w:t>DiH2O</w:t>
      </w:r>
      <w:r w:rsidRPr="3C692262" w:rsidR="0C94BB44">
        <w:rPr>
          <w:rFonts w:ascii="Calibri" w:hAnsi="Calibri" w:eastAsia="Calibri" w:cs="Calibri"/>
          <w:sz w:val="22"/>
          <w:szCs w:val="22"/>
        </w:rPr>
        <w:t xml:space="preserve">: </w:t>
      </w:r>
      <w:r w:rsidRPr="3C692262" w:rsidR="0C94BB44">
        <w:rPr>
          <w:rFonts w:ascii="Calibri" w:hAnsi="Calibri" w:eastAsia="Calibri" w:cs="Calibri"/>
          <w:sz w:val="22"/>
          <w:szCs w:val="22"/>
          <w:highlight w:val="lightGray"/>
        </w:rPr>
        <w:t>Scheduled</w:t>
      </w:r>
      <w:r w:rsidRPr="3C692262" w:rsidR="00B153C0">
        <w:rPr>
          <w:rFonts w:ascii="Calibri" w:hAnsi="Calibri" w:eastAsia="Calibri" w:cs="Calibri"/>
          <w:sz w:val="22"/>
          <w:szCs w:val="22"/>
          <w:highlight w:val="lightGray"/>
        </w:rPr>
        <w:t xml:space="preserve"> </w:t>
      </w:r>
      <w:r w:rsidRPr="3C692262" w:rsidR="7FB04172">
        <w:rPr>
          <w:rFonts w:ascii="Calibri" w:hAnsi="Calibri" w:eastAsia="Calibri" w:cs="Calibri"/>
          <w:sz w:val="22"/>
          <w:szCs w:val="22"/>
          <w:highlight w:val="lightGray"/>
        </w:rPr>
        <w:t xml:space="preserve">and as needed </w:t>
      </w:r>
      <w:r w:rsidRPr="3C692262" w:rsidR="00B153C0">
        <w:rPr>
          <w:rFonts w:ascii="Calibri" w:hAnsi="Calibri" w:eastAsia="Calibri" w:cs="Calibri"/>
          <w:sz w:val="22"/>
          <w:szCs w:val="22"/>
          <w:highlight w:val="lightGray"/>
        </w:rPr>
        <w:t>preventative maintenance is</w:t>
      </w:r>
      <w:r w:rsidRPr="3C692262" w:rsidR="7F3B1075">
        <w:rPr>
          <w:rFonts w:ascii="Calibri" w:hAnsi="Calibri" w:eastAsia="Calibri" w:cs="Calibri"/>
          <w:sz w:val="22"/>
          <w:szCs w:val="22"/>
          <w:highlight w:val="lightGray"/>
        </w:rPr>
        <w:t xml:space="preserve"> performed by GWT</w:t>
      </w:r>
      <w:r w:rsidRPr="3C692262" w:rsidR="00B153C0">
        <w:rPr>
          <w:rFonts w:ascii="Calibri" w:hAnsi="Calibri" w:eastAsia="Calibri" w:cs="Calibri"/>
          <w:sz w:val="22"/>
          <w:szCs w:val="22"/>
          <w:highlight w:val="lightGray"/>
        </w:rPr>
        <w:t xml:space="preserve">.  </w:t>
      </w:r>
      <w:r w:rsidRPr="3C692262" w:rsidR="724EB802">
        <w:rPr>
          <w:rFonts w:ascii="Calibri" w:hAnsi="Calibri" w:eastAsia="Calibri" w:cs="Calibri"/>
          <w:sz w:val="22"/>
          <w:szCs w:val="22"/>
          <w:highlight w:val="lightGray"/>
        </w:rPr>
        <w:t xml:space="preserve">Lab staff is to document resistance, hours of use and filter color on day of us basis. </w:t>
      </w:r>
      <w:r w:rsidRPr="3C692262" w:rsidR="59850775">
        <w:rPr>
          <w:rFonts w:ascii="Calibri" w:hAnsi="Calibri" w:eastAsia="Calibri" w:cs="Calibri"/>
          <w:sz w:val="22"/>
          <w:szCs w:val="22"/>
          <w:highlight w:val="lightGray"/>
        </w:rPr>
        <w:t>Reservoir tanks</w:t>
      </w:r>
      <w:r w:rsidRPr="3C692262" w:rsidR="00B153C0">
        <w:rPr>
          <w:rFonts w:ascii="Calibri" w:hAnsi="Calibri" w:eastAsia="Calibri" w:cs="Calibri"/>
          <w:sz w:val="22"/>
          <w:szCs w:val="22"/>
          <w:highlight w:val="lightGray"/>
        </w:rPr>
        <w:t xml:space="preserve"> are to be replaced when DiH2O readings drop below 10.0 </w:t>
      </w:r>
      <w:r w:rsidRPr="3C692262" w:rsidR="00B153C0">
        <w:rPr>
          <w:rFonts w:ascii="Calibri" w:hAnsi="Calibri" w:eastAsia="Calibri" w:cs="Calibri"/>
          <w:sz w:val="22"/>
          <w:szCs w:val="22"/>
          <w:highlight w:val="lightGray"/>
        </w:rPr>
        <w:t>megOhms</w:t>
      </w:r>
      <w:r w:rsidRPr="3C692262" w:rsidR="00B153C0">
        <w:rPr>
          <w:rFonts w:ascii="Calibri" w:hAnsi="Calibri" w:eastAsia="Calibri" w:cs="Calibri"/>
          <w:color w:val="500050"/>
          <w:sz w:val="22"/>
          <w:szCs w:val="22"/>
          <w:highlight w:val="lightGray"/>
        </w:rPr>
        <w:t>.</w:t>
      </w:r>
    </w:p>
    <w:p xmlns:wp14="http://schemas.microsoft.com/office/word/2010/wordml" w:rsidR="007C32D1" w:rsidRDefault="007C32D1" w14:paraId="5DAB6C7B" wp14:textId="77777777">
      <w:pPr>
        <w:pStyle w:val="Heading1"/>
        <w:ind w:left="0"/>
        <w:rPr>
          <w:rFonts w:ascii="Calibri" w:hAnsi="Calibri" w:eastAsia="Calibri" w:cs="Calibri"/>
          <w:sz w:val="22"/>
          <w:szCs w:val="22"/>
        </w:rPr>
      </w:pPr>
    </w:p>
    <w:sectPr w:rsidR="007C32D1">
      <w:headerReference w:type="default" r:id="rId11"/>
      <w:pgSz w:w="12240" w:h="15840" w:orient="portrait"/>
      <w:pgMar w:top="1440" w:right="1800" w:bottom="1440" w:left="1800" w:header="720" w:footer="720" w:gutter="0"/>
      <w:pgNumType w:start="1"/>
      <w:cols w:space="720"/>
      <w:footerReference w:type="default" r:id="R5d530786df7545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153C0" w:rsidRDefault="00B153C0" w14:paraId="5A39BBE3" wp14:textId="77777777">
      <w:r>
        <w:separator/>
      </w:r>
    </w:p>
  </w:endnote>
  <w:endnote w:type="continuationSeparator" w:id="0">
    <w:p xmlns:wp14="http://schemas.microsoft.com/office/word/2010/wordml" w:rsidR="00B153C0" w:rsidRDefault="00B153C0" w14:paraId="41C8F3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C692262" w:rsidTr="3C692262" w14:paraId="2A0D3860">
      <w:trPr>
        <w:trHeight w:val="300"/>
      </w:trPr>
      <w:tc>
        <w:tcPr>
          <w:tcW w:w="2880" w:type="dxa"/>
          <w:tcMar/>
        </w:tcPr>
        <w:p w:rsidR="3C692262" w:rsidP="3C692262" w:rsidRDefault="3C692262" w14:paraId="09F80667" w14:textId="7FB7F9B8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3C692262" w:rsidP="3C692262" w:rsidRDefault="3C692262" w14:paraId="523DD8EB" w14:textId="7D8350EF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3C692262" w:rsidP="3C692262" w:rsidRDefault="3C692262" w14:paraId="4FE11A63" w14:textId="2A9E4DCE">
          <w:pPr>
            <w:pStyle w:val="Header"/>
            <w:bidi w:val="0"/>
            <w:ind w:right="-115"/>
            <w:jc w:val="right"/>
          </w:pPr>
        </w:p>
      </w:tc>
    </w:tr>
  </w:tbl>
  <w:p w:rsidR="3C692262" w:rsidP="3C692262" w:rsidRDefault="3C692262" w14:paraId="20E706B8" w14:textId="7A65991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153C0" w:rsidRDefault="00B153C0" w14:paraId="72A3D3EC" wp14:textId="77777777">
      <w:r>
        <w:separator/>
      </w:r>
    </w:p>
  </w:footnote>
  <w:footnote w:type="continuationSeparator" w:id="0">
    <w:p xmlns:wp14="http://schemas.microsoft.com/office/word/2010/wordml" w:rsidR="00B153C0" w:rsidRDefault="00B153C0" w14:paraId="0D0B940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7C32D1" w:rsidRDefault="007C32D1" w14:paraId="02EB378F" wp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"/>
      <w:tblW w:w="9041" w:type="dxa"/>
      <w:tblInd w:w="-293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400" w:firstRow="0" w:lastRow="0" w:firstColumn="0" w:lastColumn="0" w:noHBand="0" w:noVBand="1"/>
    </w:tblPr>
    <w:tblGrid>
      <w:gridCol w:w="3256"/>
      <w:gridCol w:w="2653"/>
      <w:gridCol w:w="3132"/>
    </w:tblGrid>
    <w:tr xmlns:wp14="http://schemas.microsoft.com/office/word/2010/wordml" w:rsidR="007C32D1" w:rsidTr="3C692262" w14:paraId="0CF355EF" wp14:textId="77777777">
      <w:trPr>
        <w:trHeight w:val="530"/>
      </w:trPr>
      <w:tc>
        <w:tcPr>
          <w:tcW w:w="3256" w:type="dxa"/>
          <w:tcMar/>
        </w:tcPr>
        <w:p w:rsidR="007C32D1" w:rsidRDefault="00B153C0" w14:paraId="0C01397E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Bioreach Laboratories</w:t>
          </w:r>
        </w:p>
      </w:tc>
      <w:tc>
        <w:tcPr>
          <w:tcW w:w="2653" w:type="dxa"/>
          <w:tcMar/>
        </w:tcPr>
        <w:p w:rsidR="007C32D1" w:rsidRDefault="00B153C0" w14:paraId="47FA475A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Policy 1.1</w:t>
          </w:r>
          <w:r>
            <w:rPr>
              <w:rFonts w:ascii="Times New Roman" w:hAnsi="Times New Roman" w:eastAsia="Times New Roman" w:cs="Times New Roman"/>
              <w:b/>
              <w:sz w:val="24"/>
              <w:szCs w:val="24"/>
            </w:rPr>
            <w:t>5</w:t>
          </w:r>
        </w:p>
      </w:tc>
      <w:tc>
        <w:tcPr>
          <w:tcW w:w="3132" w:type="dxa"/>
          <w:tcMar/>
        </w:tcPr>
        <w:p w:rsidR="007C32D1" w:rsidRDefault="00B153C0" w14:paraId="327FD3CA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sz w:val="24"/>
              <w:szCs w:val="24"/>
            </w:rPr>
            <w:t>Instrument Maintenance Guide</w:t>
          </w:r>
        </w:p>
      </w:tc>
    </w:tr>
    <w:tr xmlns:wp14="http://schemas.microsoft.com/office/word/2010/wordml" w:rsidR="007C32D1" w:rsidTr="3C692262" w14:paraId="1CDE60EB" wp14:textId="77777777">
      <w:trPr>
        <w:trHeight w:val="602"/>
      </w:trPr>
      <w:tc>
        <w:tcPr>
          <w:tcW w:w="3256" w:type="dxa"/>
          <w:tcMar/>
        </w:tcPr>
        <w:p w:rsidR="007C32D1" w:rsidRDefault="00B153C0" w14:paraId="76BE6BB6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Document Date/Revision Date:</w:t>
          </w:r>
        </w:p>
      </w:tc>
      <w:tc>
        <w:tcPr>
          <w:tcW w:w="2653" w:type="dxa"/>
          <w:tcMar/>
        </w:tcPr>
        <w:p w:rsidR="007C32D1" w:rsidP="3C692262" w:rsidRDefault="00B153C0" w14:paraId="522CA170" wp14:textId="3082865A">
          <w:pPr>
            <w:pBdr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  <w:between w:val="nil" w:color="000000" w:sz="0" w:space="0"/>
            </w:pBdr>
            <w:tabs>
              <w:tab w:val="center" w:pos="4320"/>
              <w:tab w:val="right" w:pos="8640"/>
            </w:tabs>
            <w:rPr>
              <w:rFonts w:ascii="Times New Roman" w:hAnsi="Times New Roman" w:eastAsia="Times New Roman" w:cs="Times New Roman"/>
              <w:b w:val="1"/>
              <w:bCs w:val="1"/>
              <w:sz w:val="24"/>
              <w:szCs w:val="24"/>
            </w:rPr>
          </w:pPr>
          <w:r w:rsidRPr="3C692262" w:rsidR="3C692262">
            <w:rPr>
              <w:rFonts w:ascii="Times New Roman" w:hAnsi="Times New Roman" w:eastAsia="Times New Roman" w:cs="Times New Roman"/>
              <w:b w:val="1"/>
              <w:bCs w:val="1"/>
              <w:sz w:val="24"/>
              <w:szCs w:val="24"/>
            </w:rPr>
            <w:t>0</w:t>
          </w:r>
          <w:r w:rsidRPr="3C692262" w:rsidR="3C692262">
            <w:rPr>
              <w:rFonts w:ascii="Times New Roman" w:hAnsi="Times New Roman" w:eastAsia="Times New Roman" w:cs="Times New Roman"/>
              <w:b w:val="1"/>
              <w:bCs w:val="1"/>
              <w:sz w:val="24"/>
              <w:szCs w:val="24"/>
            </w:rPr>
            <w:t>2</w:t>
          </w:r>
          <w:r w:rsidRPr="3C692262" w:rsidR="3C692262">
            <w:rPr>
              <w:rFonts w:ascii="Times New Roman" w:hAnsi="Times New Roman" w:eastAsia="Times New Roman" w:cs="Times New Roman"/>
              <w:b w:val="1"/>
              <w:bCs w:val="1"/>
              <w:sz w:val="24"/>
              <w:szCs w:val="24"/>
            </w:rPr>
            <w:t>/</w:t>
          </w:r>
          <w:r w:rsidRPr="3C692262" w:rsidR="3C692262">
            <w:rPr>
              <w:rFonts w:ascii="Times New Roman" w:hAnsi="Times New Roman" w:eastAsia="Times New Roman" w:cs="Times New Roman"/>
              <w:b w:val="1"/>
              <w:bCs w:val="1"/>
              <w:sz w:val="24"/>
              <w:szCs w:val="24"/>
            </w:rPr>
            <w:t>25</w:t>
          </w:r>
          <w:r w:rsidRPr="3C692262" w:rsidR="3C692262">
            <w:rPr>
              <w:rFonts w:ascii="Times New Roman" w:hAnsi="Times New Roman" w:eastAsia="Times New Roman" w:cs="Times New Roman"/>
              <w:b w:val="1"/>
              <w:bCs w:val="1"/>
              <w:sz w:val="24"/>
              <w:szCs w:val="24"/>
            </w:rPr>
            <w:t>/202</w:t>
          </w:r>
          <w:r w:rsidRPr="3C692262" w:rsidR="3C692262">
            <w:rPr>
              <w:rFonts w:ascii="Times New Roman" w:hAnsi="Times New Roman" w:eastAsia="Times New Roman" w:cs="Times New Roman"/>
              <w:b w:val="1"/>
              <w:bCs w:val="1"/>
              <w:sz w:val="24"/>
              <w:szCs w:val="24"/>
            </w:rPr>
            <w:t>5</w:t>
          </w:r>
        </w:p>
      </w:tc>
      <w:tc>
        <w:tcPr>
          <w:tcW w:w="3132" w:type="dxa"/>
          <w:tcMar/>
        </w:tcPr>
        <w:p w:rsidR="007C32D1" w:rsidRDefault="00B153C0" w14:paraId="76016827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 xml:space="preserve">Approved by: </w:t>
          </w:r>
        </w:p>
        <w:p w:rsidR="007C32D1" w:rsidRDefault="00B153C0" w14:paraId="6F912021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Ammon Bayles, PhD, HCLD</w:t>
          </w:r>
        </w:p>
      </w:tc>
    </w:tr>
  </w:tbl>
  <w:p xmlns:wp14="http://schemas.microsoft.com/office/word/2010/wordml" w:rsidR="007C32D1" w:rsidRDefault="007C32D1" w14:paraId="6A05A809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A5A8C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hAnsi="Arial" w:eastAsia="Arial" w:cs="Arial"/>
        <w:b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3670994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D1"/>
    <w:rsid w:val="007C32D1"/>
    <w:rsid w:val="007C9AD0"/>
    <w:rsid w:val="00B153C0"/>
    <w:rsid w:val="00BC78A7"/>
    <w:rsid w:val="0C94BB44"/>
    <w:rsid w:val="11DAE319"/>
    <w:rsid w:val="168E330C"/>
    <w:rsid w:val="30D2E58A"/>
    <w:rsid w:val="37479E04"/>
    <w:rsid w:val="3C692262"/>
    <w:rsid w:val="49A21DE4"/>
    <w:rsid w:val="4DF9EAC5"/>
    <w:rsid w:val="59850775"/>
    <w:rsid w:val="5B1824EC"/>
    <w:rsid w:val="5F05D5D6"/>
    <w:rsid w:val="724EB802"/>
    <w:rsid w:val="7B7AE79E"/>
    <w:rsid w:val="7F2FD09A"/>
    <w:rsid w:val="7F3B1075"/>
    <w:rsid w:val="7FB0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03A6E"/>
  <w15:docId w15:val="{BF98CAD3-1968-432B-8340-B188461F53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Cambria" w:cs="Cambr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40" w:after="120"/>
      <w:ind w:left="360" w:hanging="360"/>
      <w:outlineLvl w:val="0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tabs>
        <w:tab w:val="left" w:pos="810"/>
      </w:tabs>
      <w:ind w:left="810" w:hanging="450"/>
      <w:outlineLvl w:val="1"/>
    </w:pPr>
    <w:rPr>
      <w:rFonts w:ascii="Times New Roman" w:hAnsi="Times New Roman"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Times New Roman" w:hAnsi="Times New Roman" w:eastAsia="Times New Roman" w:cs="Times New Roman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 w:eastAsia="Times New Roman" w:cs="Times New Roman"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Times New Roman" w:hAnsi="Times New Roman" w:eastAsia="Times New Roman" w:cs="Times New Roman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Header">
    <w:uiPriority w:val="99"/>
    <w:name w:val="header"/>
    <w:basedOn w:val="Normal"/>
    <w:unhideWhenUsed/>
    <w:rsid w:val="3C69226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C692262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5d530786df7545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A9579A1F72D4F90A197B2CFDEDACD" ma:contentTypeVersion="14" ma:contentTypeDescription="Create a new document." ma:contentTypeScope="" ma:versionID="710c24c608244124cdfabacd6bf1c9dd">
  <xsd:schema xmlns:xsd="http://www.w3.org/2001/XMLSchema" xmlns:xs="http://www.w3.org/2001/XMLSchema" xmlns:p="http://schemas.microsoft.com/office/2006/metadata/properties" xmlns:ns2="44854211-89fe-4027-b781-0b104f7d7b02" xmlns:ns3="5883600d-43cd-403e-bd9c-fcb18b77cff2" targetNamespace="http://schemas.microsoft.com/office/2006/metadata/properties" ma:root="true" ma:fieldsID="0b225e625e3321550642670a2840aa20" ns2:_="" ns3:_="">
    <xsd:import namespace="44854211-89fe-4027-b781-0b104f7d7b02"/>
    <xsd:import namespace="5883600d-43cd-403e-bd9c-fcb18b77cff2"/>
    <xsd:element name="properties">
      <xsd:complexType>
        <xsd:sequence>
          <xsd:element name="documentManagement">
            <xsd:complexType>
              <xsd:all>
                <xsd:element ref="ns2:MigrationSource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4211-89fe-4027-b781-0b104f7d7b02" elementFormDefault="qualified">
    <xsd:import namespace="http://schemas.microsoft.com/office/2006/documentManagement/types"/>
    <xsd:import namespace="http://schemas.microsoft.com/office/infopath/2007/PartnerControls"/>
    <xsd:element name="MigrationSourceID" ma:index="8" nillable="true" ma:displayName="MigrationSourceID" ma:internalName="MigrationSourceID" ma:readOnly="true">
      <xsd:simpleType>
        <xsd:restriction base="dms:Text"/>
      </xsd:simpleType>
    </xsd:element>
    <xsd:element name="TaxCatchAll" ma:index="20" nillable="true" ma:displayName="Taxonomy Catch All Column" ma:hidden="true" ma:list="{851c8076-25e5-4b16-b9ce-92f1dc07d61c}" ma:internalName="TaxCatchAll" ma:showField="CatchAllData" ma:web="44854211-89fe-4027-b781-0b104f7d7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600d-43cd-403e-bd9c-fcb18b77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aa7b8d-9e9c-457a-bb00-3b831e8ee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xyXv7nnSJQ7QXhxmUpVv9kJEg==">CgMxLjA4AHIhMVlBUGdwWjJqdDNlWG5TT1VRdFhZdTcxOGtrNDBzWm9l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ID xmlns="44854211-89fe-4027-b781-0b104f7d7b02" xsi:nil="true"/>
    <lcf76f155ced4ddcb4097134ff3c332f xmlns="5883600d-43cd-403e-bd9c-fcb18b77cff2">
      <Terms xmlns="http://schemas.microsoft.com/office/infopath/2007/PartnerControls"/>
    </lcf76f155ced4ddcb4097134ff3c332f>
    <TaxCatchAll xmlns="44854211-89fe-4027-b781-0b104f7d7b02" xsi:nil="true"/>
  </documentManagement>
</p:properties>
</file>

<file path=customXml/itemProps1.xml><?xml version="1.0" encoding="utf-8"?>
<ds:datastoreItem xmlns:ds="http://schemas.openxmlformats.org/officeDocument/2006/customXml" ds:itemID="{AC56B9E4-BECF-4925-AE13-73AFA3D9F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079F-8D36-4C83-9CD3-E022329F0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54211-89fe-4027-b781-0b104f7d7b02"/>
    <ds:schemaRef ds:uri="5883600d-43cd-403e-bd9c-fcb18b77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87474F1A-7D35-4A5F-8421-4E9B723353DC}">
  <ds:schemaRefs>
    <ds:schemaRef ds:uri="http://schemas.microsoft.com/office/2006/metadata/properties"/>
    <ds:schemaRef ds:uri="http://schemas.microsoft.com/office/infopath/2007/PartnerControls"/>
    <ds:schemaRef ds:uri="44854211-89fe-4027-b781-0b104f7d7b02"/>
    <ds:schemaRef ds:uri="5883600d-43cd-403e-bd9c-fcb18b77cff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Larry Schuermann</lastModifiedBy>
  <revision>4</revision>
  <dcterms:created xsi:type="dcterms:W3CDTF">2025-02-26T00:52:00.0000000Z</dcterms:created>
  <dcterms:modified xsi:type="dcterms:W3CDTF">2025-02-26T00:58:06.5969013Z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0x01010074CA9579A1F72D4F90A197B2CFDEDACD</vt:lpwstr>
  </property>
  <property fmtid="{D5CDD505-2E9C-101B-9397-08002B2CF9AE}" pid="3" name="Order">
    <vt:r8>12400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