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6290D" w:rsidR="00CC0348" w:rsidP="106FE4B7" w:rsidRDefault="00CC0348" w14:paraId="162C9EEF" w14:textId="6D507331">
      <w:pPr>
        <w:spacing w:after="0" w:line="240" w:lineRule="auto"/>
        <w:rPr>
          <w:rFonts w:ascii="Times New Roman" w:hAnsi="Times New Roman" w:eastAsia="Times New Roman" w:cs="Times New Roman"/>
        </w:rPr>
      </w:pPr>
    </w:p>
    <w:tbl>
      <w:tblPr>
        <w:tblStyle w:val="TableNormal"/>
        <w:tblW w:w="9345" w:type="dxa"/>
        <w:tblBorders>
          <w:top w:val="single" w:sz="6"/>
          <w:left w:val="single" w:sz="6"/>
          <w:bottom w:val="single" w:sz="6"/>
          <w:right w:val="single" w:sz="6"/>
        </w:tblBorders>
        <w:tblLayout w:type="fixed"/>
        <w:tblLook w:val="04A0" w:firstRow="1" w:lastRow="0" w:firstColumn="1" w:lastColumn="0" w:noHBand="0" w:noVBand="1"/>
      </w:tblPr>
      <w:tblGrid>
        <w:gridCol w:w="2295"/>
        <w:gridCol w:w="3255"/>
        <w:gridCol w:w="1755"/>
        <w:gridCol w:w="2040"/>
      </w:tblGrid>
      <w:tr w:rsidR="106FE4B7" w:rsidTr="7B37FACC" w14:paraId="490B52A7">
        <w:trPr>
          <w:trHeight w:val="300"/>
        </w:trPr>
        <w:tc>
          <w:tcPr>
            <w:tcW w:w="2295" w:type="dxa"/>
            <w:tcBorders>
              <w:top w:val="single" w:color="B8CCE4" w:themeColor="accent1" w:themeTint="66" w:sz="6"/>
              <w:left w:val="single" w:color="B8CCE4" w:themeColor="accent1" w:themeTint="66" w:sz="6"/>
              <w:bottom w:val="single" w:color="95B3D7" w:themeColor="accent1" w:themeTint="99" w:sz="12"/>
              <w:right w:val="single" w:color="B8CCE4" w:themeColor="accent1" w:themeTint="66" w:sz="6"/>
            </w:tcBorders>
            <w:tcMar>
              <w:left w:w="105" w:type="dxa"/>
              <w:right w:w="105" w:type="dxa"/>
            </w:tcMar>
            <w:vAlign w:val="top"/>
          </w:tcPr>
          <w:p w:rsidR="106FE4B7" w:rsidP="106FE4B7" w:rsidRDefault="106FE4B7" w14:paraId="7C096963" w14:textId="7151D74F">
            <w:pPr>
              <w:spacing w:after="200" w:line="276"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106FE4B7" w:rsidR="106FE4B7">
              <w:rPr>
                <w:rFonts w:ascii="Arial" w:hAnsi="Arial" w:eastAsia="Arial" w:cs="Arial"/>
                <w:b w:val="1"/>
                <w:bCs w:val="1"/>
                <w:i w:val="0"/>
                <w:iCs w:val="0"/>
                <w:caps w:val="0"/>
                <w:smallCaps w:val="0"/>
                <w:color w:val="000000" w:themeColor="text1" w:themeTint="FF" w:themeShade="FF"/>
                <w:sz w:val="22"/>
                <w:szCs w:val="22"/>
                <w:lang w:val="en-US"/>
              </w:rPr>
              <w:t>PROCEDURE TITLE:</w:t>
            </w:r>
          </w:p>
        </w:tc>
        <w:tc>
          <w:tcPr>
            <w:tcW w:w="3255" w:type="dxa"/>
            <w:tcBorders>
              <w:top w:val="single" w:color="B8CCE4" w:themeColor="accent1" w:themeTint="66" w:sz="6"/>
              <w:left w:val="single" w:color="B8CCE4" w:themeColor="accent1" w:themeTint="66" w:sz="6"/>
              <w:bottom w:val="single" w:color="95B3D7" w:themeColor="accent1" w:themeTint="99" w:sz="12"/>
              <w:right w:val="single" w:color="B8CCE4" w:themeColor="accent1" w:themeTint="66" w:sz="6"/>
            </w:tcBorders>
            <w:tcMar>
              <w:left w:w="105" w:type="dxa"/>
              <w:right w:w="105" w:type="dxa"/>
            </w:tcMar>
            <w:vAlign w:val="top"/>
          </w:tcPr>
          <w:p w:rsidR="76980A2E" w:rsidP="7B37FACC" w:rsidRDefault="76980A2E" w14:paraId="53CF1950" w14:textId="63FE0374">
            <w:pPr>
              <w:pStyle w:val="Normal"/>
              <w:spacing w:before="0" w:beforeAutospacing="off" w:after="120" w:afterAutospacing="off" w:line="276" w:lineRule="auto"/>
              <w:ind w:left="0" w:right="0"/>
              <w:jc w:val="left"/>
              <w:rPr>
                <w:rFonts w:ascii="Arial" w:hAnsi="Arial" w:eastAsia="Arial" w:cs="Arial"/>
                <w:b w:val="1"/>
                <w:bCs w:val="1"/>
                <w:sz w:val="20"/>
                <w:szCs w:val="20"/>
              </w:rPr>
            </w:pPr>
            <w:r w:rsidRPr="7B37FACC" w:rsidR="23B079DA">
              <w:rPr>
                <w:rFonts w:ascii="Arial" w:hAnsi="Arial" w:eastAsia="Arial" w:cs="Arial"/>
                <w:b w:val="1"/>
                <w:bCs w:val="1"/>
                <w:sz w:val="20"/>
                <w:szCs w:val="20"/>
              </w:rPr>
              <w:t>IgG Anti-Hepatitis A Virus</w:t>
            </w:r>
            <w:r w:rsidRPr="7B37FACC" w:rsidR="0EE38F7A">
              <w:rPr>
                <w:rFonts w:ascii="Arial" w:hAnsi="Arial" w:eastAsia="Arial" w:cs="Arial"/>
                <w:b w:val="1"/>
                <w:bCs w:val="1"/>
                <w:sz w:val="20"/>
                <w:szCs w:val="20"/>
              </w:rPr>
              <w:t xml:space="preserve"> (</w:t>
            </w:r>
            <w:r w:rsidRPr="7B37FACC" w:rsidR="4BC4EBAD">
              <w:rPr>
                <w:rFonts w:ascii="Arial" w:hAnsi="Arial" w:eastAsia="Arial" w:cs="Arial"/>
                <w:b w:val="1"/>
                <w:bCs w:val="1"/>
                <w:sz w:val="20"/>
                <w:szCs w:val="20"/>
              </w:rPr>
              <w:t>IgG anti-HAV</w:t>
            </w:r>
            <w:r w:rsidRPr="7B37FACC" w:rsidR="0EE38F7A">
              <w:rPr>
                <w:rFonts w:ascii="Arial" w:hAnsi="Arial" w:eastAsia="Arial" w:cs="Arial"/>
                <w:b w:val="1"/>
                <w:bCs w:val="1"/>
                <w:sz w:val="20"/>
                <w:szCs w:val="20"/>
              </w:rPr>
              <w:t>)</w:t>
            </w:r>
            <w:r w:rsidRPr="7B37FACC" w:rsidR="6C594C7A">
              <w:rPr>
                <w:rFonts w:ascii="Arial" w:hAnsi="Arial" w:eastAsia="Arial" w:cs="Arial"/>
                <w:b w:val="1"/>
                <w:bCs w:val="1"/>
                <w:sz w:val="20"/>
                <w:szCs w:val="20"/>
              </w:rPr>
              <w:t xml:space="preserve"> </w:t>
            </w:r>
            <w:r w:rsidRPr="7B37FACC" w:rsidR="2B1ADDE6">
              <w:rPr>
                <w:rFonts w:ascii="Arial" w:hAnsi="Arial" w:eastAsia="Arial" w:cs="Arial"/>
                <w:b w:val="1"/>
                <w:bCs w:val="1"/>
                <w:sz w:val="20"/>
                <w:szCs w:val="20"/>
              </w:rPr>
              <w:t>a.k.a</w:t>
            </w:r>
            <w:r w:rsidRPr="7B37FACC" w:rsidR="2B1ADDE6">
              <w:rPr>
                <w:rFonts w:ascii="Arial" w:hAnsi="Arial" w:eastAsia="Arial" w:cs="Arial"/>
                <w:b w:val="1"/>
                <w:bCs w:val="1"/>
                <w:sz w:val="20"/>
                <w:szCs w:val="20"/>
              </w:rPr>
              <w:t xml:space="preserve"> HAVAB G</w:t>
            </w:r>
          </w:p>
        </w:tc>
        <w:tc>
          <w:tcPr>
            <w:tcW w:w="1755" w:type="dxa"/>
            <w:tcBorders>
              <w:top w:val="single" w:color="B8CCE4" w:themeColor="accent1" w:themeTint="66" w:sz="6"/>
              <w:left w:val="single" w:color="B8CCE4" w:themeColor="accent1" w:themeTint="66" w:sz="6"/>
              <w:bottom w:val="single" w:color="95B3D7" w:themeColor="accent1" w:themeTint="99" w:sz="12"/>
              <w:right w:val="single" w:color="B8CCE4" w:themeColor="accent1" w:themeTint="66" w:sz="6"/>
            </w:tcBorders>
            <w:tcMar>
              <w:left w:w="105" w:type="dxa"/>
              <w:right w:w="105" w:type="dxa"/>
            </w:tcMar>
            <w:vAlign w:val="top"/>
          </w:tcPr>
          <w:p w:rsidR="106FE4B7" w:rsidP="7B37FACC" w:rsidRDefault="106FE4B7" w14:paraId="30630F4D" w14:textId="6F1DC7EC">
            <w:pPr>
              <w:spacing w:after="200" w:line="276"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7B37FACC" w:rsidR="106FE4B7">
              <w:rPr>
                <w:rFonts w:ascii="Arial" w:hAnsi="Arial" w:eastAsia="Arial" w:cs="Arial"/>
                <w:b w:val="1"/>
                <w:bCs w:val="1"/>
                <w:i w:val="0"/>
                <w:iCs w:val="0"/>
                <w:caps w:val="0"/>
                <w:smallCaps w:val="0"/>
                <w:color w:val="000000" w:themeColor="text1" w:themeTint="FF" w:themeShade="FF"/>
                <w:sz w:val="20"/>
                <w:szCs w:val="20"/>
                <w:lang w:val="en-US"/>
              </w:rPr>
              <w:t>DEPARTMENT:</w:t>
            </w:r>
            <w:r w:rsidRPr="7B37FACC" w:rsidR="106FE4B7">
              <w:rPr>
                <w:rFonts w:ascii="Arial" w:hAnsi="Arial" w:eastAsia="Arial" w:cs="Arial"/>
                <w:b w:val="1"/>
                <w:bCs w:val="1"/>
                <w:i w:val="0"/>
                <w:iCs w:val="0"/>
                <w:caps w:val="0"/>
                <w:smallCaps w:val="0"/>
                <w:color w:val="000000" w:themeColor="text1" w:themeTint="FF" w:themeShade="FF"/>
                <w:sz w:val="22"/>
                <w:szCs w:val="22"/>
                <w:lang w:val="en-US"/>
              </w:rPr>
              <w:t xml:space="preserve">  </w:t>
            </w:r>
          </w:p>
        </w:tc>
        <w:tc>
          <w:tcPr>
            <w:tcW w:w="2040" w:type="dxa"/>
            <w:tcBorders>
              <w:top w:val="single" w:color="B8CCE4" w:themeColor="accent1" w:themeTint="66" w:sz="6"/>
              <w:left w:val="single" w:color="B8CCE4" w:themeColor="accent1" w:themeTint="66" w:sz="6"/>
              <w:bottom w:val="single" w:color="95B3D7" w:themeColor="accent1" w:themeTint="99" w:sz="12"/>
              <w:right w:val="single" w:color="B8CCE4" w:themeColor="accent1" w:themeTint="66" w:sz="6"/>
            </w:tcBorders>
            <w:tcMar>
              <w:left w:w="105" w:type="dxa"/>
              <w:right w:w="105" w:type="dxa"/>
            </w:tcMar>
            <w:vAlign w:val="top"/>
          </w:tcPr>
          <w:p w:rsidR="106FE4B7" w:rsidP="106FE4B7" w:rsidRDefault="106FE4B7" w14:paraId="0D491756" w14:textId="49E0EB83">
            <w:pPr>
              <w:spacing w:after="200" w:line="276" w:lineRule="auto"/>
              <w:jc w:val="both"/>
              <w:rPr>
                <w:rFonts w:ascii="Arial" w:hAnsi="Arial" w:eastAsia="Arial" w:cs="Arial"/>
                <w:b w:val="0"/>
                <w:bCs w:val="0"/>
                <w:i w:val="0"/>
                <w:iCs w:val="0"/>
                <w:caps w:val="0"/>
                <w:smallCaps w:val="0"/>
                <w:color w:val="000000" w:themeColor="text1" w:themeTint="FF" w:themeShade="FF"/>
                <w:sz w:val="22"/>
                <w:szCs w:val="22"/>
                <w:lang w:val="en-US"/>
              </w:rPr>
            </w:pPr>
            <w:r w:rsidRPr="106FE4B7" w:rsidR="106FE4B7">
              <w:rPr>
                <w:rFonts w:ascii="Arial" w:hAnsi="Arial" w:eastAsia="Arial" w:cs="Arial"/>
                <w:b w:val="1"/>
                <w:bCs w:val="1"/>
                <w:i w:val="0"/>
                <w:iCs w:val="0"/>
                <w:caps w:val="0"/>
                <w:smallCaps w:val="0"/>
                <w:color w:val="000000" w:themeColor="text1" w:themeTint="FF" w:themeShade="FF"/>
                <w:sz w:val="22"/>
                <w:szCs w:val="22"/>
                <w:lang w:val="en-US"/>
              </w:rPr>
              <w:t>Main Laboratory</w:t>
            </w:r>
          </w:p>
        </w:tc>
      </w:tr>
    </w:tbl>
    <w:p w:rsidR="106FE4B7" w:rsidP="106FE4B7" w:rsidRDefault="106FE4B7" w14:paraId="69949D1D" w14:textId="00773070">
      <w:pPr>
        <w:pStyle w:val="Normal"/>
        <w:spacing w:after="0" w:line="240" w:lineRule="auto"/>
        <w:rPr>
          <w:rFonts w:ascii="Times New Roman" w:hAnsi="Times New Roman" w:eastAsia="Times New Roman" w:cs="Times New Roman"/>
        </w:rPr>
      </w:pPr>
    </w:p>
    <w:tbl>
      <w:tblPr>
        <w:tblStyle w:val="GridTable1Light-Accent11"/>
        <w:tblW w:w="0" w:type="auto"/>
        <w:tblLook w:val="04A0" w:firstRow="1" w:lastRow="0" w:firstColumn="1" w:lastColumn="0" w:noHBand="0" w:noVBand="1"/>
      </w:tblPr>
      <w:tblGrid>
        <w:gridCol w:w="2337"/>
        <w:gridCol w:w="3148"/>
        <w:gridCol w:w="1800"/>
        <w:gridCol w:w="2065"/>
      </w:tblGrid>
      <w:tr w:rsidR="106FE4B7" w:rsidTr="7B37FACC" w14:paraId="4ED9AE37">
        <w:trPr>
          <w:trHeight w:val="953"/>
        </w:trPr>
        <w:tc>
          <w:tcPr>
            <w:cnfStyle w:val="001000000000" w:firstRow="0" w:lastRow="0" w:firstColumn="1" w:lastColumn="0" w:oddVBand="0" w:evenVBand="0" w:oddHBand="0" w:evenHBand="0" w:firstRowFirstColumn="0" w:firstRowLastColumn="0" w:lastRowFirstColumn="0" w:lastRowLastColumn="0"/>
            <w:tcW w:w="2337" w:type="dxa"/>
            <w:tcBorders>
              <w:bottom w:val="none" w:color="auto" w:sz="0"/>
            </w:tcBorders>
            <w:tcMar/>
          </w:tcPr>
          <w:p w:rsidR="106FE4B7" w:rsidP="106FE4B7" w:rsidRDefault="106FE4B7" w14:noSpellErr="1" w14:paraId="4BD2DE24">
            <w:pPr>
              <w:spacing w:after="160" w:line="259" w:lineRule="auto"/>
              <w:rPr>
                <w:rFonts w:ascii="Times New Roman" w:hAnsi="Times New Roman" w:cs="Times New Roman"/>
              </w:rPr>
            </w:pPr>
            <w:r w:rsidRPr="106FE4B7" w:rsidR="106FE4B7">
              <w:rPr>
                <w:rFonts w:ascii="Times New Roman" w:hAnsi="Times New Roman" w:eastAsia="Times New Roman" w:cs="Times New Roman"/>
              </w:rPr>
              <w:t>EFFECTIVE DATE:</w:t>
            </w:r>
          </w:p>
        </w:tc>
        <w:tc>
          <w:tcPr>
            <w:cnfStyle w:val="000000000000" w:firstRow="0" w:lastRow="0" w:firstColumn="0" w:lastColumn="0" w:oddVBand="0" w:evenVBand="0" w:oddHBand="0" w:evenHBand="0" w:firstRowFirstColumn="0" w:firstRowLastColumn="0" w:lastRowFirstColumn="0" w:lastRowLastColumn="0"/>
            <w:tcW w:w="3148" w:type="dxa"/>
            <w:tcBorders>
              <w:bottom w:val="none" w:color="auto" w:sz="0"/>
            </w:tcBorders>
            <w:tcMar/>
          </w:tcPr>
          <w:p w:rsidR="106FE4B7" w:rsidP="106FE4B7" w:rsidRDefault="106FE4B7" w14:noSpellErr="1" w14:paraId="4B429CBB">
            <w:pPr>
              <w:spacing w:after="160" w:line="259" w:lineRule="auto"/>
              <w:rPr>
                <w:rFonts w:ascii="Times New Roman" w:hAnsi="Times New Roman" w:cs="Times New Roman"/>
                <w:b w:val="0"/>
                <w:bCs w:val="0"/>
              </w:rPr>
            </w:pPr>
            <w:r w:rsidRPr="106FE4B7" w:rsidR="106FE4B7">
              <w:rPr>
                <w:rFonts w:ascii="Times New Roman" w:hAnsi="Times New Roman" w:cs="Times New Roman"/>
                <w:b w:val="0"/>
                <w:bCs w:val="0"/>
              </w:rPr>
              <w:t>02/20/2020</w:t>
            </w:r>
          </w:p>
        </w:tc>
        <w:tc>
          <w:tcPr>
            <w:cnfStyle w:val="000000000000" w:firstRow="0" w:lastRow="0" w:firstColumn="0" w:lastColumn="0" w:oddVBand="0" w:evenVBand="0" w:oddHBand="0" w:evenHBand="0" w:firstRowFirstColumn="0" w:firstRowLastColumn="0" w:lastRowFirstColumn="0" w:lastRowLastColumn="0"/>
            <w:tcW w:w="1800" w:type="dxa"/>
            <w:tcBorders>
              <w:bottom w:val="none" w:color="auto" w:sz="0"/>
            </w:tcBorders>
            <w:tcMar/>
          </w:tcPr>
          <w:p w:rsidR="106FE4B7" w:rsidP="106FE4B7" w:rsidRDefault="106FE4B7" w14:noSpellErr="1" w14:paraId="6A4492B8">
            <w:pPr>
              <w:spacing w:after="160" w:line="259" w:lineRule="auto"/>
              <w:rPr>
                <w:rFonts w:ascii="Times New Roman" w:hAnsi="Times New Roman" w:cs="Times New Roman"/>
              </w:rPr>
            </w:pPr>
            <w:r w:rsidRPr="106FE4B7" w:rsidR="106FE4B7">
              <w:rPr>
                <w:rFonts w:ascii="Times New Roman" w:hAnsi="Times New Roman" w:eastAsia="Times New Roman" w:cs="Times New Roman"/>
              </w:rPr>
              <w:t>APPROVAL:</w:t>
            </w:r>
          </w:p>
        </w:tc>
        <w:tc>
          <w:tcPr>
            <w:cnfStyle w:val="000000000000" w:firstRow="0" w:lastRow="0" w:firstColumn="0" w:lastColumn="0" w:oddVBand="0" w:evenVBand="0" w:oddHBand="0" w:evenHBand="0" w:firstRowFirstColumn="0" w:firstRowLastColumn="0" w:lastRowFirstColumn="0" w:lastRowLastColumn="0"/>
            <w:tcW w:w="2065" w:type="dxa"/>
            <w:tcBorders>
              <w:bottom w:val="none" w:color="auto" w:sz="0"/>
            </w:tcBorders>
            <w:tcMar/>
          </w:tcPr>
          <w:p w:rsidR="70B5A5EC" w:rsidP="106FE4B7" w:rsidRDefault="70B5A5EC" w14:paraId="0F3AF8FF" w14:textId="033CE510">
            <w:pPr>
              <w:pStyle w:val="Normal"/>
              <w:suppressLineNumbers w:val="0"/>
              <w:bidi w:val="0"/>
              <w:spacing w:before="0" w:beforeAutospacing="off" w:after="160" w:afterAutospacing="off" w:line="259" w:lineRule="auto"/>
              <w:ind w:left="0" w:right="0"/>
              <w:jc w:val="left"/>
            </w:pPr>
            <w:r w:rsidRPr="7B37FACC" w:rsidR="70B5A5EC">
              <w:rPr>
                <w:rFonts w:ascii="Times New Roman" w:hAnsi="Times New Roman" w:cs="Times New Roman"/>
              </w:rPr>
              <w:t>0</w:t>
            </w:r>
            <w:r w:rsidRPr="7B37FACC" w:rsidR="328EEB5D">
              <w:rPr>
                <w:rFonts w:ascii="Times New Roman" w:hAnsi="Times New Roman" w:cs="Times New Roman"/>
              </w:rPr>
              <w:t>8</w:t>
            </w:r>
            <w:r w:rsidRPr="7B37FACC" w:rsidR="70B5A5EC">
              <w:rPr>
                <w:rFonts w:ascii="Times New Roman" w:hAnsi="Times New Roman" w:cs="Times New Roman"/>
              </w:rPr>
              <w:t>/</w:t>
            </w:r>
            <w:r w:rsidRPr="7B37FACC" w:rsidR="2FE86730">
              <w:rPr>
                <w:rFonts w:ascii="Times New Roman" w:hAnsi="Times New Roman" w:cs="Times New Roman"/>
              </w:rPr>
              <w:t>20</w:t>
            </w:r>
            <w:r w:rsidRPr="7B37FACC" w:rsidR="70B5A5EC">
              <w:rPr>
                <w:rFonts w:ascii="Times New Roman" w:hAnsi="Times New Roman" w:cs="Times New Roman"/>
              </w:rPr>
              <w:t>/24</w:t>
            </w:r>
          </w:p>
        </w:tc>
      </w:tr>
      <w:tr w:rsidR="106FE4B7" w:rsidTr="7B37FACC" w14:paraId="520C3CC8">
        <w:trPr>
          <w:trHeight w:val="350"/>
        </w:trPr>
        <w:tc>
          <w:tcPr>
            <w:cnfStyle w:val="001000000000" w:firstRow="0" w:lastRow="0" w:firstColumn="1" w:lastColumn="0" w:oddVBand="0" w:evenVBand="0" w:oddHBand="0" w:evenHBand="0" w:firstRowFirstColumn="0" w:firstRowLastColumn="0" w:lastRowFirstColumn="0" w:lastRowLastColumn="0"/>
            <w:tcW w:w="2337" w:type="dxa"/>
            <w:tcMar/>
          </w:tcPr>
          <w:p w:rsidR="106FE4B7" w:rsidP="106FE4B7" w:rsidRDefault="106FE4B7" w14:noSpellErr="1" w14:paraId="24391822">
            <w:pPr>
              <w:spacing w:after="160" w:line="259" w:lineRule="auto"/>
              <w:rPr>
                <w:rFonts w:ascii="Times New Roman" w:hAnsi="Times New Roman" w:eastAsia="Times New Roman" w:cs="Times New Roman"/>
              </w:rPr>
            </w:pPr>
            <w:r w:rsidRPr="106FE4B7" w:rsidR="106FE4B7">
              <w:rPr>
                <w:rFonts w:ascii="Times New Roman" w:hAnsi="Times New Roman" w:eastAsia="Times New Roman" w:cs="Times New Roman"/>
              </w:rPr>
              <w:t>APPROVED BY:</w:t>
            </w:r>
          </w:p>
        </w:tc>
        <w:tc>
          <w:tcPr>
            <w:cnfStyle w:val="000000000000" w:firstRow="0" w:lastRow="0" w:firstColumn="0" w:lastColumn="0" w:oddVBand="0" w:evenVBand="0" w:oddHBand="0" w:evenHBand="0" w:firstRowFirstColumn="0" w:firstRowLastColumn="0" w:lastRowFirstColumn="0" w:lastRowLastColumn="0"/>
            <w:tcW w:w="3148" w:type="dxa"/>
            <w:tcMar/>
          </w:tcPr>
          <w:p w:rsidR="57BCD176" w:rsidP="106FE4B7" w:rsidRDefault="57BCD176" w14:paraId="7C025C61" w14:textId="2DC9DD53">
            <w:pPr>
              <w:spacing w:after="160" w:line="259" w:lineRule="auto"/>
              <w:rPr>
                <w:rFonts w:ascii="Times New Roman" w:hAnsi="Times New Roman" w:cs="Times New Roman"/>
              </w:rPr>
            </w:pPr>
            <w:r w:rsidRPr="106FE4B7" w:rsidR="57BCD176">
              <w:rPr>
                <w:rFonts w:ascii="Times New Roman" w:hAnsi="Times New Roman" w:cs="Times New Roman"/>
              </w:rPr>
              <w:t>Patrice Y. Ohouo</w:t>
            </w:r>
            <w:r w:rsidRPr="106FE4B7" w:rsidR="106FE4B7">
              <w:rPr>
                <w:rFonts w:ascii="Times New Roman" w:hAnsi="Times New Roman" w:cs="Times New Roman"/>
              </w:rPr>
              <w:t>, PhD</w:t>
            </w:r>
          </w:p>
          <w:p w:rsidR="106FE4B7" w:rsidP="106FE4B7" w:rsidRDefault="106FE4B7" w14:noSpellErr="1" w14:paraId="4E9DFA26">
            <w:pPr>
              <w:spacing w:after="160" w:line="259" w:lineRule="auto"/>
              <w:rPr>
                <w:rFonts w:ascii="Times New Roman" w:hAnsi="Times New Roman" w:cs="Times New Roman"/>
              </w:rPr>
            </w:pPr>
            <w:r w:rsidRPr="106FE4B7" w:rsidR="106FE4B7">
              <w:rPr>
                <w:rFonts w:ascii="Times New Roman" w:hAnsi="Times New Roman" w:cs="Times New Roman"/>
              </w:rPr>
              <w:t>Main Laboratory Director</w:t>
            </w:r>
          </w:p>
        </w:tc>
        <w:tc>
          <w:tcPr>
            <w:cnfStyle w:val="000000000000" w:firstRow="0" w:lastRow="0" w:firstColumn="0" w:lastColumn="0" w:oddVBand="0" w:evenVBand="0" w:oddHBand="0" w:evenHBand="0" w:firstRowFirstColumn="0" w:firstRowLastColumn="0" w:lastRowFirstColumn="0" w:lastRowLastColumn="0"/>
            <w:tcW w:w="1800" w:type="dxa"/>
            <w:tcMar/>
          </w:tcPr>
          <w:p w:rsidR="106FE4B7" w:rsidP="106FE4B7" w:rsidRDefault="106FE4B7" w14:noSpellErr="1" w14:paraId="09C2A150">
            <w:pPr>
              <w:spacing w:after="160" w:line="259" w:lineRule="auto"/>
              <w:rPr>
                <w:rFonts w:ascii="Times New Roman" w:hAnsi="Times New Roman" w:eastAsia="Times New Roman" w:cs="Times New Roman"/>
                <w:b w:val="1"/>
                <w:bCs w:val="1"/>
              </w:rPr>
            </w:pPr>
            <w:r w:rsidRPr="106FE4B7" w:rsidR="106FE4B7">
              <w:rPr>
                <w:rFonts w:ascii="Times New Roman" w:hAnsi="Times New Roman" w:eastAsia="Times New Roman" w:cs="Times New Roman"/>
                <w:b w:val="1"/>
                <w:bCs w:val="1"/>
              </w:rPr>
              <w:t>PROCEDURE NO.:</w:t>
            </w:r>
          </w:p>
        </w:tc>
        <w:tc>
          <w:tcPr>
            <w:cnfStyle w:val="000000000000" w:firstRow="0" w:lastRow="0" w:firstColumn="0" w:lastColumn="0" w:oddVBand="0" w:evenVBand="0" w:oddHBand="0" w:evenHBand="0" w:firstRowFirstColumn="0" w:firstRowLastColumn="0" w:lastRowFirstColumn="0" w:lastRowLastColumn="0"/>
            <w:tcW w:w="2065" w:type="dxa"/>
            <w:shd w:val="clear" w:color="auto" w:fill="auto"/>
            <w:tcMar/>
          </w:tcPr>
          <w:p w:rsidR="106FE4B7" w:rsidP="106FE4B7" w:rsidRDefault="106FE4B7" w14:paraId="7BA29A4F" w14:textId="3E780C13">
            <w:pPr>
              <w:spacing w:after="160" w:line="259" w:lineRule="auto"/>
              <w:rPr>
                <w:rFonts w:ascii="Times New Roman" w:hAnsi="Times New Roman" w:eastAsia="Times New Roman" w:cs="Times New Roman"/>
              </w:rPr>
            </w:pPr>
            <w:r w:rsidRPr="7B37FACC" w:rsidR="6C7EFE69">
              <w:rPr>
                <w:rFonts w:ascii="Times New Roman" w:hAnsi="Times New Roman" w:eastAsia="Times New Roman" w:cs="Times New Roman"/>
                <w:color w:val="4BABC6"/>
              </w:rPr>
              <w:t>IA.SOP-007</w:t>
            </w:r>
          </w:p>
        </w:tc>
      </w:tr>
    </w:tbl>
    <w:p w:rsidR="106FE4B7" w:rsidP="106FE4B7" w:rsidRDefault="106FE4B7" w14:paraId="07E051E1" w14:textId="4B8A28AB">
      <w:pPr>
        <w:pStyle w:val="Normal"/>
        <w:spacing w:after="0" w:line="240" w:lineRule="auto"/>
        <w:rPr>
          <w:rFonts w:ascii="Times New Roman" w:hAnsi="Times New Roman" w:eastAsia="Times New Roman" w:cs="Times New Roman"/>
        </w:rPr>
      </w:pPr>
    </w:p>
    <w:tbl>
      <w:tblPr>
        <w:tblStyle w:val="GridTable1Light-Accent111"/>
        <w:tblW w:w="0" w:type="auto"/>
        <w:tblLook w:val="04A0" w:firstRow="1" w:lastRow="0" w:firstColumn="1" w:lastColumn="0" w:noHBand="0" w:noVBand="1"/>
      </w:tblPr>
      <w:tblGrid>
        <w:gridCol w:w="9330"/>
      </w:tblGrid>
      <w:tr w:rsidRPr="002D17FF" w:rsidR="002D17FF" w:rsidTr="7B37FACC" w14:paraId="7BA72F4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tcBorders>
              <w:top w:val="single" w:color="B8CCE4" w:themeColor="accent1" w:themeTint="66" w:sz="12" w:space="0"/>
              <w:left w:val="single" w:color="B8CCE4" w:themeColor="accent1" w:themeTint="66" w:sz="12" w:space="0"/>
              <w:bottom w:val="single" w:color="B8CCE4" w:themeColor="accent1" w:themeTint="66" w:sz="12" w:space="0"/>
              <w:right w:val="single" w:color="B8CCE4" w:themeColor="accent1" w:themeTint="66" w:sz="12" w:space="0"/>
            </w:tcBorders>
            <w:tcMar/>
          </w:tcPr>
          <w:p w:rsidRPr="002D17FF" w:rsidR="002D17FF" w:rsidP="002D17FF" w:rsidRDefault="002D17FF" w14:paraId="48D9EFD8" w14:textId="77777777">
            <w:pPr>
              <w:numPr>
                <w:ilvl w:val="0"/>
                <w:numId w:val="1"/>
              </w:numPr>
              <w:spacing w:line="360" w:lineRule="auto"/>
              <w:contextualSpacing/>
              <w:rPr>
                <w:rFonts w:ascii="Times New Roman" w:hAnsi="Times New Roman" w:eastAsia="Calibri" w:cs="Times New Roman"/>
                <w:i/>
                <w:smallCaps/>
              </w:rPr>
            </w:pPr>
            <w:r w:rsidRPr="7B37FACC" w:rsidR="002D17FF">
              <w:rPr>
                <w:rFonts w:ascii="Times New Roman" w:hAnsi="Times New Roman" w:eastAsia="Calibri" w:cs="Times New Roman"/>
                <w:i w:val="1"/>
                <w:iCs w:val="1"/>
              </w:rPr>
              <w:t>PURPOSE</w:t>
            </w:r>
          </w:p>
          <w:p w:rsidR="6F5AF942" w:rsidP="7B37FACC" w:rsidRDefault="6F5AF942" w14:paraId="5A925038" w14:textId="58737445">
            <w:pPr>
              <w:numPr>
                <w:ilvl w:val="1"/>
                <w:numId w:val="1"/>
              </w:numPr>
              <w:spacing w:line="360" w:lineRule="auto"/>
              <w:rPr>
                <w:rFonts w:ascii="Times New Roman" w:hAnsi="Times New Roman" w:cs="Times New Roman"/>
                <w:b w:val="0"/>
                <w:bCs w:val="0"/>
              </w:rPr>
            </w:pPr>
            <w:r w:rsidRPr="7B37FACC" w:rsidR="6F5AF942">
              <w:rPr>
                <w:rFonts w:ascii="Times New Roman" w:hAnsi="Times New Roman" w:cs="Times New Roman"/>
                <w:b w:val="0"/>
                <w:bCs w:val="0"/>
              </w:rPr>
              <w:t xml:space="preserve">This procedure provides instruction for performing qualitative detection of IgG antibody to hepatitis A virus (IgG anti-HAV) in human adult &amp; pediatric serum on the Abbott Architect i1000SR analyzers.  </w:t>
            </w:r>
          </w:p>
          <w:p w:rsidRPr="002D17FF" w:rsidR="002D17FF" w:rsidP="7B37FACC" w:rsidRDefault="002D17FF" w14:paraId="1BB5F83E" w14:textId="77777777">
            <w:pPr>
              <w:numPr>
                <w:ilvl w:val="0"/>
                <w:numId w:val="1"/>
              </w:numPr>
              <w:spacing w:before="100" w:beforeAutospacing="on" w:after="100" w:afterAutospacing="on"/>
              <w:contextualSpacing/>
              <w:outlineLvl w:val="1"/>
              <w:rPr>
                <w:rFonts w:ascii="Times New Roman" w:hAnsi="Times New Roman" w:eastAsia="Times New Roman" w:cs="Times New Roman"/>
                <w:color w:val="212529"/>
                <w:sz w:val="22"/>
                <w:szCs w:val="22"/>
                <w:lang w:val="en"/>
              </w:rPr>
            </w:pPr>
            <w:r w:rsidRPr="7B37FACC" w:rsidR="002D17FF">
              <w:rPr>
                <w:rFonts w:ascii="Times New Roman" w:hAnsi="Times New Roman" w:eastAsia="Times New Roman" w:cs="Times New Roman"/>
                <w:i w:val="1"/>
                <w:iCs w:val="1"/>
                <w:sz w:val="22"/>
                <w:szCs w:val="22"/>
              </w:rPr>
              <w:t>BACKGROUND</w:t>
            </w:r>
          </w:p>
          <w:p w:rsidR="00A5523C" w:rsidP="00A5523C" w:rsidRDefault="00A5523C" w14:paraId="2F01262F" w14:textId="77777777">
            <w:pPr>
              <w:spacing w:before="100" w:beforeAutospacing="1" w:after="100" w:afterAutospacing="1" w:line="360" w:lineRule="auto"/>
              <w:ind w:left="360"/>
              <w:contextualSpacing/>
              <w:outlineLvl w:val="1"/>
              <w:rPr>
                <w:rFonts w:ascii="Times New Roman" w:hAnsi="Times New Roman" w:eastAsia="Times New Roman" w:cs="Times New Roman"/>
                <w:b w:val="0"/>
                <w:color w:val="212529"/>
                <w:lang w:val="en"/>
              </w:rPr>
            </w:pPr>
          </w:p>
          <w:p w:rsidR="78F63FCE" w:rsidP="7B37FACC" w:rsidRDefault="78F63FCE" w14:paraId="48E85FC1" w14:textId="76D0F713">
            <w:pPr>
              <w:pStyle w:val="ListParagraph"/>
              <w:numPr>
                <w:ilvl w:val="1"/>
                <w:numId w:val="1"/>
              </w:numPr>
              <w:spacing w:beforeAutospacing="on" w:afterAutospacing="on" w:line="360" w:lineRule="auto"/>
              <w:outlineLvl w:val="1"/>
              <w:rPr>
                <w:rFonts w:ascii="Times New Roman" w:hAnsi="Times New Roman" w:cs="Times New Roman"/>
                <w:b w:val="0"/>
                <w:bCs w:val="0"/>
              </w:rPr>
            </w:pPr>
            <w:r w:rsidRPr="7B37FACC" w:rsidR="78F63FCE">
              <w:rPr>
                <w:rFonts w:ascii="Times New Roman" w:hAnsi="Times New Roman" w:cs="Times New Roman"/>
                <w:b w:val="0"/>
                <w:bCs w:val="0"/>
              </w:rPr>
              <w:t xml:space="preserve">Hepatitis A virus (HAV) is endemic throughout the world, occurring most commonly in areas of poor hygiene and low socioeconomic conditions. </w:t>
            </w:r>
            <w:r w:rsidRPr="7B37FACC" w:rsidR="78F63FCE">
              <w:rPr>
                <w:rFonts w:ascii="Times New Roman" w:hAnsi="Times New Roman" w:cs="Times New Roman"/>
                <w:b w:val="0"/>
                <w:bCs w:val="0"/>
              </w:rPr>
              <w:t>The virus is transmitted primarily by the fecal-oral route and is spread by close person-to-person contact as well as by food- and water-borne epidemics.</w:t>
            </w:r>
            <w:r w:rsidRPr="7B37FACC" w:rsidR="78F63FCE">
              <w:rPr>
                <w:rFonts w:ascii="Times New Roman" w:hAnsi="Times New Roman" w:cs="Times New Roman"/>
                <w:b w:val="0"/>
                <w:bCs w:val="0"/>
              </w:rPr>
              <w:t xml:space="preserve"> Outbreaks </w:t>
            </w:r>
            <w:r w:rsidRPr="7B37FACC" w:rsidR="78F63FCE">
              <w:rPr>
                <w:rFonts w:ascii="Times New Roman" w:hAnsi="Times New Roman" w:cs="Times New Roman"/>
                <w:b w:val="0"/>
                <w:bCs w:val="0"/>
              </w:rPr>
              <w:t>frequently</w:t>
            </w:r>
            <w:r w:rsidRPr="7B37FACC" w:rsidR="78F63FCE">
              <w:rPr>
                <w:rFonts w:ascii="Times New Roman" w:hAnsi="Times New Roman" w:cs="Times New Roman"/>
                <w:b w:val="0"/>
                <w:bCs w:val="0"/>
              </w:rPr>
              <w:t xml:space="preserve"> occur in overcrowded situations and in high-density institutions and centers, such as prisons and health care or day care centers. Viral spread by parenteral routes (</w:t>
            </w:r>
            <w:r w:rsidRPr="7B37FACC" w:rsidR="78F63FCE">
              <w:rPr>
                <w:rFonts w:ascii="Times New Roman" w:hAnsi="Times New Roman" w:cs="Times New Roman"/>
                <w:b w:val="0"/>
                <w:bCs w:val="0"/>
              </w:rPr>
              <w:t>ie</w:t>
            </w:r>
            <w:r w:rsidRPr="7B37FACC" w:rsidR="78F63FCE">
              <w:rPr>
                <w:rFonts w:ascii="Times New Roman" w:hAnsi="Times New Roman" w:cs="Times New Roman"/>
                <w:b w:val="0"/>
                <w:bCs w:val="0"/>
              </w:rPr>
              <w:t xml:space="preserve">: exposure to blood) is possible but rare because infected individuals are viremia for </w:t>
            </w:r>
            <w:r w:rsidRPr="7B37FACC" w:rsidR="78F63FCE">
              <w:rPr>
                <w:rFonts w:ascii="Times New Roman" w:hAnsi="Times New Roman" w:cs="Times New Roman"/>
                <w:b w:val="0"/>
                <w:bCs w:val="0"/>
              </w:rPr>
              <w:t>a short period</w:t>
            </w:r>
            <w:r w:rsidRPr="7B37FACC" w:rsidR="78F63FCE">
              <w:rPr>
                <w:rFonts w:ascii="Times New Roman" w:hAnsi="Times New Roman" w:cs="Times New Roman"/>
                <w:b w:val="0"/>
                <w:bCs w:val="0"/>
              </w:rPr>
              <w:t xml:space="preserve"> of time (usually &lt;3 weeks). There is little or no evidence of transplacental transmission from mother to fetus or</w:t>
            </w:r>
            <w:r w:rsidRPr="7B37FACC" w:rsidR="3F2D2287">
              <w:rPr>
                <w:rFonts w:ascii="Times New Roman" w:hAnsi="Times New Roman" w:cs="Times New Roman"/>
                <w:b w:val="0"/>
                <w:bCs w:val="0"/>
              </w:rPr>
              <w:t xml:space="preserve"> transmission to newborn during delivery.  </w:t>
            </w:r>
          </w:p>
          <w:p w:rsidR="78F63FCE" w:rsidP="7B37FACC" w:rsidRDefault="78F63FCE" w14:paraId="36EE574D" w14:textId="3C060919">
            <w:pPr>
              <w:pStyle w:val="ListParagraph"/>
              <w:numPr>
                <w:ilvl w:val="1"/>
                <w:numId w:val="1"/>
              </w:numPr>
              <w:spacing w:beforeAutospacing="on" w:afterAutospacing="on" w:line="360" w:lineRule="auto"/>
              <w:outlineLvl w:val="1"/>
              <w:rPr>
                <w:rFonts w:ascii="Times New Roman" w:hAnsi="Times New Roman" w:eastAsia="Times New Roman" w:cs="Times New Roman"/>
                <w:b w:val="0"/>
                <w:bCs w:val="0"/>
              </w:rPr>
            </w:pPr>
            <w:r w:rsidRPr="7B37FACC" w:rsidR="78F63FCE">
              <w:rPr>
                <w:rFonts w:ascii="Times New Roman" w:hAnsi="Times New Roman" w:cs="Times New Roman"/>
                <w:b w:val="0"/>
                <w:bCs w:val="0"/>
              </w:rPr>
              <w:t xml:space="preserve"> </w:t>
            </w:r>
            <w:r w:rsidRPr="7B37FACC" w:rsidR="316DDF33">
              <w:rPr>
                <w:rFonts w:ascii="Times New Roman" w:hAnsi="Times New Roman" w:cs="Times New Roman"/>
                <w:b w:val="0"/>
                <w:bCs w:val="0"/>
              </w:rPr>
              <w:t>In</w:t>
            </w:r>
            <w:r w:rsidRPr="7B37FACC" w:rsidR="316DDF33">
              <w:rPr>
                <w:rFonts w:ascii="Times New Roman" w:hAnsi="Times New Roman" w:cs="Times New Roman"/>
                <w:b w:val="0"/>
                <w:bCs w:val="0"/>
              </w:rPr>
              <w:t xml:space="preserve"> most cases, antibodies to HAV (anti-HAV) are detectable by the time symptoms occur, usually 15 to </w:t>
            </w:r>
            <w:r w:rsidRPr="7B37FACC" w:rsidR="316DDF33">
              <w:rPr>
                <w:rFonts w:ascii="Times New Roman" w:hAnsi="Times New Roman" w:cs="Times New Roman"/>
                <w:b w:val="0"/>
                <w:bCs w:val="0"/>
              </w:rPr>
              <w:t>45 days</w:t>
            </w:r>
            <w:r w:rsidRPr="7B37FACC" w:rsidR="316DDF33">
              <w:rPr>
                <w:rFonts w:ascii="Times New Roman" w:hAnsi="Times New Roman" w:cs="Times New Roman"/>
                <w:b w:val="0"/>
                <w:bCs w:val="0"/>
              </w:rPr>
              <w:t xml:space="preserve"> after exposure. Initial antibodies consist </w:t>
            </w:r>
            <w:r w:rsidRPr="7B37FACC" w:rsidR="316DDF33">
              <w:rPr>
                <w:rFonts w:ascii="Times New Roman" w:hAnsi="Times New Roman" w:cs="Times New Roman"/>
                <w:b w:val="0"/>
                <w:bCs w:val="0"/>
              </w:rPr>
              <w:t>almost entirely</w:t>
            </w:r>
            <w:r w:rsidRPr="7B37FACC" w:rsidR="316DDF33">
              <w:rPr>
                <w:rFonts w:ascii="Times New Roman" w:hAnsi="Times New Roman" w:cs="Times New Roman"/>
                <w:b w:val="0"/>
                <w:bCs w:val="0"/>
              </w:rPr>
              <w:t xml:space="preserve"> of the IgM subclass. HAV-specific IgM antibody level in serum usually falls to an undetectable level by 6 months after acute infection. HAV-specific IgG antibody level in serum rises quickly once the virus is cleared and may persist for many years. </w:t>
            </w:r>
          </w:p>
          <w:p w:rsidRPr="009E6928" w:rsidR="009E6928" w:rsidP="009E6928" w:rsidRDefault="002D17FF" w14:paraId="00562B43" w14:textId="77777777">
            <w:pPr>
              <w:pStyle w:val="ListParagraph"/>
              <w:numPr>
                <w:ilvl w:val="0"/>
                <w:numId w:val="1"/>
              </w:numPr>
              <w:autoSpaceDE w:val="0"/>
              <w:autoSpaceDN w:val="0"/>
              <w:adjustRightInd w:val="0"/>
              <w:spacing w:line="360" w:lineRule="auto"/>
              <w:rPr>
                <w:rFonts w:ascii="Times New Roman" w:hAnsi="Times New Roman" w:eastAsia="HelenPro-Regular" w:cs="Times New Roman"/>
              </w:rPr>
            </w:pPr>
            <w:r w:rsidRPr="7B37FACC" w:rsidR="002D17FF">
              <w:rPr>
                <w:rFonts w:ascii="Times New Roman" w:hAnsi="Times New Roman" w:eastAsia="Calibri" w:cs="Times New Roman"/>
                <w:i w:val="1"/>
                <w:iCs w:val="1"/>
              </w:rPr>
              <w:t>PRINCIPLE</w:t>
            </w:r>
          </w:p>
          <w:p w:rsidR="4890B8D2" w:rsidP="7B37FACC" w:rsidRDefault="4890B8D2" w14:paraId="2A38563D" w14:textId="1A3DB35A">
            <w:pPr>
              <w:pStyle w:val="ListParagraph"/>
              <w:numPr>
                <w:ilvl w:val="1"/>
                <w:numId w:val="1"/>
              </w:numPr>
              <w:spacing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890B8D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ARCHITECT HAVAB-G assay is a two-step immunoassay for the qualitative detection of IgG anti-HAV in human serum using CMIA technology with flexible assay protocols, referred to as Chemiflex. </w:t>
            </w:r>
          </w:p>
          <w:p w:rsidR="4890B8D2" w:rsidP="7B37FACC" w:rsidRDefault="4890B8D2" w14:paraId="276A6498" w14:textId="115305E4">
            <w:pPr>
              <w:pStyle w:val="ListParagraph"/>
              <w:numPr>
                <w:ilvl w:val="1"/>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890B8D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the first step, sample, assay diluent, and hepatitis A virus (human) coated paramagnetic microparticles are combined. IgG anti-HAV present in the sample binds to the hepatitis A virus (human) coated microparticles. After washing, the anti-human IgG acridinium-labeled conjugate that is added in the second step binds to IgG anti-HAV. Following another wash cycle, pre-trigger and trigger solutions are added to the reaction mixture. The resulting chemiluminescent reaction is measured as relative light units (RLUs). The presence or absence of IgG anti-HAV in the sample is determined by comparing the chemiluminescent signal in the reaction to the cutoff signal determined from an ARCHITECT HAVAB-G calibration. Specimens with signal to cutoff (S/CO) values ≥ 1.00 are considered reactive for IgG anti-HAV. Specimens with S/CO values &lt; 1.00 are considered nonreactive.</w:t>
            </w:r>
          </w:p>
          <w:p w:rsidR="7B37FACC" w:rsidP="7B37FACC" w:rsidRDefault="7B37FACC" w14:paraId="193DEC7F" w14:textId="117AE8DB">
            <w:pPr>
              <w:pStyle w:val="ListParagraph"/>
              <w:spacing w:line="360" w:lineRule="auto"/>
              <w:ind w:left="1080"/>
              <w:rPr>
                <w:rFonts w:ascii="Times New Roman" w:hAnsi="Times New Roman" w:cs="Times New Roman"/>
                <w:b w:val="0"/>
                <w:bCs w:val="0"/>
              </w:rPr>
            </w:pPr>
          </w:p>
          <w:p w:rsidRPr="009E6928" w:rsidR="009E6928" w:rsidP="009E6928" w:rsidRDefault="002D17FF" w14:paraId="37CDD52B" w14:textId="77777777">
            <w:pPr>
              <w:pStyle w:val="ListParagraph"/>
              <w:numPr>
                <w:ilvl w:val="0"/>
                <w:numId w:val="1"/>
              </w:numPr>
              <w:autoSpaceDE w:val="0"/>
              <w:autoSpaceDN w:val="0"/>
              <w:adjustRightInd w:val="0"/>
              <w:spacing w:before="60" w:after="60" w:line="360" w:lineRule="auto"/>
              <w:rPr>
                <w:rFonts w:ascii="Times New Roman" w:hAnsi="Times New Roman" w:cs="Times New Roman"/>
              </w:rPr>
            </w:pPr>
            <w:r w:rsidRPr="7B37FACC" w:rsidR="002D17FF">
              <w:rPr>
                <w:rFonts w:ascii="Times New Roman" w:hAnsi="Times New Roman"/>
                <w:i w:val="1"/>
                <w:iCs w:val="1"/>
                <w:smallCaps w:val="1"/>
              </w:rPr>
              <w:t>INTENDED USE</w:t>
            </w:r>
          </w:p>
          <w:p w:rsidR="60E7B4FD" w:rsidP="7B37FACC" w:rsidRDefault="60E7B4FD" w14:paraId="4CCA6704" w14:textId="193762E8">
            <w:pPr>
              <w:pStyle w:val="ListParagraph"/>
              <w:numPr>
                <w:ilvl w:val="1"/>
                <w:numId w:val="1"/>
              </w:numPr>
              <w:spacing w:before="60" w:after="6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0E7B4F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ARCHITECT HAVAB-G assay is a chemiluminescent microparticle immunoassay (CMIA) for the qualitative detection of IgG antibody to hepatitis A virus (IgG anti-HAV) in human adult and pediatric serum from patients with signs and symptoms or at risk for hepatitis. The ARCHITECT HAVAB-G assay is used to determine the immune status of individuals to hepatitis A virus infection.</w:t>
            </w:r>
          </w:p>
          <w:p w:rsidR="60E7B4FD" w:rsidP="7B37FACC" w:rsidRDefault="60E7B4FD" w14:paraId="6E640AC2" w14:textId="1569E965">
            <w:pPr>
              <w:pStyle w:val="ListParagraph"/>
              <w:numPr>
                <w:ilvl w:val="1"/>
                <w:numId w:val="1"/>
              </w:numPr>
              <w:spacing w:before="60" w:after="6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0E7B4F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Not intended for use in screening blood, plasma, or tissue donors.</w:t>
            </w:r>
          </w:p>
          <w:p w:rsidR="7B37FACC" w:rsidP="7B37FACC" w:rsidRDefault="7B37FACC" w14:paraId="565BEECA" w14:textId="345296DE">
            <w:pPr>
              <w:pStyle w:val="ListParagraph"/>
              <w:spacing w:before="60" w:after="60" w:line="360" w:lineRule="auto"/>
              <w:ind w:left="1080"/>
              <w:rPr>
                <w:rFonts w:ascii="Times New Roman" w:hAnsi="Times New Roman" w:cs="Times New Roman"/>
                <w:b w:val="0"/>
                <w:bCs w:val="0"/>
              </w:rPr>
            </w:pPr>
          </w:p>
          <w:p w:rsidR="00A5523C" w:rsidP="00A5523C" w:rsidRDefault="002D17FF" w14:paraId="0D88250E" w14:textId="77777777">
            <w:pPr>
              <w:numPr>
                <w:ilvl w:val="0"/>
                <w:numId w:val="1"/>
              </w:numPr>
              <w:autoSpaceDE w:val="0"/>
              <w:autoSpaceDN w:val="0"/>
              <w:adjustRightInd w:val="0"/>
              <w:spacing w:line="360" w:lineRule="auto"/>
              <w:contextualSpacing/>
              <w:rPr>
                <w:rFonts w:ascii="Times New Roman" w:hAnsi="Times New Roman" w:cs="Times New Roman"/>
              </w:rPr>
            </w:pPr>
            <w:r w:rsidRPr="7B37FACC" w:rsidR="002D17FF">
              <w:rPr>
                <w:rFonts w:ascii="Times New Roman" w:hAnsi="Times New Roman" w:eastAsia="Calibri" w:cs="Times New Roman"/>
                <w:i w:val="1"/>
                <w:iCs w:val="1"/>
              </w:rPr>
              <w:t>SCOPE</w:t>
            </w:r>
          </w:p>
          <w:p w:rsidR="674C6C45" w:rsidP="7B37FACC" w:rsidRDefault="674C6C45" w14:paraId="75AA0CAD" w14:textId="3C5862DC">
            <w:pPr>
              <w:pStyle w:val="ListParagraph"/>
              <w:numPr>
                <w:ilvl w:val="1"/>
                <w:numId w:val="1"/>
              </w:numPr>
              <w:spacing w:beforeAutospacing="on" w:afterAutospacing="on" w:line="360" w:lineRule="auto"/>
              <w:outlineLvl w:val="1"/>
              <w:rPr>
                <w:noProof w:val="0"/>
                <w:lang w:val="en-US"/>
              </w:rPr>
            </w:pPr>
            <w:r w:rsidRPr="7B37FACC" w:rsidR="674C6C4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ARCHITECT HAVAB-G assay determines the presence of IgG anti-HAV in human serum. After an acute HAV infection, IgG anti-HAV levels rise quickly and may persist for life. The presence of IgG anti-HAV implies past HAV infection (recent or distant) or vaccination against HAV. Detectable levels above the assay cut-off suggest immunity to HAV infection.</w:t>
            </w:r>
          </w:p>
          <w:p w:rsidR="7B37FACC" w:rsidP="7B37FACC" w:rsidRDefault="7B37FACC" w14:paraId="6852B89E" w14:textId="3C15F39D">
            <w:pPr>
              <w:pStyle w:val="ListParagraph"/>
              <w:spacing w:beforeAutospacing="on" w:afterAutospacing="on" w:line="360" w:lineRule="auto"/>
              <w:ind w:left="1080"/>
              <w:outlineLvl w:val="1"/>
              <w:rPr>
                <w:rFonts w:ascii="Times New Roman" w:hAnsi="Times New Roman" w:cs="Times New Roman"/>
                <w:b w:val="0"/>
                <w:bCs w:val="0"/>
              </w:rPr>
            </w:pPr>
          </w:p>
          <w:p w:rsidRPr="007A724B" w:rsidR="002D17FF" w:rsidP="007A724B" w:rsidRDefault="002D17FF" w14:paraId="5A37E069" w14:textId="77777777">
            <w:pPr>
              <w:pStyle w:val="ListParagraph"/>
              <w:numPr>
                <w:ilvl w:val="0"/>
                <w:numId w:val="1"/>
              </w:numPr>
              <w:autoSpaceDE w:val="0"/>
              <w:autoSpaceDN w:val="0"/>
              <w:adjustRightInd w:val="0"/>
              <w:spacing w:line="360" w:lineRule="auto"/>
              <w:rPr>
                <w:rFonts w:ascii="Times New Roman" w:hAnsi="Times New Roman" w:eastAsia="HelenPro-Regular" w:cs="Times New Roman"/>
                <w:b w:val="0"/>
              </w:rPr>
            </w:pPr>
            <w:r w:rsidRPr="007A724B">
              <w:rPr>
                <w:rFonts w:ascii="Times New Roman" w:hAnsi="Times New Roman" w:eastAsia="Calibri" w:cs="Times New Roman"/>
                <w:i/>
                <w:smallCaps/>
              </w:rPr>
              <w:t>Definitions</w:t>
            </w:r>
          </w:p>
          <w:p w:rsidRPr="002D17FF" w:rsidR="002D17FF" w:rsidP="00447B9C" w:rsidRDefault="002D17FF" w14:paraId="2CA90DF6" w14:textId="77777777">
            <w:pPr>
              <w:numPr>
                <w:ilvl w:val="1"/>
                <w:numId w:val="1"/>
              </w:numPr>
              <w:spacing w:line="360" w:lineRule="auto"/>
              <w:contextualSpacing/>
              <w:rPr>
                <w:rFonts w:ascii="Times New Roman" w:hAnsi="Times New Roman" w:eastAsia="Calibri" w:cs="Times New Roman"/>
                <w:b w:val="0"/>
                <w:smallCaps/>
              </w:rPr>
            </w:pPr>
            <w:r w:rsidRPr="002D17FF">
              <w:rPr>
                <w:rFonts w:ascii="Times New Roman" w:hAnsi="Times New Roman" w:eastAsia="Calibri" w:cs="Times New Roman"/>
                <w:b w:val="0"/>
                <w:smallCaps/>
              </w:rPr>
              <w:t>N/A</w:t>
            </w:r>
          </w:p>
          <w:p w:rsidRPr="002D17FF" w:rsidR="002D17FF" w:rsidP="00447B9C" w:rsidRDefault="002D17FF" w14:paraId="6C896CD5" w14:textId="77777777">
            <w:pPr>
              <w:numPr>
                <w:ilvl w:val="0"/>
                <w:numId w:val="1"/>
              </w:numPr>
              <w:spacing w:line="360" w:lineRule="auto"/>
              <w:contextualSpacing/>
              <w:rPr>
                <w:rFonts w:ascii="Times New Roman" w:hAnsi="Times New Roman" w:eastAsia="Calibri" w:cs="Times New Roman"/>
                <w:i/>
                <w:smallCaps/>
              </w:rPr>
            </w:pPr>
            <w:r w:rsidRPr="002D17FF">
              <w:rPr>
                <w:rFonts w:ascii="Times New Roman" w:hAnsi="Times New Roman" w:eastAsia="Calibri" w:cs="Times New Roman"/>
                <w:i/>
                <w:smallCaps/>
              </w:rPr>
              <w:t>Responsibilities</w:t>
            </w:r>
          </w:p>
          <w:p w:rsidRPr="002D17FF" w:rsidR="002D17FF" w:rsidP="00447B9C" w:rsidRDefault="002D17FF" w14:paraId="6F2118BE" w14:textId="77777777">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 xml:space="preserve">Only trained personnel are authorized to perform this procedure. Qualified personnel are responsible for the proper execution of this procedure. </w:t>
            </w:r>
            <w:r w:rsidR="00A056C4">
              <w:rPr>
                <w:rFonts w:ascii="Times New Roman" w:hAnsi="Times New Roman" w:cs="Times New Roman"/>
                <w:b w:val="0"/>
              </w:rPr>
              <w:t>Under the guidance of the Laboratory Director,</w:t>
            </w:r>
            <w:r w:rsidRPr="002D17FF">
              <w:rPr>
                <w:rFonts w:ascii="Times New Roman" w:hAnsi="Times New Roman" w:cs="Times New Roman"/>
                <w:b w:val="0"/>
              </w:rPr>
              <w:t xml:space="preserve"> it is the responsibility of the </w:t>
            </w:r>
            <w:r w:rsidR="00A056C4">
              <w:rPr>
                <w:rFonts w:ascii="Times New Roman" w:hAnsi="Times New Roman" w:cs="Times New Roman"/>
                <w:b w:val="0"/>
              </w:rPr>
              <w:t>Technical Supervisor</w:t>
            </w:r>
            <w:r w:rsidRPr="002D17FF">
              <w:rPr>
                <w:rFonts w:ascii="Times New Roman" w:hAnsi="Times New Roman" w:cs="Times New Roman"/>
                <w:b w:val="0"/>
              </w:rPr>
              <w:t xml:space="preserve"> to ensure the </w:t>
            </w:r>
            <w:r w:rsidR="00A056C4">
              <w:rPr>
                <w:rFonts w:ascii="Times New Roman" w:hAnsi="Times New Roman" w:cs="Times New Roman"/>
                <w:b w:val="0"/>
              </w:rPr>
              <w:t>competency</w:t>
            </w:r>
            <w:r w:rsidRPr="002D17FF">
              <w:rPr>
                <w:rFonts w:ascii="Times New Roman" w:hAnsi="Times New Roman" w:cs="Times New Roman"/>
                <w:b w:val="0"/>
              </w:rPr>
              <w:t xml:space="preserve"> of laboratory personnel performing this test.</w:t>
            </w:r>
          </w:p>
          <w:p w:rsidRPr="002D17FF" w:rsidR="002D17FF" w:rsidP="00447B9C" w:rsidRDefault="002D17FF" w14:paraId="63BF2A7B" w14:textId="77777777">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Training is documented in the training file of each qualified staff member.</w:t>
            </w:r>
          </w:p>
          <w:p w:rsidRPr="002D17FF" w:rsidR="002D17FF" w:rsidP="106FE4B7" w:rsidRDefault="002D17FF" w14:paraId="37CD9B75" w14:textId="3D3A3032">
            <w:pPr>
              <w:numPr>
                <w:ilvl w:val="1"/>
                <w:numId w:val="1"/>
              </w:numPr>
              <w:spacing w:line="360" w:lineRule="auto"/>
              <w:rPr>
                <w:rFonts w:ascii="Times New Roman" w:hAnsi="Times New Roman" w:eastAsia="Times New Roman" w:cs="Times New Roman"/>
                <w:noProof w:val="0"/>
                <w:sz w:val="22"/>
                <w:szCs w:val="22"/>
                <w:lang w:val="en-US"/>
              </w:rPr>
            </w:pPr>
            <w:r w:rsidRPr="106FE4B7" w:rsidR="002D17FF">
              <w:rPr>
                <w:rFonts w:ascii="Times New Roman" w:hAnsi="Times New Roman" w:cs="Times New Roman"/>
                <w:b w:val="0"/>
                <w:bCs w:val="0"/>
              </w:rPr>
              <w:t>All patient information is handled in a manner that is compliant with HIPAA guidelines.</w:t>
            </w:r>
            <w:r w:rsidRPr="106FE4B7" w:rsidR="002D17FF">
              <w:rPr>
                <w:rFonts w:ascii="Times New Roman" w:hAnsi="Times New Roman" w:cs="Times New Roman"/>
                <w:b w:val="0"/>
                <w:bCs w:val="0"/>
              </w:rPr>
              <w:t xml:space="preserve"> Refer to </w:t>
            </w:r>
            <w:hyperlink r:id="R18cfb0e7aa8a4ad9">
              <w:r w:rsidRPr="106FE4B7" w:rsidR="002D17FF">
                <w:rPr>
                  <w:rFonts w:ascii="Times New Roman" w:hAnsi="Times New Roman" w:cs="Times New Roman"/>
                  <w:b w:val="0"/>
                  <w:bCs w:val="0"/>
                  <w:color w:val="0000FF"/>
                  <w:u w:val="single"/>
                </w:rPr>
                <w:t>http://www.hhs.gov/ocr.hipaa/</w:t>
              </w:r>
            </w:hyperlink>
            <w:r w:rsidRPr="106FE4B7" w:rsidR="002D17FF">
              <w:rPr>
                <w:rFonts w:ascii="Times New Roman" w:hAnsi="Times New Roman" w:cs="Times New Roman"/>
                <w:b w:val="0"/>
                <w:bCs w:val="0"/>
                <w:color w:val="0000FF"/>
                <w:u w:val="single"/>
              </w:rPr>
              <w:t>.</w:t>
            </w:r>
            <w:r w:rsidRPr="106FE4B7" w:rsidR="002D17FF">
              <w:rPr>
                <w:rFonts w:ascii="Times New Roman" w:hAnsi="Times New Roman" w:cs="Times New Roman"/>
                <w:b w:val="0"/>
                <w:bCs w:val="0"/>
              </w:rPr>
              <w:t xml:space="preserve"> And </w:t>
            </w:r>
            <w:r w:rsidRPr="106FE4B7" w:rsidR="002D17FF">
              <w:rPr>
                <w:rFonts w:ascii="Times New Roman" w:hAnsi="Times New Roman" w:cs="Times New Roman"/>
                <w:b w:val="0"/>
                <w:bCs w:val="0"/>
              </w:rPr>
              <w:t>also</w:t>
            </w:r>
            <w:r w:rsidRPr="106FE4B7" w:rsidR="002D17FF">
              <w:rPr>
                <w:rFonts w:ascii="Times New Roman" w:hAnsi="Times New Roman" w:cs="Times New Roman"/>
                <w:b w:val="0"/>
                <w:bCs w:val="0"/>
              </w:rPr>
              <w:t xml:space="preserve"> to Clean Slate’s HIPAA Policy, </w:t>
            </w:r>
            <w:hyperlink r:id="R2e3808ed6e524a2a">
              <w:r w:rsidRPr="106FE4B7" w:rsidR="39E608A5">
                <w:rPr>
                  <w:rStyle w:val="Hyperlink"/>
                  <w:rFonts w:ascii="Times New Roman" w:hAnsi="Times New Roman" w:eastAsia="Times New Roman" w:cs="Times New Roman"/>
                  <w:b w:val="0"/>
                  <w:bCs w:val="0"/>
                  <w:strike w:val="0"/>
                  <w:dstrike w:val="0"/>
                  <w:noProof w:val="0"/>
                  <w:color w:val="0000FF"/>
                  <w:sz w:val="22"/>
                  <w:szCs w:val="22"/>
                  <w:u w:val="single"/>
                  <w:lang w:val="en-US"/>
                </w:rPr>
                <w:t>https://cleanslatecenters.training.reliaslearning.com</w:t>
              </w:r>
            </w:hyperlink>
            <w:r w:rsidRPr="106FE4B7" w:rsidR="39E608A5">
              <w:rPr>
                <w:rFonts w:ascii="Times New Roman" w:hAnsi="Times New Roman" w:eastAsia="Times New Roman" w:cs="Times New Roman"/>
                <w:b w:val="0"/>
                <w:bCs w:val="0"/>
                <w:noProof w:val="0"/>
                <w:color w:val="000000" w:themeColor="text1" w:themeTint="FF" w:themeShade="FF"/>
                <w:sz w:val="22"/>
                <w:szCs w:val="22"/>
                <w:lang w:val="en-US"/>
              </w:rPr>
              <w:t xml:space="preserve"> or equivalent.</w:t>
            </w:r>
          </w:p>
          <w:p w:rsidRPr="002D17FF" w:rsidR="002D17FF" w:rsidP="00447B9C" w:rsidRDefault="000A721D" w14:paraId="65D1AB1F" w14:textId="77777777">
            <w:pPr>
              <w:numPr>
                <w:ilvl w:val="1"/>
                <w:numId w:val="1"/>
              </w:numPr>
              <w:spacing w:line="360" w:lineRule="auto"/>
              <w:rPr>
                <w:rFonts w:ascii="Times New Roman" w:hAnsi="Times New Roman" w:cs="Times New Roman"/>
                <w:b w:val="0"/>
              </w:rPr>
            </w:pPr>
            <w:r w:rsidRPr="106FE4B7" w:rsidR="107F9A33">
              <w:rPr>
                <w:rFonts w:ascii="Times New Roman" w:hAnsi="Times New Roman" w:cs="Times New Roman"/>
                <w:b w:val="0"/>
                <w:bCs w:val="0"/>
              </w:rPr>
              <w:t xml:space="preserve">Under the direction </w:t>
            </w:r>
            <w:r w:rsidRPr="106FE4B7" w:rsidR="3DAEE916">
              <w:rPr>
                <w:rFonts w:ascii="Times New Roman" w:hAnsi="Times New Roman" w:cs="Times New Roman"/>
                <w:b w:val="0"/>
                <w:bCs w:val="0"/>
              </w:rPr>
              <w:t>of the</w:t>
            </w:r>
            <w:r w:rsidRPr="106FE4B7" w:rsidR="002D17FF">
              <w:rPr>
                <w:rFonts w:ascii="Times New Roman" w:hAnsi="Times New Roman" w:cs="Times New Roman"/>
                <w:b w:val="0"/>
                <w:bCs w:val="0"/>
              </w:rPr>
              <w:t xml:space="preserve"> Laboratory Director</w:t>
            </w:r>
            <w:r w:rsidRPr="106FE4B7" w:rsidR="107F9A33">
              <w:rPr>
                <w:rFonts w:ascii="Times New Roman" w:hAnsi="Times New Roman" w:cs="Times New Roman"/>
                <w:b w:val="0"/>
                <w:bCs w:val="0"/>
              </w:rPr>
              <w:t>, the Technical Supervisor</w:t>
            </w:r>
            <w:r w:rsidRPr="106FE4B7" w:rsidR="002D17FF">
              <w:rPr>
                <w:rFonts w:ascii="Times New Roman" w:hAnsi="Times New Roman" w:cs="Times New Roman"/>
                <w:b w:val="0"/>
                <w:bCs w:val="0"/>
              </w:rPr>
              <w:t xml:space="preserve"> is responsible for the direct review of all quality control, equipment maintenance and reporting of patient results.</w:t>
            </w:r>
          </w:p>
          <w:p w:rsidRPr="002D17FF" w:rsidR="002D17FF" w:rsidP="00447B9C" w:rsidRDefault="002D17FF" w14:paraId="379EB960" w14:textId="77777777">
            <w:pPr>
              <w:numPr>
                <w:ilvl w:val="0"/>
                <w:numId w:val="1"/>
              </w:numPr>
              <w:spacing w:line="360" w:lineRule="auto"/>
              <w:contextualSpacing/>
              <w:rPr>
                <w:rFonts w:ascii="Times New Roman" w:hAnsi="Times New Roman" w:eastAsia="Calibri" w:cs="Times New Roman"/>
                <w:i/>
                <w:smallCaps/>
              </w:rPr>
            </w:pPr>
            <w:r w:rsidRPr="002D17FF">
              <w:rPr>
                <w:rFonts w:ascii="Times New Roman" w:hAnsi="Times New Roman" w:eastAsia="Calibri" w:cs="Times New Roman"/>
                <w:i/>
              </w:rPr>
              <w:t>SAFETY</w:t>
            </w:r>
          </w:p>
          <w:p w:rsidRPr="002D17FF" w:rsidR="002D17FF" w:rsidP="00447B9C" w:rsidRDefault="002D17FF" w14:paraId="5F3A6E0A" w14:textId="77777777">
            <w:pPr>
              <w:numPr>
                <w:ilvl w:val="1"/>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Standard Precautions</w:t>
            </w:r>
          </w:p>
          <w:p w:rsidRPr="002D17FF" w:rsidR="002D17FF" w:rsidP="00447B9C" w:rsidRDefault="002D17FF" w14:paraId="5F9C717D" w14:textId="77777777">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 xml:space="preserve">Care should be </w:t>
            </w:r>
            <w:proofErr w:type="gramStart"/>
            <w:r w:rsidRPr="002D17FF">
              <w:rPr>
                <w:rFonts w:ascii="Times New Roman" w:hAnsi="Times New Roman" w:cs="Times New Roman"/>
                <w:b w:val="0"/>
              </w:rPr>
              <w:t>taken</w:t>
            </w:r>
            <w:proofErr w:type="gramEnd"/>
            <w:r w:rsidRPr="002D17FF">
              <w:rPr>
                <w:rFonts w:ascii="Times New Roman" w:hAnsi="Times New Roman" w:cs="Times New Roman"/>
                <w:b w:val="0"/>
              </w:rPr>
              <w:t xml:space="preserve"> and personal protective equipment is required when handling material of human origin. All biological specimens should be considered potentially infectious.</w:t>
            </w:r>
          </w:p>
          <w:p w:rsidRPr="002D17FF" w:rsidR="002D17FF" w:rsidP="106FE4B7" w:rsidRDefault="002D17FF" w14:paraId="0FBAABEB" w14:textId="62BDFE34">
            <w:pPr>
              <w:numPr>
                <w:ilvl w:val="2"/>
                <w:numId w:val="1"/>
              </w:numPr>
              <w:spacing w:line="360" w:lineRule="auto"/>
              <w:contextualSpacing/>
              <w:rPr>
                <w:rFonts w:ascii="Times New Roman" w:hAnsi="Times New Roman" w:eastAsia="Times New Roman" w:cs="Times New Roman"/>
                <w:noProof w:val="0"/>
                <w:sz w:val="22"/>
                <w:szCs w:val="22"/>
                <w:lang w:val="en-US"/>
              </w:rPr>
            </w:pPr>
            <w:r w:rsidRPr="106FE4B7" w:rsidR="002D17FF">
              <w:rPr>
                <w:rFonts w:ascii="Times New Roman" w:hAnsi="Times New Roman" w:cs="Times New Roman"/>
                <w:b w:val="0"/>
                <w:bCs w:val="0"/>
              </w:rPr>
              <w:t xml:space="preserve">For up-to-date recommendations on handling biological specimens refer to the CDC website: </w:t>
            </w:r>
            <w:hyperlink r:id="Rfa993d38b05d4550">
              <w:r w:rsidRPr="106FE4B7" w:rsidR="002D17FF">
                <w:rPr>
                  <w:rFonts w:ascii="Times New Roman" w:hAnsi="Times New Roman" w:cs="Times New Roman"/>
                  <w:b w:val="0"/>
                  <w:bCs w:val="0"/>
                  <w:color w:val="0000FF"/>
                  <w:u w:val="single"/>
                </w:rPr>
                <w:t>http://cdc.gov/ncidod/dhqp/pdf/guidelines/Isolation2007.pdf</w:t>
              </w:r>
            </w:hyperlink>
            <w:r w:rsidRPr="106FE4B7" w:rsidR="002D17FF">
              <w:rPr>
                <w:rFonts w:ascii="Times New Roman" w:hAnsi="Times New Roman" w:cs="Times New Roman"/>
                <w:b w:val="0"/>
                <w:bCs w:val="0"/>
              </w:rPr>
              <w:t xml:space="preserve">  or CLSI document M29-A3, Protection of Laboratory Workers from Occupationally Acquired Infections. Clinical and Laboratory Standards Institute; Approved Guidelines and or Refer to Clean Slate’s safety policy, </w:t>
            </w:r>
            <w:r w:rsidRPr="106FE4B7" w:rsidR="04D3E87D">
              <w:rPr>
                <w:rFonts w:ascii="Times New Roman" w:hAnsi="Times New Roman" w:eastAsia="Times New Roman" w:cs="Times New Roman"/>
                <w:b w:val="0"/>
                <w:bCs w:val="0"/>
                <w:strike w:val="0"/>
                <w:dstrike w:val="0"/>
                <w:noProof w:val="0"/>
                <w:color w:val="0000FF"/>
                <w:sz w:val="22"/>
                <w:szCs w:val="22"/>
                <w:u w:val="single"/>
                <w:lang w:val="en-US"/>
              </w:rPr>
              <w:t>https://cleanslatecenters.training.reliaslearning.com</w:t>
            </w:r>
            <w:r w:rsidRPr="106FE4B7" w:rsidR="04D3E87D">
              <w:rPr>
                <w:rFonts w:ascii="Times New Roman" w:hAnsi="Times New Roman" w:eastAsia="Times New Roman" w:cs="Times New Roman"/>
                <w:b w:val="0"/>
                <w:bCs w:val="0"/>
                <w:noProof w:val="0"/>
                <w:color w:val="000000" w:themeColor="text1" w:themeTint="FF" w:themeShade="FF"/>
                <w:sz w:val="22"/>
                <w:szCs w:val="22"/>
                <w:lang w:val="en-US"/>
              </w:rPr>
              <w:t xml:space="preserve"> or equivalent.</w:t>
            </w:r>
          </w:p>
          <w:p w:rsidRPr="002D17FF" w:rsidR="002D17FF" w:rsidP="00447B9C" w:rsidRDefault="002D17FF" w14:paraId="0762123E" w14:textId="77777777">
            <w:pPr>
              <w:numPr>
                <w:ilvl w:val="1"/>
                <w:numId w:val="1"/>
              </w:numPr>
              <w:spacing w:line="360" w:lineRule="auto"/>
              <w:contextualSpacing/>
              <w:rPr>
                <w:rFonts w:ascii="Times New Roman" w:hAnsi="Times New Roman" w:cs="Times New Roman"/>
                <w:b w:val="0"/>
                <w:spacing w:val="5"/>
              </w:rPr>
            </w:pPr>
            <w:r w:rsidRPr="002D17FF">
              <w:rPr>
                <w:rFonts w:ascii="Times New Roman" w:hAnsi="Times New Roman" w:cs="Times New Roman"/>
                <w:b w:val="0"/>
              </w:rPr>
              <w:t>Computer and Web Portal</w:t>
            </w:r>
          </w:p>
          <w:p w:rsidRPr="002D17FF" w:rsidR="002D17FF" w:rsidP="00447B9C" w:rsidRDefault="002D17FF" w14:paraId="58628D05" w14:textId="77777777">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Passwords must be assigned only to authorized personnel.</w:t>
            </w:r>
          </w:p>
          <w:p w:rsidRPr="002D17FF" w:rsidR="002D17FF" w:rsidP="00447B9C" w:rsidRDefault="002D17FF" w14:paraId="57C8D102" w14:textId="77777777">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 xml:space="preserve">To ensure HIPAA compliance, it is recommended that the computer, </w:t>
            </w:r>
            <w:proofErr w:type="gramStart"/>
            <w:r w:rsidRPr="002D17FF">
              <w:rPr>
                <w:rFonts w:ascii="Times New Roman" w:hAnsi="Times New Roman" w:cs="Times New Roman"/>
                <w:b w:val="0"/>
              </w:rPr>
              <w:t>printer</w:t>
            </w:r>
            <w:proofErr w:type="gramEnd"/>
            <w:r w:rsidRPr="002D17FF">
              <w:rPr>
                <w:rFonts w:ascii="Times New Roman" w:hAnsi="Times New Roman" w:cs="Times New Roman"/>
                <w:b w:val="0"/>
              </w:rPr>
              <w:t xml:space="preserve"> and printouts be located away from the visibility and access of unauthorized individuals.</w:t>
            </w:r>
          </w:p>
          <w:p w:rsidRPr="002D17FF" w:rsidR="002D17FF" w:rsidP="00447B9C" w:rsidRDefault="002D17FF" w14:paraId="4E070B8C" w14:textId="77777777">
            <w:pPr>
              <w:numPr>
                <w:ilvl w:val="0"/>
                <w:numId w:val="1"/>
              </w:numPr>
              <w:spacing w:line="360" w:lineRule="auto"/>
              <w:contextualSpacing/>
              <w:rPr>
                <w:rFonts w:ascii="Times New Roman" w:hAnsi="Times New Roman" w:eastAsia="Calibri" w:cs="Times New Roman"/>
                <w:i/>
                <w:smallCaps/>
              </w:rPr>
            </w:pPr>
            <w:r w:rsidRPr="7B37FACC" w:rsidR="002D17FF">
              <w:rPr>
                <w:rFonts w:ascii="Times New Roman" w:hAnsi="Times New Roman" w:eastAsia="Calibri" w:cs="Times New Roman"/>
                <w:i w:val="1"/>
                <w:iCs w:val="1"/>
              </w:rPr>
              <w:t>SPECIMEN REQUIREMENTS</w:t>
            </w:r>
          </w:p>
          <w:p w:rsidR="4B76DF97" w:rsidP="7B37FACC" w:rsidRDefault="4B76DF97" w14:paraId="5887E309" w14:textId="221AEC4F">
            <w:pPr>
              <w:numPr>
                <w:ilvl w:val="1"/>
                <w:numId w:val="1"/>
              </w:numPr>
              <w:spacing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Serum specimens, free from hemolysis, free of fibrin, red blood cells, and other particulate matter are recommended for testing. </w:t>
            </w:r>
          </w:p>
          <w:p w:rsidR="4B76DF97" w:rsidP="7B37FACC" w:rsidRDefault="4B76DF97" w14:paraId="7425F251" w14:textId="0860DB10">
            <w:pPr>
              <w:pStyle w:val="ListParagraph"/>
              <w:numPr>
                <w:ilvl w:val="1"/>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Only blood drawn by an acceptable medical technique into a collection tube with no anticoagulants should be used for CleanSlate. </w:t>
            </w:r>
          </w:p>
          <w:p w:rsidR="4B76DF97" w:rsidP="7B37FACC" w:rsidRDefault="4B76DF97" w14:paraId="23F19584" w14:textId="3EA2DE88">
            <w:pPr>
              <w:pStyle w:val="ListParagraph"/>
              <w:numPr>
                <w:ilvl w:val="1"/>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specimen should be allowed to clot fully and the serum separated by centrifugation.</w:t>
            </w:r>
          </w:p>
          <w:p w:rsidR="4B76DF97" w:rsidP="7B37FACC" w:rsidRDefault="4B76DF97" w14:paraId="03059A5C" w14:textId="2734291C">
            <w:pPr>
              <w:pStyle w:val="ListParagraph"/>
              <w:numPr>
                <w:ilvl w:val="1"/>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optimal results, inspect all specimens for bubbles. Remove bubbles with an applicator stick before analysis. Use a new applicator stick for each specimen to prevent cross contamination.</w:t>
            </w:r>
          </w:p>
          <w:p w:rsidR="4B76DF97" w:rsidP="7B37FACC" w:rsidRDefault="4B76DF97" w14:paraId="79781198" w14:textId="6FB5FECA">
            <w:pPr>
              <w:pStyle w:val="ListParagraph"/>
              <w:numPr>
                <w:ilvl w:val="1"/>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Specimens may be stored on or off the clot, red blood cells, or separator gel for up to 8 days refrigerated at 2-8·C or up to 4 days at room temperature. If will be delayed more than 8 days, remove serum or plasma from the clot, red blood cells, or separator gel and store at -20·C or colder. Avoid multiple freeze/thaw cycles.</w:t>
            </w:r>
          </w:p>
          <w:p w:rsidR="4B76DF97" w:rsidP="7B37FACC" w:rsidRDefault="4B76DF97" w14:paraId="1054B383" w14:textId="17FF8842">
            <w:pPr>
              <w:pStyle w:val="ListParagraph"/>
              <w:numPr>
                <w:ilvl w:val="1"/>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Criteria for Unacceptable Specimens</w:t>
            </w:r>
          </w:p>
          <w:p w:rsidR="4B76DF97" w:rsidP="7B37FACC" w:rsidRDefault="4B76DF97" w14:paraId="5DC0FCA7" w14:textId="590A3B5A">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Unlabeled specimens- there must be an ID link between the test order and the specimen container. Unlabeled specimens cannot be accepted.</w:t>
            </w:r>
          </w:p>
          <w:p w:rsidR="4B76DF97" w:rsidP="7B37FACC" w:rsidRDefault="4B76DF97" w14:paraId="3961968F" w14:textId="1C169FE9">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 specimens are examined for correct identification when accessioned and processed or rejected if it does not have two matching patient identifiers.</w:t>
            </w:r>
          </w:p>
          <w:p w:rsidR="4B76DF97" w:rsidP="7B37FACC" w:rsidRDefault="4B76DF97" w14:paraId="2C7DB47D" w14:textId="5FE492B3">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Leaking/improperly closed tubes cannot be accepted.</w:t>
            </w:r>
          </w:p>
          <w:p w:rsidR="4B76DF97" w:rsidP="7B37FACC" w:rsidRDefault="4B76DF97" w14:paraId="4EA79146" w14:textId="461A247D">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4B76DF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quantity (less than 0.3mL serum) or specimen containers that are “empty” or have improper storage cannot be accepted.</w:t>
            </w:r>
          </w:p>
          <w:p w:rsidRPr="002D17FF" w:rsidR="002D17FF" w:rsidP="00447B9C" w:rsidRDefault="002D17FF" w14:paraId="12D4E945" w14:textId="77777777">
            <w:pPr>
              <w:numPr>
                <w:ilvl w:val="0"/>
                <w:numId w:val="1"/>
              </w:numPr>
              <w:spacing w:line="360" w:lineRule="auto"/>
              <w:contextualSpacing/>
              <w:rPr>
                <w:rFonts w:ascii="Times New Roman" w:hAnsi="Times New Roman" w:eastAsia="Calibri" w:cs="Times New Roman"/>
                <w:i/>
                <w:smallCaps/>
              </w:rPr>
            </w:pPr>
            <w:r w:rsidRPr="7B37FACC" w:rsidR="002D17FF">
              <w:rPr>
                <w:rFonts w:ascii="Times New Roman" w:hAnsi="Times New Roman" w:eastAsia="Calibri" w:cs="Times New Roman"/>
                <w:i w:val="1"/>
                <w:iCs w:val="1"/>
              </w:rPr>
              <w:t>MATERIALS &amp; EQUIPMENT</w:t>
            </w:r>
          </w:p>
          <w:p w:rsidRPr="002D17FF" w:rsidR="002D17FF" w:rsidP="7B37FACC" w:rsidRDefault="002D17FF" w14:paraId="42ADC606" w14:textId="3C4F77A9">
            <w:pPr>
              <w:widowControl w:val="0"/>
              <w:numPr>
                <w:ilvl w:val="1"/>
                <w:numId w:val="1"/>
              </w:numPr>
              <w:spacing w:before="160" w:after="16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system.</w:t>
            </w:r>
          </w:p>
          <w:p w:rsidRPr="002D17FF" w:rsidR="002D17FF" w:rsidP="7B37FACC" w:rsidRDefault="002D17FF" w14:paraId="686D9679" w14:textId="7A82B6F0">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ARCHITECT HAVAB-G Assay file.</w:t>
            </w:r>
          </w:p>
          <w:p w:rsidRPr="002D17FF" w:rsidR="002D17FF" w:rsidP="7B37FACC" w:rsidRDefault="002D17FF" w14:paraId="35D99828" w14:textId="42D744ED">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ARCHITECT HAVAB-G Reagent Kit (Cat# 6L27)</w:t>
            </w:r>
          </w:p>
          <w:p w:rsidRPr="002D17FF" w:rsidR="002D17FF" w:rsidP="7B37FACC" w:rsidRDefault="002D17FF" w14:paraId="5566FD2F" w14:textId="22749691">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ARCHITECT HAVAB-G Controls. (Cat # 6L27-10 )</w:t>
            </w:r>
          </w:p>
          <w:p w:rsidRPr="002D17FF" w:rsidR="002D17FF" w:rsidP="7B37FACC" w:rsidRDefault="002D17FF" w14:paraId="111EB4E1" w14:textId="3739A54D">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ARCHITECT HAVAB-G Calibrator  (Cat# 6L27-01)</w:t>
            </w:r>
          </w:p>
          <w:p w:rsidRPr="002D17FF" w:rsidR="002D17FF" w:rsidP="7B37FACC" w:rsidRDefault="002D17FF" w14:paraId="1FD5A4AD" w14:textId="1CD16457">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Pre-Trigger Solution</w:t>
            </w:r>
          </w:p>
          <w:p w:rsidRPr="002D17FF" w:rsidR="002D17FF" w:rsidP="7B37FACC" w:rsidRDefault="002D17FF" w14:paraId="40EBE2E0" w14:textId="1752617C">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Trigger Solution</w:t>
            </w:r>
          </w:p>
          <w:p w:rsidRPr="002D17FF" w:rsidR="002D17FF" w:rsidP="7B37FACC" w:rsidRDefault="002D17FF" w14:paraId="3B6726B1" w14:textId="03B97CF2">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Wash Buffer</w:t>
            </w:r>
          </w:p>
          <w:p w:rsidRPr="002D17FF" w:rsidR="002D17FF" w:rsidP="7B37FACC" w:rsidRDefault="002D17FF" w14:paraId="44CBDE56" w14:textId="7A876F58">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Reaction Vessels</w:t>
            </w:r>
          </w:p>
          <w:p w:rsidRPr="002D17FF" w:rsidR="002D17FF" w:rsidP="7B37FACC" w:rsidRDefault="002D17FF" w14:paraId="14B2C2B8" w14:textId="6EE94196">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Septum</w:t>
            </w:r>
          </w:p>
          <w:p w:rsidRPr="002D17FF" w:rsidR="002D17FF" w:rsidP="7B37FACC" w:rsidRDefault="002D17FF" w14:paraId="6D4AEC69" w14:textId="0A5D9B58">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Replacement Caps</w:t>
            </w:r>
          </w:p>
          <w:p w:rsidRPr="002D17FF" w:rsidR="002D17FF" w:rsidP="7B37FACC" w:rsidRDefault="002D17FF" w14:paraId="684483BF" w14:textId="37EDF346">
            <w:pPr>
              <w:pStyle w:val="ListParagraph"/>
              <w:widowControl w:val="0"/>
              <w:numPr>
                <w:ilvl w:val="1"/>
                <w:numId w:val="1"/>
              </w:numPr>
              <w:spacing w:before="160" w:after="200" w:line="36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634F5EE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Abbott Architect i1000SR Sample Cups</w:t>
            </w:r>
          </w:p>
          <w:p w:rsidRPr="002D17FF" w:rsidR="002D17FF" w:rsidP="00447B9C" w:rsidRDefault="002D17FF" w14:paraId="277F2C1A" w14:textId="77777777">
            <w:pPr>
              <w:numPr>
                <w:ilvl w:val="0"/>
                <w:numId w:val="1"/>
              </w:numPr>
              <w:spacing w:line="360" w:lineRule="auto"/>
              <w:contextualSpacing/>
              <w:rPr>
                <w:rFonts w:ascii="Times New Roman" w:hAnsi="Times New Roman" w:eastAsia="Calibri" w:cs="Times New Roman"/>
                <w:i/>
                <w:smallCaps/>
              </w:rPr>
            </w:pPr>
            <w:r w:rsidRPr="002D17FF">
              <w:rPr>
                <w:rFonts w:ascii="Times New Roman" w:hAnsi="Times New Roman" w:eastAsia="Calibri" w:cs="Times New Roman"/>
                <w:i/>
                <w:smallCaps/>
              </w:rPr>
              <w:t xml:space="preserve">REAGENTS </w:t>
            </w:r>
          </w:p>
          <w:p w:rsidR="002D17FF" w:rsidP="7B37FACC" w:rsidRDefault="002D17FF" w14:paraId="628D577D" w14:textId="715416E9">
            <w:pPr>
              <w:widowControl w:val="0"/>
              <w:numPr>
                <w:ilvl w:val="1"/>
                <w:numId w:val="1"/>
              </w:numPr>
              <w:spacing w:before="16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002D17FF">
              <w:rPr>
                <w:rFonts w:ascii="Times New Roman" w:hAnsi="Times New Roman" w:eastAsia="Times New Roman" w:cs="Times New Roman"/>
                <w:b w:val="0"/>
                <w:bCs w:val="0"/>
              </w:rPr>
              <w:t>P</w:t>
            </w: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Preparation</w:t>
            </w:r>
          </w:p>
          <w:p w:rsidR="195635E7" w:rsidP="7B37FACC" w:rsidRDefault="195635E7" w14:paraId="4F409E64" w14:textId="64B50794">
            <w:pPr>
              <w:pStyle w:val="ListParagraph"/>
              <w:widowControl w:val="0"/>
              <w:numPr>
                <w:ilvl w:val="2"/>
                <w:numId w:val="1"/>
              </w:numPr>
              <w:spacing w:before="160"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Before loading the ARCHITECT HAVAB-G Reagent Kit on the system for the first time, the micro-particle bottle requires mixing to re-suspend micro-particles that may have settled during shipment. After the first time the micro-particles have been loaded, no further mixing is required.</w:t>
            </w:r>
          </w:p>
          <w:p w:rsidR="195635E7" w:rsidP="7B37FACC" w:rsidRDefault="195635E7" w14:paraId="20790AFE" w14:textId="4860D013">
            <w:pPr>
              <w:pStyle w:val="ListParagraph"/>
              <w:widowControl w:val="0"/>
              <w:numPr>
                <w:ilvl w:val="2"/>
                <w:numId w:val="1"/>
              </w:numPr>
              <w:spacing w:before="160"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Invert the micro-particle bottle 30 times.</w:t>
            </w:r>
          </w:p>
          <w:p w:rsidR="195635E7" w:rsidP="7B37FACC" w:rsidRDefault="195635E7" w14:paraId="2E5B1C0D" w14:textId="16D33A13">
            <w:pPr>
              <w:pStyle w:val="ListParagraph"/>
              <w:widowControl w:val="0"/>
              <w:numPr>
                <w:ilvl w:val="2"/>
                <w:numId w:val="1"/>
              </w:numPr>
              <w:spacing w:before="160"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Visually inspect the bottle to ensure micro-particles are re-suspended. If micro-particles are still adhered to the bottle, continue to invert the bottle until the micro-particles have been completely re-suspended.</w:t>
            </w:r>
          </w:p>
          <w:p w:rsidR="195635E7" w:rsidP="7B37FACC" w:rsidRDefault="195635E7" w14:paraId="47897E08" w14:textId="0A4F965B">
            <w:pPr>
              <w:pStyle w:val="ListParagraph"/>
              <w:widowControl w:val="0"/>
              <w:numPr>
                <w:ilvl w:val="2"/>
                <w:numId w:val="1"/>
              </w:numPr>
              <w:spacing w:before="160"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If the micro-particles do not re-suspend, DO NOT USE. Contact your local Abbott representative. </w:t>
            </w:r>
          </w:p>
          <w:p w:rsidR="195635E7" w:rsidP="7B37FACC" w:rsidRDefault="195635E7" w14:paraId="5C0FF4FD" w14:textId="7553146B">
            <w:pPr>
              <w:pStyle w:val="ListParagraph"/>
              <w:widowControl w:val="0"/>
              <w:numPr>
                <w:ilvl w:val="2"/>
                <w:numId w:val="1"/>
              </w:numPr>
              <w:spacing w:before="160"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Once the micro-particles have been re-suspended, place a septum on the bottle. Septum’s MUST be used to prevent reagent evaporation and contamination and to ensure reagent integrity.  To avoid contamination, wear gloves when placing a septum on an uncapped reagent bottle. Once a septum has been placed on an open reagent bottle, do not invert the bottle as this will result in reagent leakage and may compromise assay results. Over time, residual liquids may dry on the septum surface. These are dried salts and have no effect on assay efficacy.</w:t>
            </w:r>
          </w:p>
          <w:p w:rsidR="195635E7" w:rsidP="7B37FACC" w:rsidRDefault="195635E7" w14:paraId="16E7482D" w14:textId="2936F2F1">
            <w:pPr>
              <w:pStyle w:val="ListParagraph"/>
              <w:widowControl w:val="0"/>
              <w:numPr>
                <w:ilvl w:val="2"/>
                <w:numId w:val="1"/>
              </w:numPr>
              <w:spacing w:before="160"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When handling conjugate vials, change gloves that have contacted human serum, since introduction of antibody will result in a neutralized conjugate.</w:t>
            </w:r>
          </w:p>
          <w:p w:rsidR="195635E7" w:rsidP="7B37FACC" w:rsidRDefault="195635E7" w14:paraId="6D470103" w14:textId="02297728">
            <w:pPr>
              <w:pStyle w:val="ListParagraph"/>
              <w:widowControl w:val="0"/>
              <w:numPr>
                <w:ilvl w:val="1"/>
                <w:numId w:val="1"/>
              </w:numPr>
              <w:spacing w:before="160"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Storage and Stability</w:t>
            </w:r>
          </w:p>
          <w:p w:rsidR="195635E7" w:rsidP="7B37FACC" w:rsidRDefault="195635E7" w14:paraId="21819B8F" w14:textId="76C21F9B">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Opened HAVAB-G reagents are stable for 15 days when stored in the refrigerator compartment of the Abbott Architect i1000SR analyzer. Discard after 15 days.</w:t>
            </w:r>
          </w:p>
          <w:p w:rsidR="195635E7" w:rsidP="7B37FACC" w:rsidRDefault="195635E7" w14:paraId="790395AE" w14:textId="5DCE2253">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Unopened HAVAB-G reagents are stable until the expiration date stated on the label if stored in the refrigerator at 2-8·C in an up-right position. Reagent bottles should remain closed when not in use with screw caps tightly closed.</w:t>
            </w:r>
          </w:p>
          <w:p w:rsidR="195635E7" w:rsidP="7B37FACC" w:rsidRDefault="195635E7" w14:paraId="7890BC4E" w14:textId="31E7FA78">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Do NOT use reagents past their expiration date.</w:t>
            </w:r>
          </w:p>
          <w:p w:rsidR="195635E7" w:rsidP="7B37FACC" w:rsidRDefault="195635E7" w14:paraId="2E7A3313" w14:textId="45D71958">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Do NOT pool reagents within a kit or between kits.</w:t>
            </w:r>
          </w:p>
          <w:p w:rsidR="195635E7" w:rsidP="7B37FACC" w:rsidRDefault="195635E7" w14:paraId="46620E20" w14:textId="5BBC1DE6">
            <w:pPr>
              <w:pStyle w:val="ListParagraph"/>
              <w:numPr>
                <w:ilvl w:val="1"/>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Indications of Reagent Deterioration</w:t>
            </w:r>
          </w:p>
          <w:p w:rsidR="195635E7" w:rsidP="7B37FACC" w:rsidRDefault="195635E7" w14:paraId="6E1EF3AF" w14:textId="09089610">
            <w:pPr>
              <w:pStyle w:val="ListParagraph"/>
              <w:numPr>
                <w:ilvl w:val="2"/>
                <w:numId w:val="1"/>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195635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When a control value is out of the specified range, it may indicate deterioration of the reagents or errors in technique. Associated test results are invalid and samples must be retested. Assay recalibration may be necessary. For troubleshooting, refer to the ARCHITECT System Operation Manual, Section 10.</w:t>
            </w:r>
          </w:p>
          <w:p w:rsidRPr="002D17FF" w:rsidR="002D17FF" w:rsidP="00D8485D" w:rsidRDefault="002D17FF" w14:paraId="58188747" w14:textId="77777777">
            <w:pPr>
              <w:numPr>
                <w:ilvl w:val="0"/>
                <w:numId w:val="1"/>
              </w:numPr>
              <w:spacing w:line="360" w:lineRule="auto"/>
              <w:contextualSpacing/>
              <w:rPr>
                <w:rFonts w:ascii="Times New Roman" w:hAnsi="Times New Roman" w:eastAsia="Calibri" w:cs="Times New Roman"/>
                <w:i/>
                <w:smallCaps/>
              </w:rPr>
            </w:pPr>
            <w:r w:rsidRPr="7B37FACC" w:rsidR="002D17FF">
              <w:rPr>
                <w:rFonts w:ascii="Times New Roman" w:hAnsi="Times New Roman" w:eastAsia="Calibri" w:cs="Times New Roman"/>
                <w:i w:val="1"/>
                <w:iCs w:val="1"/>
              </w:rPr>
              <w:t>CALIBRATIONS &amp; CONTROLS</w:t>
            </w:r>
          </w:p>
          <w:p w:rsidR="01ABE341" w:rsidP="7B37FACC" w:rsidRDefault="01ABE341" w14:paraId="17590749" w14:textId="04A155B6">
            <w:pPr>
              <w:numPr>
                <w:ilvl w:val="1"/>
                <w:numId w:val="4"/>
              </w:numPr>
              <w:spacing w:line="360" w:lineRule="auto"/>
              <w:contextualSpacing/>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Calibration</w:t>
            </w:r>
          </w:p>
          <w:p w:rsidR="01ABE341" w:rsidP="7B37FACC" w:rsidRDefault="01ABE341" w14:paraId="6EF43745" w14:textId="7DABC00E">
            <w:pPr>
              <w:pStyle w:val="ListParagraph"/>
              <w:numPr>
                <w:ilvl w:val="2"/>
                <w:numId w:val="75"/>
              </w:numPr>
              <w:spacing w:after="200" w:line="360" w:lineRule="auto"/>
              <w:ind w:left="1447" w:righ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frequency of calibration is </w:t>
            </w:r>
            <w:r w:rsidRPr="7B37FACC" w:rsidR="42362CE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as needed </w:t>
            </w:r>
            <w:r w:rsidRPr="7B37FACC" w:rsidR="17D8406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(see </w:t>
            </w:r>
            <w:r w:rsidRPr="7B37FACC" w:rsidR="17D8406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section  1.1.4</w:t>
            </w:r>
            <w:r w:rsidRPr="7B37FACC" w:rsidR="17D8406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below) once</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reagent is on-board i1000SR system. </w:t>
            </w:r>
          </w:p>
          <w:p w:rsidR="01ABE341" w:rsidP="7B37FACC" w:rsidRDefault="01ABE341" w14:paraId="75B04574" w14:textId="09B74243">
            <w:pPr>
              <w:pStyle w:val="ListParagraph"/>
              <w:numPr>
                <w:ilvl w:val="2"/>
                <w:numId w:val="75"/>
              </w:numPr>
              <w:spacing w:after="200" w:line="360" w:lineRule="auto"/>
              <w:ind w:left="1447" w:righ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calibrator is ready to use and does NOT require reconstitution. Mix the contents of the vial gently by inverting the vial 3-4 times.</w:t>
            </w:r>
          </w:p>
          <w:p w:rsidR="01ABE341" w:rsidP="7B37FACC" w:rsidRDefault="01ABE341" w14:paraId="40CBA106" w14:textId="6C1D1E5B">
            <w:pPr>
              <w:pStyle w:val="ListParagraph"/>
              <w:numPr>
                <w:ilvl w:val="2"/>
                <w:numId w:val="75"/>
              </w:numPr>
              <w:spacing w:after="200" w:line="360" w:lineRule="auto"/>
              <w:ind w:left="1447" w:righ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To perform an ARCHITECT HAVAB-G calibration, test calibrator 1 in replicates of 3. The calibrators should be priority loaded. </w:t>
            </w:r>
          </w:p>
          <w:p w:rsidR="01ABE341" w:rsidP="7B37FACC" w:rsidRDefault="01ABE341" w14:paraId="4D814279" w14:textId="5876FF52">
            <w:pPr>
              <w:pStyle w:val="ListParagraph"/>
              <w:numPr>
                <w:ilvl w:val="2"/>
                <w:numId w:val="75"/>
              </w:numPr>
              <w:spacing w:after="200" w:line="360" w:lineRule="auto"/>
              <w:ind w:left="1447" w:right="0"/>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Recalibration of this test is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required</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when any of these conditions exist:</w:t>
            </w:r>
          </w:p>
          <w:p w:rsidR="01ABE341" w:rsidP="7B37FACC" w:rsidRDefault="01ABE341" w14:paraId="3AE558C1" w14:textId="315C0397">
            <w:pPr>
              <w:pStyle w:val="ListParagraph"/>
              <w:numPr>
                <w:ilvl w:val="3"/>
                <w:numId w:val="4"/>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 change of bottle</w:t>
            </w:r>
            <w:r w:rsidRPr="7B37FACC" w:rsidR="038800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Lot number.</w:t>
            </w:r>
          </w:p>
          <w:p w:rsidR="01ABE341" w:rsidP="7B37FACC" w:rsidRDefault="01ABE341" w14:paraId="15B79ADA" w14:textId="0DFDCCBB">
            <w:pPr>
              <w:pStyle w:val="ListParagraph"/>
              <w:numPr>
                <w:ilvl w:val="3"/>
                <w:numId w:val="4"/>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Controls are out of range.</w:t>
            </w:r>
          </w:p>
          <w:p w:rsidR="01ABE341" w:rsidP="7B37FACC" w:rsidRDefault="01ABE341" w14:paraId="40A53CA7" w14:textId="7F4D47C3">
            <w:pPr>
              <w:pStyle w:val="ListParagraph"/>
              <w:numPr>
                <w:ilvl w:val="2"/>
                <w:numId w:val="4"/>
              </w:numPr>
              <w:spacing w:after="200" w:line="360" w:lineRule="auto"/>
              <w:ind w:left="2032"/>
              <w:contextualSpacing/>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Storage and Stability of Calibrators:</w:t>
            </w:r>
          </w:p>
          <w:p w:rsidR="01ABE341" w:rsidP="7B37FACC" w:rsidRDefault="01ABE341" w14:paraId="7F43F41A" w14:textId="79CA1EDB">
            <w:pPr>
              <w:pStyle w:val="ListParagraph"/>
              <w:numPr>
                <w:ilvl w:val="3"/>
                <w:numId w:val="4"/>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Store Calibrator at 2-8·C. DO NOT FREEZE. Store vials tightly capped when not in use.</w:t>
            </w:r>
          </w:p>
          <w:p w:rsidR="01ABE341" w:rsidP="7B37FACC" w:rsidRDefault="01ABE341" w14:paraId="4C432F27" w14:textId="0EAD9615">
            <w:pPr>
              <w:pStyle w:val="ListParagraph"/>
              <w:numPr>
                <w:ilvl w:val="3"/>
                <w:numId w:val="4"/>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Stability</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of Calibrator is the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expiration</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date printed on each vial. DO NOT use any calibrator after its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expiration</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date. </w:t>
            </w:r>
          </w:p>
          <w:p w:rsidR="01ABE341" w:rsidP="7B37FACC" w:rsidRDefault="01ABE341" w14:paraId="26CB1E87" w14:textId="2C703D85">
            <w:pPr>
              <w:pStyle w:val="ListParagraph"/>
              <w:numPr>
                <w:ilvl w:val="1"/>
                <w:numId w:val="4"/>
              </w:numPr>
              <w:spacing w:after="200" w:line="360" w:lineRule="auto"/>
              <w:contextualSpacing/>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Controls</w:t>
            </w:r>
          </w:p>
          <w:p w:rsidR="01ABE341" w:rsidP="7B37FACC" w:rsidRDefault="01ABE341" w14:paraId="73C0ABC4" w14:textId="54E61208">
            <w:pPr>
              <w:pStyle w:val="ListParagraph"/>
              <w:numPr>
                <w:ilvl w:val="2"/>
                <w:numId w:val="4"/>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During operation of the Abbott Architect i1000SR analyzer, at least two levels of quality control material will be tested at a minimum of once a day (Nonreactive (Negative) &amp; Reactive (Positive) QC). </w:t>
            </w:r>
          </w:p>
          <w:p w:rsidR="01ABE341" w:rsidP="7B37FACC" w:rsidRDefault="01ABE341" w14:paraId="69F9520B" w14:textId="10F529A6">
            <w:pPr>
              <w:pStyle w:val="ListParagraph"/>
              <w:numPr>
                <w:ilvl w:val="2"/>
                <w:numId w:val="4"/>
              </w:numPr>
              <w:spacing w:after="20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addition, controls should be performed:</w:t>
            </w:r>
          </w:p>
          <w:p w:rsidR="01ABE341" w:rsidP="7B37FACC" w:rsidRDefault="01ABE341" w14:paraId="6BD246A4" w14:textId="490953D9">
            <w:pPr>
              <w:pStyle w:val="ListParagraph"/>
              <w:numPr>
                <w:ilvl w:val="3"/>
                <w:numId w:val="4"/>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After calibration.</w:t>
            </w:r>
          </w:p>
          <w:p w:rsidR="01ABE341" w:rsidP="7B37FACC" w:rsidRDefault="01ABE341" w14:paraId="0B6AEB8B" w14:textId="6BA8E6B5">
            <w:pPr>
              <w:pStyle w:val="ListParagraph"/>
              <w:numPr>
                <w:ilvl w:val="3"/>
                <w:numId w:val="4"/>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With each new lot of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reagent</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w:rsidR="01ABE341" w:rsidP="7B37FACC" w:rsidRDefault="01ABE341" w14:paraId="5E2511E9" w14:textId="3E3407AF">
            <w:pPr>
              <w:pStyle w:val="ListParagraph"/>
              <w:numPr>
                <w:ilvl w:val="2"/>
                <w:numId w:val="4"/>
              </w:numPr>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New Quality control material is poured fresh each day. The controls are ready to use and do NOT require reconstitution. Mix the contents of the vial gently by inverting the vial 3-4 times.</w:t>
            </w:r>
          </w:p>
          <w:p w:rsidR="01ABE341" w:rsidP="7B37FACC" w:rsidRDefault="01ABE341" w14:paraId="29424369" w14:textId="77C5DC89">
            <w:pPr>
              <w:pStyle w:val="ListParagraph"/>
              <w:numPr>
                <w:ilvl w:val="2"/>
                <w:numId w:val="4"/>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Storage and Stability of Controls:</w:t>
            </w:r>
          </w:p>
          <w:p w:rsidR="01ABE341" w:rsidP="7B37FACC" w:rsidRDefault="01ABE341" w14:paraId="24F18D8D" w14:textId="7EA27876">
            <w:pPr>
              <w:pStyle w:val="ListParagraph"/>
              <w:numPr>
                <w:ilvl w:val="3"/>
                <w:numId w:val="4"/>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Store Controls at 2-8·C. DO NOT FREEZE. Store control vials tightly capped when not in use.</w:t>
            </w:r>
          </w:p>
          <w:p w:rsidR="01ABE341" w:rsidP="7B37FACC" w:rsidRDefault="01ABE341" w14:paraId="2B3EE4FA" w14:textId="0B086FD0">
            <w:pPr>
              <w:pStyle w:val="ListParagraph"/>
              <w:numPr>
                <w:ilvl w:val="3"/>
                <w:numId w:val="4"/>
              </w:numPr>
              <w:spacing w:after="200" w:line="360" w:lineRule="auto"/>
              <w:contextualSpacing/>
              <w:rPr>
                <w:rFonts w:ascii="Times New Roman" w:hAnsi="Times New Roman" w:eastAsia="Calibri" w:cs="Times New Roman"/>
                <w:b w:val="0"/>
                <w:bCs w:val="0"/>
                <w:i w:val="1"/>
                <w:iCs w:val="1"/>
                <w:smallCaps w:val="1"/>
              </w:rPr>
            </w:pP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Stability of Controls is the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expiration</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date printed on each vial. DO NOT use any control after its </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expiration</w:t>
            </w:r>
            <w:r w:rsidRPr="7B37FACC" w:rsidR="01ABE3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date.</w:t>
            </w:r>
          </w:p>
          <w:p w:rsidR="4BB0459F" w:rsidP="7B37FACC" w:rsidRDefault="4BB0459F" w14:paraId="1B87A640" w14:textId="5426BD27">
            <w:pPr>
              <w:numPr>
                <w:ilvl w:val="0"/>
                <w:numId w:val="1"/>
              </w:numPr>
              <w:spacing w:line="360" w:lineRule="auto"/>
              <w:contextualSpacing/>
              <w:rPr>
                <w:rFonts w:ascii="Times New Roman" w:hAnsi="Times New Roman" w:eastAsia="Calibri" w:cs="Times New Roman"/>
                <w:i w:val="1"/>
                <w:iCs w:val="1"/>
                <w:smallCaps w:val="1"/>
              </w:rPr>
            </w:pPr>
            <w:r w:rsidRPr="7B37FACC" w:rsidR="4BB0459F">
              <w:rPr>
                <w:rFonts w:ascii="Times New Roman" w:hAnsi="Times New Roman" w:eastAsia="Calibri" w:cs="Times New Roman"/>
                <w:i w:val="1"/>
                <w:iCs w:val="1"/>
              </w:rPr>
              <w:t>PROCEDURE(S)</w:t>
            </w:r>
          </w:p>
          <w:p w:rsidR="4FDAE679" w:rsidP="7B37FACC" w:rsidRDefault="4FDAE679" w14:paraId="5E2F2BA8" w14:textId="7B475DAF">
            <w:pPr>
              <w:pStyle w:val="ListParagraph"/>
              <w:numPr>
                <w:ilvl w:val="1"/>
                <w:numId w:val="19"/>
              </w:numPr>
              <w:tabs>
                <w:tab w:val="right" w:leader="none" w:pos="6480"/>
              </w:tabs>
              <w:spacing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Specimen Receipt: The test(s) have been previously ordered at the point of collection through the EMR and populated into </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LabDaq</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Specimens are received into the main lab already labeled.</w:t>
            </w:r>
          </w:p>
          <w:p w:rsidR="4FDAE679" w:rsidP="7B37FACC" w:rsidRDefault="4FDAE679" w14:paraId="0172B178" w14:textId="50C4042B">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Specimens are scanned into </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LabDaq</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received.</w:t>
            </w:r>
          </w:p>
          <w:p w:rsidR="4FDAE679" w:rsidP="7B37FACC" w:rsidRDefault="4FDAE679" w14:paraId="2C4055D9" w14:textId="37AD8181">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Specimens are placed into sample racks. </w:t>
            </w:r>
          </w:p>
          <w:p w:rsidR="4FDAE679" w:rsidP="7B37FACC" w:rsidRDefault="4FDAE679" w14:paraId="0FEF640D" w14:textId="73023FDA">
            <w:pPr>
              <w:pStyle w:val="ListParagraph"/>
              <w:numPr>
                <w:ilvl w:val="1"/>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Specimen Processing: A Two-step assay protocol is a method of sample processing in which the sample and some reagents are added prior to washing the </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micro-particles</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conjugate reagent is added after the micro-particles are washed. Total processing time for a Two-step assay is 22 minutes including a </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15 minute</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incubation time. The following steps describe the </w:t>
            </w:r>
            <w:r w:rsidRPr="7B37FACC" w:rsidR="4FDAE67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1000SR operation and CMIA (chemiluminescent micro-particle immunoassay) reaction that occurs during Two-step assay processing. </w:t>
            </w:r>
          </w:p>
          <w:p w:rsidR="4FDAE679" w:rsidP="7B37FACC" w:rsidRDefault="4FDAE679" w14:paraId="3190DA52" w14:textId="5B8F097D">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pipettor dispenses the sample into the Reaction Vessel (RV) at position 1.</w:t>
            </w:r>
          </w:p>
          <w:p w:rsidR="4FDAE679" w:rsidP="7B37FACC" w:rsidRDefault="4FDAE679" w14:paraId="63144C3B" w14:textId="06F87FDC">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pipettor dispenses the micro-particles into the RV at position.</w:t>
            </w:r>
          </w:p>
          <w:p w:rsidR="4FDAE679" w:rsidP="7B37FACC" w:rsidRDefault="4FDAE679" w14:paraId="6A65E6C3" w14:textId="6407944C">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Vortexer</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 mixes the sample and micro-particles at position 3.</w:t>
            </w:r>
          </w:p>
          <w:p w:rsidR="4FDAE679" w:rsidP="7B37FACC" w:rsidRDefault="4FDAE679" w14:paraId="55AC025B" w14:textId="7E0E8E0D">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reaction mixture incubates for 11 minutes. (1 complete revolution around the process path track.)</w:t>
            </w:r>
          </w:p>
          <w:p w:rsidR="4FDAE679" w:rsidP="7B37FACC" w:rsidRDefault="4FDAE679" w14:paraId="68CE1619" w14:textId="1AB81216">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wash zone inlet diverter directs the RV with the reaction mixture to the outer track. The wash zone manifold washes the reaction mixture in the RV and then removes unbound materials. </w:t>
            </w:r>
          </w:p>
          <w:p w:rsidR="4FDAE679" w:rsidP="7B37FACC" w:rsidRDefault="4FDAE679" w14:paraId="4D8282F4" w14:textId="0DD6351D">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wash zone outlet diverter directs the RV back to the inner track and acridinium-labeled conjugate is added to the RV in position 2. </w:t>
            </w:r>
          </w:p>
          <w:p w:rsidR="4FDAE679" w:rsidP="7B37FACC" w:rsidRDefault="4FDAE679" w14:paraId="7CDC3421" w14:textId="5AB4ED12">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reaction mixture incubates for 4 minutes. </w:t>
            </w:r>
          </w:p>
          <w:p w:rsidR="4FDAE679" w:rsidP="7B37FACC" w:rsidRDefault="4FDAE679" w14:paraId="4E0CAAA7" w14:textId="32585553">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wash zone inlet diverter directs the RV with the reaction mixture to the outer track for a second wash. </w:t>
            </w:r>
          </w:p>
          <w:p w:rsidR="4FDAE679" w:rsidP="7B37FACC" w:rsidRDefault="4FDAE679" w14:paraId="11E737EA" w14:textId="2BF3551F">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Pre-trigger is dispensed into the RV and </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Vortexer</w:t>
            </w: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2 mixes the reaction mixture. </w:t>
            </w:r>
          </w:p>
          <w:p w:rsidR="4FDAE679" w:rsidP="7B37FACC" w:rsidRDefault="4FDAE679" w14:paraId="1054034F" w14:textId="3C3106CB">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CMIA optical system takes a background read and then trigger is dispensed into the RV with the reaction mixture. The CMIA optical system takes an activated read. </w:t>
            </w:r>
          </w:p>
          <w:p w:rsidR="4FDAE679" w:rsidP="7B37FACC" w:rsidRDefault="4FDAE679" w14:paraId="71EEC3E9" w14:textId="4401491E">
            <w:pPr>
              <w:pStyle w:val="ListParagraph"/>
              <w:numPr>
                <w:ilvl w:val="2"/>
                <w:numId w:val="19"/>
              </w:numPr>
              <w:tabs>
                <w:tab w:val="right" w:leader="none" w:pos="6480"/>
              </w:tabs>
              <w:spacing w:after="20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4FDAE6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Unloader removes the RV and disposes of it in the solid waste container.</w:t>
            </w:r>
          </w:p>
          <w:p w:rsidR="7B37FACC" w:rsidP="7B37FACC" w:rsidRDefault="7B37FACC" w14:paraId="213984F5" w14:textId="4777ECBF">
            <w:pPr>
              <w:pStyle w:val="ListParagraph"/>
              <w:tabs>
                <w:tab w:val="right" w:leader="none" w:pos="6480"/>
              </w:tabs>
              <w:spacing w:after="200" w:line="360" w:lineRule="auto"/>
              <w:ind w:left="30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Pr="008C5656" w:rsidR="002D17FF" w:rsidP="008C5656" w:rsidRDefault="002D17FF" w14:paraId="60744EAD" w14:textId="77777777">
            <w:pPr>
              <w:pStyle w:val="ListParagraph"/>
              <w:numPr>
                <w:ilvl w:val="0"/>
                <w:numId w:val="19"/>
              </w:numPr>
              <w:spacing w:line="360" w:lineRule="auto"/>
              <w:rPr>
                <w:rFonts w:ascii="Times New Roman" w:hAnsi="Times New Roman" w:eastAsia="Calibri" w:cs="Times New Roman"/>
                <w:i/>
                <w:smallCaps/>
              </w:rPr>
            </w:pPr>
            <w:r w:rsidRPr="008C5656">
              <w:rPr>
                <w:rFonts w:ascii="Times New Roman" w:hAnsi="Times New Roman" w:eastAsia="Calibri" w:cs="Times New Roman"/>
                <w:i/>
              </w:rPr>
              <w:t>REFERENCE INTERVAL OF PATIENT RESULTS</w:t>
            </w:r>
          </w:p>
          <w:p w:rsidRPr="002D17FF" w:rsidR="002D17FF" w:rsidP="008C5656" w:rsidRDefault="002D17FF" w14:paraId="68FB2261" w14:textId="77777777">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Linearity</w:t>
            </w:r>
          </w:p>
          <w:p w:rsidRPr="000A721D" w:rsidR="002D17FF" w:rsidP="009237E0" w:rsidRDefault="009237E0" w14:paraId="0562D3C9" w14:textId="77777777">
            <w:pPr>
              <w:numPr>
                <w:ilvl w:val="2"/>
                <w:numId w:val="19"/>
              </w:numPr>
              <w:spacing w:line="360" w:lineRule="auto"/>
              <w:contextualSpacing/>
              <w:rPr>
                <w:rFonts w:ascii="Times New Roman" w:hAnsi="Times New Roman" w:cs="Times New Roman"/>
                <w:b w:val="0"/>
              </w:rPr>
            </w:pPr>
            <w:r>
              <w:rPr>
                <w:rFonts w:ascii="Times New Roman" w:hAnsi="Times New Roman" w:cs="Times New Roman"/>
                <w:b w:val="0"/>
              </w:rPr>
              <w:t>N/A</w:t>
            </w:r>
          </w:p>
          <w:p w:rsidRPr="002D17FF" w:rsidR="002D17FF" w:rsidP="008C5656" w:rsidRDefault="002D17FF" w14:paraId="3B6372C1" w14:textId="77777777">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Critical Values</w:t>
            </w:r>
          </w:p>
          <w:p w:rsidRPr="002D17FF" w:rsidR="002D17FF" w:rsidP="008C5656" w:rsidRDefault="002D17FF" w14:paraId="71361A72" w14:textId="77777777">
            <w:pPr>
              <w:numPr>
                <w:ilvl w:val="2"/>
                <w:numId w:val="19"/>
              </w:numPr>
              <w:spacing w:line="360" w:lineRule="auto"/>
              <w:rPr>
                <w:rFonts w:ascii="Times New Roman" w:hAnsi="Times New Roman" w:cs="Times New Roman"/>
                <w:b w:val="0"/>
                <w:color w:val="000000"/>
              </w:rPr>
            </w:pPr>
            <w:r w:rsidRPr="002D17FF">
              <w:rPr>
                <w:rFonts w:ascii="Times New Roman" w:hAnsi="Times New Roman" w:cs="Times New Roman"/>
                <w:b w:val="0"/>
              </w:rPr>
              <w:t>N/A</w:t>
            </w:r>
          </w:p>
          <w:p w:rsidRPr="00CA3AEA" w:rsidR="00CA3AEA" w:rsidP="00CA3AEA" w:rsidRDefault="00CA3AEA" w14:paraId="684581A0" w14:textId="77777777">
            <w:pPr>
              <w:numPr>
                <w:ilvl w:val="0"/>
                <w:numId w:val="19"/>
              </w:numPr>
              <w:spacing w:line="360" w:lineRule="auto"/>
              <w:contextualSpacing/>
              <w:rPr>
                <w:rFonts w:ascii="Times New Roman" w:hAnsi="Times New Roman" w:eastAsia="Calibri" w:cs="Times New Roman"/>
                <w:i/>
                <w:smallCaps/>
              </w:rPr>
            </w:pPr>
            <w:r w:rsidRPr="00CA3AEA">
              <w:rPr>
                <w:rFonts w:ascii="Times New Roman" w:hAnsi="Times New Roman" w:eastAsia="Calibri" w:cs="Times New Roman"/>
                <w:i/>
                <w:smallCaps/>
              </w:rPr>
              <w:t>Establish QC target means and acceptance criteria upon arrival of new Lot</w:t>
            </w:r>
          </w:p>
          <w:p w:rsidRPr="00CA3AEA" w:rsidR="00CA3AEA" w:rsidP="00CA3AEA" w:rsidRDefault="00CA3AEA" w14:paraId="4D8AB78F" w14:textId="4E436CA1">
            <w:pPr>
              <w:numPr>
                <w:ilvl w:val="1"/>
                <w:numId w:val="19"/>
              </w:numPr>
              <w:spacing w:line="360" w:lineRule="auto"/>
              <w:rPr>
                <w:rFonts w:ascii="Times New Roman" w:hAnsi="Times New Roman" w:cs="Times New Roman"/>
                <w:b w:val="0"/>
              </w:rPr>
            </w:pPr>
            <w:r w:rsidRPr="00CA3AEA">
              <w:rPr>
                <w:rFonts w:ascii="Times New Roman" w:hAnsi="Times New Roman" w:cs="Times New Roman"/>
                <w:b w:val="0"/>
              </w:rPr>
              <w:t>step 1--compare new lot to manufacturer. implement via laboratory leadership approval.</w:t>
            </w:r>
          </w:p>
          <w:p w:rsidRPr="00CA3AEA" w:rsidR="00CA3AEA" w:rsidP="00CA3AEA" w:rsidRDefault="00CA3AEA" w14:paraId="5DB0D106" w14:textId="40BAB86C">
            <w:pPr>
              <w:numPr>
                <w:ilvl w:val="1"/>
                <w:numId w:val="19"/>
              </w:numPr>
              <w:spacing w:line="360" w:lineRule="auto"/>
              <w:rPr>
                <w:rFonts w:ascii="Times New Roman" w:hAnsi="Times New Roman" w:cs="Times New Roman"/>
                <w:b w:val="0"/>
              </w:rPr>
            </w:pPr>
            <w:r w:rsidRPr="00CA3AEA">
              <w:rPr>
                <w:rFonts w:ascii="Times New Roman" w:hAnsi="Times New Roman" w:cs="Times New Roman"/>
                <w:b w:val="0"/>
              </w:rPr>
              <w:t>step 2--10 replicates to establish:</w:t>
            </w:r>
          </w:p>
          <w:p w:rsidRPr="00CA3AEA" w:rsidR="00CA3AEA" w:rsidP="00CA3AEA" w:rsidRDefault="00CA3AEA" w14:paraId="634FB87B" w14:textId="478816F6">
            <w:pPr>
              <w:numPr>
                <w:ilvl w:val="2"/>
                <w:numId w:val="19"/>
              </w:numPr>
              <w:spacing w:line="360" w:lineRule="auto"/>
              <w:rPr>
                <w:rFonts w:ascii="Times New Roman" w:hAnsi="Times New Roman" w:cs="Times New Roman"/>
                <w:b w:val="0"/>
              </w:rPr>
            </w:pPr>
            <w:r w:rsidRPr="00CA3AEA">
              <w:rPr>
                <w:rFonts w:ascii="Times New Roman" w:hAnsi="Times New Roman" w:cs="Times New Roman"/>
                <w:b w:val="0"/>
              </w:rPr>
              <w:t>new mean</w:t>
            </w:r>
          </w:p>
          <w:p w:rsidRPr="00CA3AEA" w:rsidR="00CA3AEA" w:rsidP="00CA3AEA" w:rsidRDefault="00CA3AEA" w14:paraId="046536B5" w14:textId="6B1D5023">
            <w:pPr>
              <w:numPr>
                <w:ilvl w:val="2"/>
                <w:numId w:val="19"/>
              </w:numPr>
              <w:spacing w:line="360" w:lineRule="auto"/>
              <w:rPr>
                <w:rFonts w:ascii="Times New Roman" w:hAnsi="Times New Roman" w:cs="Times New Roman"/>
                <w:b w:val="0"/>
              </w:rPr>
            </w:pPr>
            <w:r w:rsidRPr="00CA3AEA">
              <w:rPr>
                <w:rFonts w:ascii="Times New Roman" w:hAnsi="Times New Roman" w:cs="Times New Roman"/>
                <w:b w:val="0"/>
              </w:rPr>
              <w:t>reactive qc 1sd set at 10%</w:t>
            </w:r>
          </w:p>
          <w:p w:rsidRPr="00CA3AEA" w:rsidR="00CA3AEA" w:rsidP="00CA3AEA" w:rsidRDefault="00CA3AEA" w14:paraId="39F06012" w14:textId="11861CD0">
            <w:pPr>
              <w:numPr>
                <w:ilvl w:val="2"/>
                <w:numId w:val="19"/>
              </w:numPr>
              <w:spacing w:line="360" w:lineRule="auto"/>
              <w:rPr>
                <w:rFonts w:ascii="Times New Roman" w:hAnsi="Times New Roman" w:cs="Times New Roman"/>
                <w:b w:val="0"/>
              </w:rPr>
            </w:pPr>
            <w:r w:rsidRPr="00CA3AEA">
              <w:rPr>
                <w:rFonts w:ascii="Times New Roman" w:hAnsi="Times New Roman" w:cs="Times New Roman"/>
                <w:b w:val="0"/>
              </w:rPr>
              <w:t>non-reactive qc set at manufacture range</w:t>
            </w:r>
          </w:p>
          <w:p w:rsidRPr="00CA3AEA" w:rsidR="00CA3AEA" w:rsidP="00CA3AEA" w:rsidRDefault="00CA3AEA" w14:paraId="55A273B8" w14:textId="25C8738A">
            <w:pPr>
              <w:numPr>
                <w:ilvl w:val="1"/>
                <w:numId w:val="19"/>
              </w:numPr>
              <w:spacing w:line="360" w:lineRule="auto"/>
              <w:rPr>
                <w:rFonts w:ascii="Times New Roman" w:hAnsi="Times New Roman" w:cs="Times New Roman"/>
                <w:b w:val="0"/>
              </w:rPr>
            </w:pPr>
            <w:r w:rsidRPr="00CA3AEA">
              <w:rPr>
                <w:rFonts w:ascii="Times New Roman" w:hAnsi="Times New Roman" w:cs="Times New Roman"/>
                <w:b w:val="0"/>
              </w:rPr>
              <w:t>mean adjustments will also be performed relative to performance trends</w:t>
            </w:r>
          </w:p>
          <w:p w:rsidRPr="002D17FF" w:rsidR="002D17FF" w:rsidP="008C5656" w:rsidRDefault="002D17FF" w14:paraId="43A17A6E" w14:textId="245AAAD1">
            <w:pPr>
              <w:numPr>
                <w:ilvl w:val="0"/>
                <w:numId w:val="19"/>
              </w:numPr>
              <w:spacing w:line="360" w:lineRule="auto"/>
              <w:contextualSpacing/>
              <w:rPr>
                <w:rFonts w:ascii="Times New Roman" w:hAnsi="Times New Roman" w:eastAsia="Calibri" w:cs="Times New Roman"/>
                <w:i/>
                <w:smallCaps/>
              </w:rPr>
            </w:pPr>
            <w:r w:rsidRPr="002D17FF">
              <w:rPr>
                <w:rFonts w:ascii="Times New Roman" w:hAnsi="Times New Roman" w:eastAsia="Calibri" w:cs="Times New Roman"/>
                <w:i/>
              </w:rPr>
              <w:t>CALCULATIONS</w:t>
            </w:r>
          </w:p>
          <w:p w:rsidRPr="002D17FF" w:rsidR="0098406E" w:rsidP="00FC318F" w:rsidRDefault="009237E0" w14:paraId="24E2A0E9" w14:textId="0228452A">
            <w:pPr>
              <w:numPr>
                <w:ilvl w:val="1"/>
                <w:numId w:val="19"/>
              </w:numPr>
              <w:spacing w:line="360" w:lineRule="auto"/>
              <w:contextualSpacing/>
              <w:rPr>
                <w:rFonts w:ascii="Times New Roman" w:hAnsi="Times New Roman" w:eastAsia="Calibri" w:cs="Times New Roman"/>
                <w:b w:val="0"/>
                <w:bCs w:val="0"/>
                <w:smallCaps w:val="1"/>
              </w:rPr>
            </w:pPr>
            <w:r w:rsidRPr="7B37FACC" w:rsidR="02792E5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ARCHITECT iSystem calculates the cutoff RLU from the mean RLU of 3 replicates of Calibrator 1 and stores the result. The cutoff RLU is determined by multiplying the Calibrator 1 Mean RLU by 0.29. Cutoff RLU = Calibrator 1 Mean RLU x 0.29 The ARCHITECT i System calculates the S/CO result for each specimen and control as follows: S/CO = Sample RLU / Cutoff RLU.</w:t>
            </w:r>
            <w:r w:rsidRPr="7B37FACC" w:rsidR="7CE97377">
              <w:rPr>
                <w:rFonts w:ascii="Times New Roman" w:hAnsi="Times New Roman" w:eastAsia="Calibri" w:cs="Times New Roman"/>
                <w:b w:val="0"/>
                <w:bCs w:val="0"/>
              </w:rPr>
              <w:t xml:space="preserve"> </w:t>
            </w:r>
          </w:p>
          <w:p w:rsidRPr="002D17FF" w:rsidR="002D17FF" w:rsidP="008C5656" w:rsidRDefault="002D17FF" w14:paraId="2543C10B" w14:textId="77777777">
            <w:pPr>
              <w:numPr>
                <w:ilvl w:val="0"/>
                <w:numId w:val="19"/>
              </w:numPr>
              <w:spacing w:line="360" w:lineRule="auto"/>
              <w:contextualSpacing/>
              <w:rPr>
                <w:rFonts w:ascii="Times New Roman" w:hAnsi="Times New Roman" w:eastAsia="Calibri" w:cs="Times New Roman"/>
                <w:i/>
                <w:smallCaps/>
              </w:rPr>
            </w:pPr>
            <w:r w:rsidRPr="002D17FF">
              <w:rPr>
                <w:rFonts w:ascii="Times New Roman" w:hAnsi="Times New Roman" w:eastAsia="Calibri" w:cs="Times New Roman"/>
                <w:i/>
              </w:rPr>
              <w:t>INTREPTATION OF RESULTS</w:t>
            </w:r>
          </w:p>
          <w:p w:rsidR="00530F2E" w:rsidP="008C5656" w:rsidRDefault="00E152FA" w14:paraId="335197E4" w14:textId="77777777">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See Table Below </w:t>
            </w:r>
            <w:proofErr w:type="gramStart"/>
            <w:r>
              <w:rPr>
                <w:rFonts w:ascii="Times New Roman" w:hAnsi="Times New Roman" w:cs="Times New Roman"/>
                <w:b w:val="0"/>
              </w:rPr>
              <w:t>For</w:t>
            </w:r>
            <w:proofErr w:type="gramEnd"/>
            <w:r>
              <w:rPr>
                <w:rFonts w:ascii="Times New Roman" w:hAnsi="Times New Roman" w:cs="Times New Roman"/>
                <w:b w:val="0"/>
              </w:rPr>
              <w:t xml:space="preserve"> Interpretation of Results: </w:t>
            </w:r>
          </w:p>
          <w:tbl>
            <w:tblPr>
              <w:tblStyle w:val="TableGrid"/>
              <w:tblW w:w="9046" w:type="dxa"/>
              <w:tblLook w:val="04A0" w:firstRow="1" w:lastRow="0" w:firstColumn="1" w:lastColumn="0" w:noHBand="0" w:noVBand="1"/>
            </w:tblPr>
            <w:tblGrid>
              <w:gridCol w:w="2222"/>
              <w:gridCol w:w="3405"/>
              <w:gridCol w:w="3419"/>
            </w:tblGrid>
            <w:tr w:rsidRPr="00654E6B" w:rsidR="0065052E" w:rsidTr="7B37FACC" w14:paraId="2535621E" w14:textId="77777777">
              <w:trPr>
                <w:trHeight w:val="300"/>
              </w:trPr>
              <w:tc>
                <w:tcPr>
                  <w:tcW w:w="9046" w:type="dxa"/>
                  <w:gridSpan w:val="3"/>
                  <w:tcMar/>
                </w:tcPr>
                <w:p w:rsidRPr="00654E6B" w:rsidR="0065052E" w:rsidP="7B37FACC" w:rsidRDefault="0065052E" w14:paraId="5C3CD7F3" w14:textId="5688C931">
                  <w:pPr>
                    <w:pStyle w:val="Normal"/>
                    <w:jc w:val="center"/>
                    <w:rPr>
                      <w:rFonts w:ascii="Times New Roman" w:hAnsi="Times New Roman" w:eastAsia="Times New Roman" w:cs="Times New Roman"/>
                      <w:noProof w:val="0"/>
                      <w:sz w:val="22"/>
                      <w:szCs w:val="22"/>
                      <w:lang w:val="en-US"/>
                    </w:rPr>
                  </w:pPr>
                  <w:r w:rsidRPr="7B37FACC" w:rsidR="3D2C9D1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ARCHITECT HAVAB-G</w:t>
                  </w:r>
                  <w:r w:rsidRPr="7B37FACC" w:rsidR="3D2C9D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B37FACC" w:rsidR="3D2C9D1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Interpretation</w:t>
                  </w:r>
                </w:p>
              </w:tc>
            </w:tr>
            <w:tr w:rsidRPr="00654E6B" w:rsidR="0065052E" w:rsidTr="7B37FACC" w14:paraId="771E41CA" w14:textId="77777777">
              <w:trPr>
                <w:trHeight w:val="300"/>
              </w:trPr>
              <w:tc>
                <w:tcPr>
                  <w:tcW w:w="2222" w:type="dxa"/>
                  <w:tcMar/>
                </w:tcPr>
                <w:p w:rsidR="7B37FACC" w:rsidP="7B37FACC" w:rsidRDefault="7B37FACC" w14:paraId="1E7F9425" w14:textId="395DCEF8">
                  <w:pPr>
                    <w:spacing w:after="200"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Result (S/CO)</w:t>
                  </w:r>
                </w:p>
                <w:p w:rsidR="7B37FACC" w:rsidP="7B37FACC" w:rsidRDefault="7B37FACC" w14:paraId="2F009553" w14:textId="0173E468">
                  <w:pPr>
                    <w:spacing w:after="200"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rPr>
                  </w:pPr>
                </w:p>
              </w:tc>
              <w:tc>
                <w:tcPr>
                  <w:tcW w:w="3405" w:type="dxa"/>
                  <w:tcMar/>
                </w:tcPr>
                <w:p w:rsidR="7B37FACC" w:rsidP="7B37FACC" w:rsidRDefault="7B37FACC" w14:paraId="387A12AB" w14:textId="57FC2393">
                  <w:pPr>
                    <w:spacing w:after="200"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Instrument Interpretation</w:t>
                  </w:r>
                </w:p>
              </w:tc>
              <w:tc>
                <w:tcPr>
                  <w:tcW w:w="3419" w:type="dxa"/>
                  <w:tcMar/>
                </w:tcPr>
                <w:p w:rsidR="7B37FACC" w:rsidP="7B37FACC" w:rsidRDefault="7B37FACC" w14:paraId="64EA168F" w14:textId="5C81FA6C">
                  <w:pPr>
                    <w:spacing w:after="200"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Final Interpretation</w:t>
                  </w:r>
                </w:p>
              </w:tc>
            </w:tr>
            <w:tr w:rsidRPr="00654E6B" w:rsidR="0065052E" w:rsidTr="7B37FACC" w14:paraId="6A8D20FE" w14:textId="77777777">
              <w:trPr>
                <w:trHeight w:val="300"/>
              </w:trPr>
              <w:tc>
                <w:tcPr>
                  <w:tcW w:w="2222" w:type="dxa"/>
                  <w:tcMar/>
                </w:tcPr>
                <w:p w:rsidR="7B37FACC" w:rsidP="7B37FACC" w:rsidRDefault="7B37FACC" w14:paraId="15FFB309" w14:textId="58DCCC95">
                  <w:pPr>
                    <w:spacing w:after="200" w:line="276"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&lt; 1.00</w:t>
                  </w:r>
                </w:p>
              </w:tc>
              <w:tc>
                <w:tcPr>
                  <w:tcW w:w="3405" w:type="dxa"/>
                  <w:tcMar/>
                </w:tcPr>
                <w:p w:rsidR="7B37FACC" w:rsidP="7B37FACC" w:rsidRDefault="7B37FACC" w14:paraId="2FAEE443" w14:textId="5B0396CA">
                  <w:pPr>
                    <w:spacing w:after="200" w:line="276"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NONREACTIVE</w:t>
                  </w:r>
                </w:p>
              </w:tc>
              <w:tc>
                <w:tcPr>
                  <w:tcW w:w="3419" w:type="dxa"/>
                  <w:tcMar/>
                </w:tcPr>
                <w:p w:rsidR="7B37FACC" w:rsidP="7B37FACC" w:rsidRDefault="7B37FACC" w14:paraId="3C1FAD56" w14:textId="6F42EFA1">
                  <w:pPr>
                    <w:spacing w:after="200" w:line="276"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IgG anti-HAV not detected.</w:t>
                  </w:r>
                </w:p>
              </w:tc>
            </w:tr>
            <w:tr w:rsidRPr="00654E6B" w:rsidR="0098406E" w:rsidTr="7B37FACC" w14:paraId="6171AC67" w14:textId="77777777">
              <w:trPr>
                <w:trHeight w:val="300"/>
              </w:trPr>
              <w:tc>
                <w:tcPr>
                  <w:tcW w:w="2222" w:type="dxa"/>
                  <w:tcMar/>
                </w:tcPr>
                <w:p w:rsidR="7B37FACC" w:rsidP="7B37FACC" w:rsidRDefault="7B37FACC" w14:paraId="5C39369E" w14:textId="0DB749A0">
                  <w:pPr>
                    <w:spacing w:after="200" w:line="276"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 1.00</w:t>
                  </w:r>
                </w:p>
              </w:tc>
              <w:tc>
                <w:tcPr>
                  <w:tcW w:w="3405" w:type="dxa"/>
                  <w:tcMar/>
                </w:tcPr>
                <w:p w:rsidR="7B37FACC" w:rsidP="7B37FACC" w:rsidRDefault="7B37FACC" w14:paraId="44BD09DA" w14:textId="5C9BA182">
                  <w:pPr>
                    <w:spacing w:after="200" w:line="276"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REACTIVE.</w:t>
                  </w:r>
                </w:p>
              </w:tc>
              <w:tc>
                <w:tcPr>
                  <w:tcW w:w="3419" w:type="dxa"/>
                  <w:tcMar/>
                </w:tcPr>
                <w:p w:rsidR="7B37FACC" w:rsidP="7B37FACC" w:rsidRDefault="7B37FACC" w14:paraId="512BE8C6" w14:textId="50ADE9DB">
                  <w:pPr>
                    <w:spacing w:after="200" w:line="276"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r w:rsidRPr="7B37FACC" w:rsidR="7B37FAC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IgG anti-HAV detected.</w:t>
                  </w:r>
                </w:p>
              </w:tc>
            </w:tr>
          </w:tbl>
          <w:p w:rsidR="7B37FACC" w:rsidRDefault="7B37FACC" w14:paraId="2255CCDD" w14:textId="2367B151"/>
          <w:p w:rsidR="0065052E" w:rsidP="0065052E" w:rsidRDefault="0065052E" w14:paraId="53332E8B" w14:textId="77777777">
            <w:pPr>
              <w:spacing w:line="360" w:lineRule="auto"/>
              <w:rPr>
                <w:rFonts w:ascii="Times New Roman" w:hAnsi="Times New Roman" w:cs="Times New Roman"/>
                <w:b w:val="0"/>
              </w:rPr>
            </w:pPr>
          </w:p>
          <w:p w:rsidRPr="002D17FF" w:rsidR="002D17FF" w:rsidP="008C5656" w:rsidRDefault="002D17FF" w14:paraId="3133EB30" w14:textId="77777777">
            <w:pPr>
              <w:numPr>
                <w:ilvl w:val="0"/>
                <w:numId w:val="19"/>
              </w:numPr>
              <w:spacing w:line="360" w:lineRule="auto"/>
              <w:contextualSpacing/>
              <w:rPr>
                <w:rFonts w:ascii="Times New Roman" w:hAnsi="Times New Roman" w:eastAsia="Calibri" w:cs="Times New Roman"/>
                <w:i/>
                <w:smallCaps/>
              </w:rPr>
            </w:pPr>
            <w:r w:rsidRPr="002D17FF">
              <w:rPr>
                <w:rFonts w:ascii="Times New Roman" w:hAnsi="Times New Roman" w:eastAsia="Calibri" w:cs="Times New Roman"/>
                <w:i/>
              </w:rPr>
              <w:t>REPORTING</w:t>
            </w:r>
          </w:p>
          <w:p w:rsidRPr="002D17FF" w:rsidR="002D17FF" w:rsidP="008C5656" w:rsidRDefault="002D17FF" w14:paraId="2FD24B42" w14:textId="77777777">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Report Transmission</w:t>
            </w:r>
          </w:p>
          <w:p w:rsidRPr="002D17FF" w:rsidR="002D17FF" w:rsidP="008C5656" w:rsidRDefault="002D17FF" w14:paraId="319DED02" w14:textId="77777777">
            <w:pPr>
              <w:numPr>
                <w:ilvl w:val="2"/>
                <w:numId w:val="19"/>
              </w:numPr>
              <w:spacing w:line="360" w:lineRule="auto"/>
              <w:rPr>
                <w:rFonts w:ascii="Times New Roman" w:hAnsi="Times New Roman" w:cs="Times New Roman"/>
                <w:b w:val="0"/>
              </w:rPr>
            </w:pPr>
            <w:r w:rsidRPr="002D17FF">
              <w:rPr>
                <w:rFonts w:ascii="Times New Roman" w:hAnsi="Times New Roman" w:cs="Times New Roman"/>
                <w:b w:val="0"/>
              </w:rPr>
              <w:t xml:space="preserve">Patient test results uploaded into LABDAQ are reviewed by designated personnel and released for transmission into EMR chart via interface; results within the normal are transmitted to EMR via Auto-verification. </w:t>
            </w:r>
          </w:p>
          <w:p w:rsidRPr="002D17FF" w:rsidR="002D17FF" w:rsidP="008C5656" w:rsidRDefault="002D17FF" w14:paraId="129A2AE3" w14:textId="77777777">
            <w:pPr>
              <w:numPr>
                <w:ilvl w:val="0"/>
                <w:numId w:val="19"/>
              </w:numPr>
              <w:spacing w:line="360" w:lineRule="auto"/>
              <w:contextualSpacing/>
              <w:rPr>
                <w:rFonts w:ascii="Times New Roman" w:hAnsi="Times New Roman" w:eastAsia="Calibri" w:cs="Times New Roman"/>
                <w:i/>
                <w:smallCaps/>
              </w:rPr>
            </w:pPr>
            <w:r w:rsidRPr="7B37FACC" w:rsidR="002D17FF">
              <w:rPr>
                <w:rFonts w:ascii="Times New Roman" w:hAnsi="Times New Roman" w:eastAsia="Calibri" w:cs="Times New Roman"/>
                <w:i w:val="1"/>
                <w:iCs w:val="1"/>
              </w:rPr>
              <w:t>LIMITATIONS</w:t>
            </w:r>
          </w:p>
          <w:p w:rsidR="3943B7BA" w:rsidP="7B37FACC" w:rsidRDefault="3943B7BA" w14:paraId="15696538" w14:textId="1DD93D31">
            <w:pPr>
              <w:numPr>
                <w:ilvl w:val="1"/>
                <w:numId w:val="19"/>
              </w:numPr>
              <w:spacing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If the ARCHITECT HAVAB-G results are inconsistent with clinical evidence, </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additional</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testing is suggested to confirm the result.</w:t>
            </w:r>
          </w:p>
          <w:p w:rsidR="3943B7BA" w:rsidP="7B37FACC" w:rsidRDefault="3943B7BA" w14:paraId="7E0CCE57" w14:textId="1FD2E852">
            <w:pPr>
              <w:pStyle w:val="ListParagraph"/>
              <w:numPr>
                <w:ilvl w:val="1"/>
                <w:numId w:val="19"/>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Specimens from patients who have received preparations of mouse monoclonal antibodies for diagnosis or therapy may </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contain</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human anti-mouse antibodies (HAMA). </w:t>
            </w:r>
          </w:p>
          <w:p w:rsidR="3943B7BA" w:rsidP="7B37FACC" w:rsidRDefault="3943B7BA" w14:paraId="745CAE13" w14:textId="6A7ABAC2">
            <w:pPr>
              <w:pStyle w:val="ListParagraph"/>
              <w:numPr>
                <w:ilvl w:val="1"/>
                <w:numId w:val="19"/>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Specimens </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containing</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HAMA may show either falsely elevated or depressed values when tested with assay kits such as ARCHITECT HAVAB-G that employ mouse monoclonal antibodies. </w:t>
            </w:r>
          </w:p>
          <w:p w:rsidR="3943B7BA" w:rsidP="7B37FACC" w:rsidRDefault="3943B7BA" w14:paraId="26D8195F" w14:textId="1E0D09E0">
            <w:pPr>
              <w:pStyle w:val="ListParagraph"/>
              <w:numPr>
                <w:ilvl w:val="1"/>
                <w:numId w:val="19"/>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Specimens from individuals with anti-E. coli, anti-CMV, or hemodialysis patients may cross-react with this assay. </w:t>
            </w:r>
          </w:p>
          <w:p w:rsidR="3943B7BA" w:rsidP="7B37FACC" w:rsidRDefault="3943B7BA" w14:paraId="617C258B" w14:textId="61AB01D6">
            <w:pPr>
              <w:pStyle w:val="ListParagraph"/>
              <w:numPr>
                <w:ilvl w:val="1"/>
                <w:numId w:val="19"/>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Heterophilic antibodies in human serum can react with reagent immunoglobulins, interfering with in vitro immunoassays. Patients routinely exposed to animals or to animal serum products can be prone to this interference and anomalous results may be observed</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943B7BA" w:rsidP="7B37FACC" w:rsidRDefault="3943B7BA" w14:paraId="759FC2EE" w14:textId="2F8646D1">
            <w:pPr>
              <w:pStyle w:val="ListParagraph"/>
              <w:numPr>
                <w:ilvl w:val="1"/>
                <w:numId w:val="19"/>
              </w:numPr>
              <w:spacing w:after="200" w:line="36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Specimens </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containing</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low antibody concentrations (near the cutoff) assayed after a freeze/thaw may </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exhibit</w:t>
            </w:r>
            <w:r w:rsidRPr="7B37FACC" w:rsidR="3943B7B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elevated values that may be false positive.</w:t>
            </w:r>
          </w:p>
          <w:p w:rsidR="7B37FACC" w:rsidP="7B37FACC" w:rsidRDefault="7B37FACC" w14:paraId="0C202D4B" w14:textId="4B484770">
            <w:pPr>
              <w:spacing w:line="360" w:lineRule="auto"/>
              <w:ind w:left="1762"/>
              <w:contextualSpacing/>
              <w:rPr>
                <w:rFonts w:ascii="Times New Roman" w:hAnsi="Times New Roman" w:cs="Times New Roman"/>
                <w:b w:val="0"/>
                <w:bCs w:val="0"/>
              </w:rPr>
            </w:pPr>
          </w:p>
          <w:p w:rsidRPr="0065052E" w:rsidR="002D17FF" w:rsidP="008C5656" w:rsidRDefault="002D17FF" w14:paraId="0ECEB487" w14:textId="77777777">
            <w:pPr>
              <w:pStyle w:val="ListParagraph"/>
              <w:numPr>
                <w:ilvl w:val="0"/>
                <w:numId w:val="19"/>
              </w:numPr>
              <w:spacing w:line="360" w:lineRule="auto"/>
              <w:rPr>
                <w:rFonts w:ascii="Times New Roman" w:hAnsi="Times New Roman" w:eastAsia="Calibri" w:cs="Times New Roman"/>
                <w:i/>
                <w:smallCaps/>
              </w:rPr>
            </w:pPr>
            <w:r w:rsidRPr="0065052E">
              <w:rPr>
                <w:rFonts w:ascii="Times New Roman" w:hAnsi="Times New Roman" w:eastAsia="Calibri" w:cs="Times New Roman"/>
                <w:i/>
              </w:rPr>
              <w:t>TROUBLESHOOTING</w:t>
            </w:r>
          </w:p>
          <w:p w:rsidRPr="002D17FF" w:rsidR="002D17FF" w:rsidP="008C5656" w:rsidRDefault="002D17FF" w14:paraId="2AF0566B" w14:textId="77777777">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Notify Laboratory Manager.</w:t>
            </w:r>
          </w:p>
          <w:p w:rsidRPr="00E152FA" w:rsidR="002D17FF" w:rsidP="008C5656" w:rsidRDefault="002D17FF" w14:paraId="61300343" w14:textId="77777777">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 xml:space="preserve">See the </w:t>
            </w:r>
            <w:r w:rsidRPr="00E152FA" w:rsidR="0065052E">
              <w:rPr>
                <w:rFonts w:ascii="Times New Roman" w:hAnsi="Times New Roman" w:cs="Times New Roman"/>
                <w:b w:val="0"/>
              </w:rPr>
              <w:t>Abbott ARCHITECT i1000SR</w:t>
            </w:r>
            <w:r w:rsidR="00E152FA">
              <w:rPr>
                <w:rFonts w:ascii="Times New Roman" w:hAnsi="Times New Roman" w:cs="Times New Roman"/>
                <w:b w:val="0"/>
              </w:rPr>
              <w:t xml:space="preserve"> Operators’ Manual or go to link </w:t>
            </w:r>
            <w:hyperlink w:history="1" r:id="rId12">
              <w:r w:rsidRPr="00FF3B91" w:rsidR="00E152FA">
                <w:rPr>
                  <w:rStyle w:val="Hyperlink"/>
                  <w:rFonts w:ascii="Times New Roman" w:hAnsi="Times New Roman" w:cs="Times New Roman"/>
                </w:rPr>
                <w:t>http://yeec.com/uploadimages1/forum/abbott/rchitect_c4000I1000.pdf</w:t>
              </w:r>
            </w:hyperlink>
            <w:r w:rsidR="00E152FA">
              <w:rPr>
                <w:rFonts w:ascii="Times New Roman" w:hAnsi="Times New Roman" w:cs="Times New Roman"/>
                <w:b w:val="0"/>
              </w:rPr>
              <w:t xml:space="preserve">. </w:t>
            </w:r>
          </w:p>
          <w:p w:rsidRPr="00E152FA" w:rsidR="002D17FF" w:rsidP="008C5656" w:rsidRDefault="0065052E" w14:paraId="09FA0A9E" w14:textId="77777777">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rPr>
              <w:t>Abbott Architect i1000SR</w:t>
            </w:r>
            <w:r w:rsidRPr="00E152FA" w:rsidR="002D17FF">
              <w:rPr>
                <w:rFonts w:ascii="Times New Roman" w:hAnsi="Times New Roman" w:cs="Times New Roman"/>
                <w:b w:val="0"/>
              </w:rPr>
              <w:t>: Call Technical Support</w:t>
            </w:r>
            <w:r w:rsidRPr="00E152FA" w:rsidR="00E152FA">
              <w:rPr>
                <w:rFonts w:ascii="Times New Roman" w:hAnsi="Times New Roman" w:cs="Times New Roman"/>
                <w:b w:val="0"/>
              </w:rPr>
              <w:t xml:space="preserve"> 1-877-422-2688</w:t>
            </w:r>
            <w:r w:rsidRPr="00E152FA" w:rsidR="002D17FF">
              <w:rPr>
                <w:rFonts w:ascii="Times New Roman" w:hAnsi="Times New Roman" w:cs="Times New Roman"/>
                <w:b w:val="0"/>
              </w:rPr>
              <w:t xml:space="preserve">, and SN # </w:t>
            </w:r>
            <w:r w:rsidRPr="00E152FA" w:rsidR="00E152FA">
              <w:rPr>
                <w:rFonts w:ascii="Times New Roman" w:hAnsi="Times New Roman" w:cs="Times New Roman"/>
                <w:b w:val="0"/>
              </w:rPr>
              <w:t>ISR 55194</w:t>
            </w:r>
            <w:r w:rsidR="00E152FA">
              <w:rPr>
                <w:rFonts w:ascii="Times New Roman" w:hAnsi="Times New Roman" w:cs="Times New Roman"/>
                <w:b w:val="0"/>
              </w:rPr>
              <w:t>.</w:t>
            </w:r>
          </w:p>
          <w:p w:rsidRPr="00271D9C" w:rsidR="002D17FF" w:rsidP="00271D9C" w:rsidRDefault="00271D9C" w14:paraId="58760ABE" w14:textId="77777777">
            <w:pPr>
              <w:numPr>
                <w:ilvl w:val="0"/>
                <w:numId w:val="19"/>
              </w:numPr>
              <w:spacing w:line="360" w:lineRule="auto"/>
              <w:contextualSpacing/>
              <w:rPr>
                <w:rFonts w:ascii="Times New Roman" w:hAnsi="Times New Roman" w:cs="Times New Roman"/>
                <w:i/>
                <w:smallCaps/>
              </w:rPr>
            </w:pPr>
            <w:r w:rsidRPr="00271D9C">
              <w:rPr>
                <w:rFonts w:ascii="Times New Roman" w:hAnsi="Times New Roman" w:cs="Times New Roman"/>
                <w:i/>
                <w:smallCaps/>
              </w:rPr>
              <w:t xml:space="preserve"> </w:t>
            </w:r>
            <w:r w:rsidRPr="00271D9C">
              <w:rPr>
                <w:rFonts w:ascii="Times New Roman" w:hAnsi="Times New Roman" w:eastAsia="Calibri" w:cs="Times New Roman"/>
                <w:i/>
              </w:rPr>
              <w:t>PERFORMANCE CHARACTERISTICS</w:t>
            </w:r>
          </w:p>
          <w:p w:rsidRPr="002D17FF" w:rsidR="002D17FF" w:rsidP="002D17FF" w:rsidRDefault="0065052E" w14:paraId="4386EF78" w14:textId="77777777">
            <w:pPr>
              <w:spacing w:after="160" w:line="360" w:lineRule="auto"/>
              <w:ind w:left="360"/>
              <w:contextualSpacing/>
              <w:rPr>
                <w:rFonts w:ascii="Times New Roman" w:hAnsi="Times New Roman" w:cs="Times New Roman"/>
                <w:b w:val="0"/>
                <w:iCs/>
                <w:smallCaps/>
              </w:rPr>
            </w:pPr>
            <w:r>
              <w:rPr>
                <w:rFonts w:ascii="Times New Roman" w:hAnsi="Times New Roman" w:cs="Times New Roman"/>
                <w:b w:val="0"/>
                <w:iCs/>
                <w:smallCaps/>
              </w:rPr>
              <w:t xml:space="preserve">REFER TO THE </w:t>
            </w:r>
            <w:r w:rsidR="00271D9C">
              <w:rPr>
                <w:rFonts w:ascii="Times New Roman" w:hAnsi="Times New Roman" w:cs="Times New Roman"/>
                <w:b w:val="0"/>
                <w:iCs/>
                <w:smallCaps/>
              </w:rPr>
              <w:t>A</w:t>
            </w:r>
            <w:r>
              <w:rPr>
                <w:rFonts w:ascii="Times New Roman" w:hAnsi="Times New Roman" w:cs="Times New Roman"/>
                <w:b w:val="0"/>
                <w:iCs/>
                <w:smallCaps/>
              </w:rPr>
              <w:t xml:space="preserve">RCHITECT </w:t>
            </w:r>
            <w:r w:rsidR="00B34BB6">
              <w:rPr>
                <w:rFonts w:ascii="Times New Roman" w:hAnsi="Times New Roman" w:cs="Times New Roman"/>
                <w:b w:val="0"/>
                <w:iCs/>
                <w:smallCaps/>
              </w:rPr>
              <w:t>AUSAB</w:t>
            </w:r>
            <w:r w:rsidR="00EA5F28">
              <w:rPr>
                <w:rFonts w:ascii="Times New Roman" w:hAnsi="Times New Roman" w:cs="Times New Roman"/>
                <w:b w:val="0"/>
                <w:iCs/>
                <w:smallCaps/>
              </w:rPr>
              <w:t xml:space="preserve"> INSERT</w:t>
            </w:r>
            <w:r>
              <w:rPr>
                <w:rFonts w:ascii="Times New Roman" w:hAnsi="Times New Roman" w:cs="Times New Roman"/>
                <w:b w:val="0"/>
                <w:iCs/>
                <w:smallCaps/>
              </w:rPr>
              <w:t xml:space="preserve"> FOR PERFORMANCE CHARACTERISTICS AND VALIDATION STUDIES COMPLETED BY CLEANSLATE.</w:t>
            </w:r>
          </w:p>
          <w:p w:rsidRPr="002D17FF" w:rsidR="002D17FF" w:rsidP="7B37FACC" w:rsidRDefault="002D17FF" w14:paraId="4A7E0BE7" w14:textId="6ED6CF45">
            <w:pPr>
              <w:autoSpaceDE w:val="0"/>
              <w:autoSpaceDN w:val="0"/>
              <w:adjustRightInd w:val="0"/>
              <w:jc w:val="center"/>
              <w:rPr>
                <w:rFonts w:ascii="Times New Roman" w:hAnsi="Times New Roman" w:cs="Times New Roman"/>
                <w:b w:val="0"/>
                <w:bCs w:val="0"/>
              </w:rPr>
            </w:pPr>
          </w:p>
          <w:p w:rsidRPr="002D17FF" w:rsidR="002D17FF" w:rsidP="00DB017B" w:rsidRDefault="002D17FF" w14:paraId="2A9D9D45" w14:textId="06DE400C">
            <w:pPr>
              <w:autoSpaceDE w:val="0"/>
              <w:autoSpaceDN w:val="0"/>
              <w:adjustRightInd w:val="0"/>
              <w:jc w:val="center"/>
              <w:rPr>
                <w:rFonts w:ascii="Times New Roman" w:hAnsi="Times New Roman" w:cs="Times New Roman"/>
                <w:b w:val="0"/>
                <w:bCs w:val="0"/>
              </w:rPr>
            </w:pPr>
          </w:p>
        </w:tc>
      </w:tr>
    </w:tbl>
    <w:p w:rsidRPr="002D17FF" w:rsidR="002D17FF" w:rsidP="002D17FF" w:rsidRDefault="002D17FF" w14:paraId="2B922057" w14:textId="77777777">
      <w:pPr>
        <w:spacing w:after="0" w:line="240" w:lineRule="auto"/>
        <w:rPr>
          <w:rFonts w:ascii="Times New Roman" w:hAnsi="Times New Roman" w:cs="Times New Roman"/>
        </w:rPr>
      </w:pPr>
    </w:p>
    <w:tbl>
      <w:tblPr>
        <w:tblStyle w:val="GridTable1Light-Accent111"/>
        <w:tblW w:w="0" w:type="auto"/>
        <w:tblBorders>
          <w:top w:val="single" w:color="B8CCE4" w:themeColor="accent1" w:themeTint="66" w:sz="12" w:space="0"/>
          <w:left w:val="single" w:color="B8CCE4" w:themeColor="accent1" w:themeTint="66" w:sz="12" w:space="0"/>
          <w:bottom w:val="single" w:color="B8CCE4" w:themeColor="accent1" w:themeTint="66" w:sz="12" w:space="0"/>
          <w:right w:val="single" w:color="B8CCE4" w:themeColor="accent1" w:themeTint="66" w:sz="12" w:space="0"/>
        </w:tblBorders>
        <w:tblLayout w:type="fixed"/>
        <w:tblLook w:val="04A0" w:firstRow="1" w:lastRow="0" w:firstColumn="1" w:lastColumn="0" w:noHBand="0" w:noVBand="1"/>
      </w:tblPr>
      <w:tblGrid>
        <w:gridCol w:w="2088"/>
        <w:gridCol w:w="7262"/>
      </w:tblGrid>
      <w:tr w:rsidRPr="002D17FF" w:rsidR="002D17FF" w:rsidTr="7B37FACC" w14:paraId="1E3FD1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bottom w:val="none" w:color="auto" w:sz="0" w:space="0"/>
            </w:tcBorders>
            <w:tcMar/>
          </w:tcPr>
          <w:p w:rsidRPr="002D17FF" w:rsidR="002D17FF" w:rsidP="002D17FF" w:rsidRDefault="002D17FF" w14:paraId="1FEF76DC" w14:textId="77777777">
            <w:pPr>
              <w:spacing w:after="160" w:line="259" w:lineRule="auto"/>
              <w:rPr>
                <w:rFonts w:ascii="Times New Roman" w:hAnsi="Times New Roman" w:cs="Times New Roman"/>
              </w:rPr>
            </w:pPr>
            <w:bookmarkStart w:name="_Hlk525813919" w:id="1"/>
            <w:r w:rsidRPr="002D17FF">
              <w:rPr>
                <w:rFonts w:ascii="Times New Roman" w:hAnsi="Times New Roman" w:eastAsia="Times New Roman" w:cs="Times New Roman"/>
              </w:rPr>
              <w:t>REFERENCES:</w:t>
            </w:r>
          </w:p>
        </w:tc>
        <w:tc>
          <w:tcPr>
            <w:cnfStyle w:val="000000000000" w:firstRow="0" w:lastRow="0" w:firstColumn="0" w:lastColumn="0" w:oddVBand="0" w:evenVBand="0" w:oddHBand="0" w:evenHBand="0" w:firstRowFirstColumn="0" w:firstRowLastColumn="0" w:lastRowFirstColumn="0" w:lastRowLastColumn="0"/>
            <w:tcW w:w="7262" w:type="dxa"/>
            <w:tcBorders>
              <w:bottom w:val="none" w:color="auto" w:sz="0" w:space="0"/>
            </w:tcBorders>
            <w:shd w:val="clear" w:color="auto" w:fill="auto"/>
            <w:tcMar/>
          </w:tcPr>
          <w:p w:rsidRPr="002D17FF" w:rsidR="002D17FF" w:rsidP="106FE4B7" w:rsidRDefault="002D17FF" w14:textId="77777777" w14:noSpellErr="1" w14:paraId="0E303BEA">
            <w:pPr>
              <w:numPr>
                <w:ilvl w:val="0"/>
                <w:numId w:val="3"/>
              </w:numPr>
              <w:autoSpaceDE w:val="0"/>
              <w:autoSpaceDN w:val="0"/>
              <w:adjustRightInd w:val="0"/>
              <w:spacing w:line="360" w:lineRule="auto"/>
              <w:ind/>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sidR="61324387">
              <w:rPr>
                <w:rFonts w:ascii="Times New Roman" w:hAnsi="Times New Roman" w:cs="Times New Roman"/>
                <w:b w:val="0"/>
                <w:bCs w:val="0"/>
              </w:rPr>
              <w:t>Refer to Abbott Architect i1000SR Operating Procedure, IA.SOP-001</w:t>
            </w:r>
          </w:p>
          <w:p w:rsidRPr="002D17FF" w:rsidR="002D17FF" w:rsidP="106FE4B7" w:rsidRDefault="002D17FF" w14:textId="77777777" w14:noSpellErr="1" w14:paraId="4A2A2F7E">
            <w:pPr>
              <w:numPr>
                <w:ilvl w:val="0"/>
                <w:numId w:val="3"/>
              </w:numPr>
              <w:autoSpaceDE w:val="0"/>
              <w:autoSpaceDN w:val="0"/>
              <w:adjustRightInd w:val="0"/>
              <w:spacing w:line="360" w:lineRule="auto"/>
              <w:ind/>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sidR="61324387">
              <w:rPr>
                <w:rFonts w:ascii="Times New Roman" w:hAnsi="Times New Roman" w:cs="Times New Roman"/>
                <w:b w:val="0"/>
                <w:bCs w:val="0"/>
              </w:rPr>
              <w:t>Clean Slate’s HIPAA Policy</w:t>
            </w:r>
          </w:p>
          <w:p w:rsidRPr="002D17FF" w:rsidR="002D17FF" w:rsidP="106FE4B7" w:rsidRDefault="002D17FF" w14:textId="77777777" w14:noSpellErr="1" w14:paraId="7DB7A196">
            <w:pPr>
              <w:numPr>
                <w:ilvl w:val="0"/>
                <w:numId w:val="3"/>
              </w:numPr>
              <w:autoSpaceDE w:val="0"/>
              <w:autoSpaceDN w:val="0"/>
              <w:adjustRightInd w:val="0"/>
              <w:spacing w:line="360" w:lineRule="auto"/>
              <w:ind/>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7B37FACC" w:rsidR="42CC5425">
              <w:rPr>
                <w:rFonts w:ascii="Times New Roman" w:hAnsi="Times New Roman" w:cs="Times New Roman"/>
                <w:b w:val="0"/>
                <w:bCs w:val="0"/>
              </w:rPr>
              <w:t>Clean Slate’s Safety Policy</w:t>
            </w:r>
          </w:p>
          <w:p w:rsidR="349AC89B" w:rsidP="7B37FACC" w:rsidRDefault="349AC89B" w14:paraId="4B9B5293" w14:textId="1D25DFD8">
            <w:pPr>
              <w:numPr>
                <w:ilvl w:val="0"/>
                <w:numId w:val="3"/>
              </w:numPr>
              <w:spacing w:line="360" w:lineRule="auto"/>
              <w:contextualSpacing/>
              <w:rPr>
                <w:rFonts w:ascii="Times New Roman" w:hAnsi="Times New Roman" w:cs="Times New Roman"/>
                <w:b w:val="0"/>
                <w:bCs w:val="0"/>
              </w:rPr>
            </w:pPr>
            <w:r w:rsidRPr="7B37FACC" w:rsidR="349AC89B">
              <w:rPr>
                <w:rFonts w:ascii="Times New Roman" w:hAnsi="Times New Roman" w:cs="Times New Roman"/>
                <w:b w:val="0"/>
                <w:bCs w:val="0"/>
              </w:rPr>
              <w:t xml:space="preserve">Abbott ARCHITECT HAVAB-G Insert, February 2016.  </w:t>
            </w:r>
          </w:p>
          <w:p w:rsidRPr="002D17FF" w:rsidR="002D17FF" w:rsidP="106FE4B7" w:rsidRDefault="002D17FF" w14:paraId="0A42B18A" w14:textId="03702067">
            <w:pPr>
              <w:numPr>
                <w:ilvl w:val="0"/>
                <w:numId w:val="3"/>
              </w:numPr>
              <w:autoSpaceDE w:val="0"/>
              <w:autoSpaceDN w:val="0"/>
              <w:adjustRightInd w:val="0"/>
              <w:spacing w:line="360" w:lineRule="auto"/>
              <w:ind/>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106FE4B7" w:rsidR="61324387">
              <w:rPr>
                <w:rFonts w:ascii="Times New Roman" w:hAnsi="Times New Roman" w:cs="Times New Roman"/>
                <w:b w:val="0"/>
                <w:bCs w:val="0"/>
              </w:rPr>
              <w:t>CAP Laboratory General Checklist.</w:t>
            </w:r>
          </w:p>
          <w:p w:rsidRPr="002D17FF" w:rsidR="002D17FF" w:rsidP="106FE4B7" w:rsidRDefault="002D17FF" w14:paraId="1ADCA8AE" w14:textId="05C022FB">
            <w:pPr>
              <w:pStyle w:val="Normal"/>
              <w:autoSpaceDE w:val="0"/>
              <w:autoSpaceDN w:val="0"/>
              <w:adjustRightInd w:val="0"/>
              <w:spacing w:line="360" w:lineRule="auto"/>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Pr="002D17FF" w:rsidR="002D17FF" w:rsidTr="7B37FACC" w14:paraId="4B7FCB87" w14:textId="77777777">
        <w:tc>
          <w:tcPr>
            <w:cnfStyle w:val="001000000000" w:firstRow="0" w:lastRow="0" w:firstColumn="1" w:lastColumn="0" w:oddVBand="0" w:evenVBand="0" w:oddHBand="0" w:evenHBand="0" w:firstRowFirstColumn="0" w:firstRowLastColumn="0" w:lastRowFirstColumn="0" w:lastRowLastColumn="0"/>
            <w:tcW w:w="2088" w:type="dxa"/>
            <w:tcMar/>
          </w:tcPr>
          <w:p w:rsidRPr="002D17FF" w:rsidR="002D17FF" w:rsidP="002D17FF" w:rsidRDefault="002D17FF" w14:paraId="11450379" w14:textId="77777777">
            <w:pPr>
              <w:spacing w:after="160" w:line="259" w:lineRule="auto"/>
              <w:rPr>
                <w:rFonts w:ascii="Times New Roman" w:hAnsi="Times New Roman" w:cs="Times New Roman"/>
              </w:rPr>
            </w:pPr>
            <w:r w:rsidRPr="002D17FF">
              <w:rPr>
                <w:rFonts w:ascii="Times New Roman" w:hAnsi="Times New Roman" w:eastAsia="Times New Roman" w:cs="Times New Roman"/>
              </w:rPr>
              <w:t>REVISION HISTORY:</w:t>
            </w:r>
          </w:p>
        </w:tc>
        <w:tc>
          <w:tcPr>
            <w:cnfStyle w:val="000000000000" w:firstRow="0" w:lastRow="0" w:firstColumn="0" w:lastColumn="0" w:oddVBand="0" w:evenVBand="0" w:oddHBand="0" w:evenHBand="0" w:firstRowFirstColumn="0" w:firstRowLastColumn="0" w:lastRowFirstColumn="0" w:lastRowLastColumn="0"/>
            <w:tcW w:w="7262" w:type="dxa"/>
            <w:tcMar/>
          </w:tcPr>
          <w:p w:rsidRPr="002D17FF" w:rsidR="002D17FF" w:rsidP="002D17FF" w:rsidRDefault="002D17FF" w14:paraId="1FA30191" w14:textId="198429C4">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sidR="0E66AD86">
              <w:rPr>
                <w:rFonts w:ascii="Times New Roman" w:hAnsi="Times New Roman" w:cs="Times New Roman"/>
                <w:b w:val="0"/>
                <w:bCs w:val="0"/>
              </w:rPr>
              <w:t>02/20/2020</w:t>
            </w:r>
          </w:p>
        </w:tc>
      </w:tr>
      <w:bookmarkEnd w:id="1"/>
    </w:tbl>
    <w:p w:rsidRPr="002D17FF" w:rsidR="002D17FF" w:rsidP="002D17FF" w:rsidRDefault="002D17FF" w14:paraId="00AFC833" w14:textId="77777777">
      <w:pPr>
        <w:spacing w:after="0" w:line="240" w:lineRule="auto"/>
        <w:rPr>
          <w:rFonts w:ascii="Times New Roman" w:hAnsi="Times New Roman" w:cs="Times New Roman"/>
        </w:rPr>
      </w:pPr>
    </w:p>
    <w:p w:rsidRPr="002D17FF" w:rsidR="002D17FF" w:rsidP="002D17FF" w:rsidRDefault="002D17FF" w14:paraId="729FEAF2" w14:textId="77777777">
      <w:pPr>
        <w:spacing w:after="0" w:line="240" w:lineRule="auto"/>
        <w:rPr>
          <w:rFonts w:ascii="Times New Roman" w:hAnsi="Times New Roman" w:cs="Times New Roman"/>
        </w:rPr>
      </w:pPr>
    </w:p>
    <w:p w:rsidRPr="002D17FF" w:rsidR="002D17FF" w:rsidP="002D17FF" w:rsidRDefault="002D17FF" w14:paraId="7C053C60" w14:textId="77777777">
      <w:pPr>
        <w:spacing w:after="0" w:line="240" w:lineRule="auto"/>
        <w:rPr>
          <w:rFonts w:ascii="Times New Roman" w:hAnsi="Times New Roman" w:cs="Times New Roman"/>
        </w:rPr>
      </w:pPr>
      <w:r w:rsidRPr="106FE4B7" w:rsidR="002D17FF">
        <w:rPr>
          <w:rFonts w:ascii="Times New Roman" w:hAnsi="Times New Roman" w:cs="Times New Roman"/>
        </w:rPr>
        <w:t>____________________________</w:t>
      </w:r>
      <w:r>
        <w:tab/>
      </w:r>
      <w:r>
        <w:tab/>
      </w:r>
      <w:r>
        <w:tab/>
      </w:r>
      <w:r>
        <w:tab/>
      </w:r>
      <w:r>
        <w:tab/>
      </w:r>
      <w:r>
        <w:tab/>
      </w:r>
      <w:r w:rsidRPr="106FE4B7" w:rsidR="002D17FF">
        <w:rPr>
          <w:rFonts w:ascii="Times New Roman" w:hAnsi="Times New Roman" w:cs="Times New Roman"/>
        </w:rPr>
        <w:t>_________________</w:t>
      </w:r>
    </w:p>
    <w:p w:rsidRPr="002D17FF" w:rsidR="002D17FF" w:rsidP="106FE4B7" w:rsidRDefault="00556588" w14:paraId="6FEA1AFE" w14:textId="2D001F0B">
      <w:pPr>
        <w:pStyle w:val="Normal"/>
        <w:spacing w:after="0" w:line="240" w:lineRule="auto"/>
        <w:rPr>
          <w:rFonts w:ascii="Times New Roman" w:hAnsi="Times New Roman" w:cs="Times New Roman"/>
        </w:rPr>
      </w:pPr>
      <w:r w:rsidRPr="106FE4B7" w:rsidR="28F3F4BA">
        <w:rPr>
          <w:rFonts w:ascii="Times New Roman" w:hAnsi="Times New Roman" w:cs="Times New Roman"/>
        </w:rPr>
        <w:t>Patrice Y. Ohouo</w:t>
      </w:r>
      <w:r w:rsidRPr="106FE4B7" w:rsidR="002D17FF">
        <w:rPr>
          <w:rFonts w:ascii="Times New Roman" w:hAnsi="Times New Roman" w:cs="Times New Roman"/>
        </w:rPr>
        <w:t>, PhD</w:t>
      </w:r>
      <w:r>
        <w:tab/>
      </w:r>
      <w:r>
        <w:tab/>
      </w:r>
      <w:r>
        <w:tab/>
      </w:r>
      <w:r>
        <w:tab/>
      </w:r>
      <w:r>
        <w:tab/>
      </w:r>
      <w:r>
        <w:tab/>
      </w:r>
      <w:r>
        <w:tab/>
      </w:r>
      <w:r>
        <w:tab/>
      </w:r>
      <w:r w:rsidRPr="106FE4B7" w:rsidR="002D17FF">
        <w:rPr>
          <w:rFonts w:ascii="Times New Roman" w:hAnsi="Times New Roman" w:cs="Times New Roman"/>
        </w:rPr>
        <w:t>Date</w:t>
      </w:r>
    </w:p>
    <w:p w:rsidRPr="002D17FF" w:rsidR="002D17FF" w:rsidP="00D30A04" w:rsidRDefault="002D17FF" w14:paraId="031A86AD" w14:textId="77777777">
      <w:pPr>
        <w:spacing w:after="0" w:line="240" w:lineRule="auto"/>
      </w:pPr>
      <w:r w:rsidRPr="002D17FF">
        <w:rPr>
          <w:rFonts w:ascii="Times New Roman" w:hAnsi="Times New Roman" w:cs="Times New Roman"/>
        </w:rPr>
        <w:t>Main Laboratory Director</w:t>
      </w:r>
    </w:p>
    <w:sectPr w:rsidRPr="002D17FF" w:rsidR="002D17FF">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4737" w:rsidP="00CC0348" w:rsidRDefault="00494737" w14:paraId="3BA1C816" w14:textId="77777777">
      <w:pPr>
        <w:spacing w:after="0" w:line="240" w:lineRule="auto"/>
      </w:pPr>
      <w:r>
        <w:separator/>
      </w:r>
    </w:p>
  </w:endnote>
  <w:endnote w:type="continuationSeparator" w:id="0">
    <w:p w:rsidR="00494737" w:rsidP="00CC0348" w:rsidRDefault="00494737" w14:paraId="4DF74F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enPro-Regular">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120"/>
      <w:gridCol w:w="3120"/>
      <w:gridCol w:w="3120"/>
    </w:tblGrid>
    <w:tr w:rsidRPr="00D6290D" w:rsidR="00CC0348" w:rsidTr="009467A6" w14:paraId="7EC570E4" w14:textId="77777777">
      <w:tc>
        <w:tcPr>
          <w:tcW w:w="3120" w:type="dxa"/>
        </w:tcPr>
        <w:p w:rsidRPr="00D6290D" w:rsidR="00CC0348" w:rsidP="009467A6" w:rsidRDefault="00CC0348" w14:paraId="127E416B" w14:textId="77777777">
          <w:pPr>
            <w:tabs>
              <w:tab w:val="center" w:pos="4680"/>
              <w:tab w:val="right" w:pos="9360"/>
            </w:tabs>
            <w:spacing w:after="0" w:line="240" w:lineRule="auto"/>
            <w:ind w:left="-115"/>
          </w:pPr>
        </w:p>
      </w:tc>
      <w:tc>
        <w:tcPr>
          <w:tcW w:w="3120" w:type="dxa"/>
        </w:tcPr>
        <w:p w:rsidRPr="00D6290D" w:rsidR="00CC0348" w:rsidP="009467A6" w:rsidRDefault="00CC0348" w14:paraId="10A05AA0" w14:textId="77777777">
          <w:pPr>
            <w:tabs>
              <w:tab w:val="center" w:pos="4680"/>
              <w:tab w:val="right" w:pos="9360"/>
            </w:tabs>
            <w:spacing w:after="0" w:line="240" w:lineRule="auto"/>
            <w:jc w:val="center"/>
            <w:rPr>
              <w:rFonts w:ascii="Times New Roman" w:hAnsi="Times New Roman" w:cs="Times New Roman"/>
            </w:rPr>
          </w:pPr>
          <w:r w:rsidRPr="00D6290D">
            <w:rPr>
              <w:rFonts w:ascii="Times New Roman" w:hAnsi="Times New Roman" w:cs="Times New Roman"/>
              <w:sz w:val="20"/>
            </w:rPr>
            <w:fldChar w:fldCharType="begin"/>
          </w:r>
          <w:r w:rsidRPr="00D6290D">
            <w:rPr>
              <w:rFonts w:ascii="Times New Roman" w:hAnsi="Times New Roman" w:cs="Times New Roman"/>
              <w:sz w:val="20"/>
            </w:rPr>
            <w:instrText>PAGE</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1</w:t>
          </w:r>
          <w:r w:rsidRPr="00D6290D">
            <w:rPr>
              <w:rFonts w:ascii="Times New Roman" w:hAnsi="Times New Roman" w:cs="Times New Roman"/>
              <w:sz w:val="20"/>
            </w:rPr>
            <w:fldChar w:fldCharType="end"/>
          </w:r>
          <w:r w:rsidRPr="00D6290D">
            <w:rPr>
              <w:rFonts w:ascii="Times New Roman" w:hAnsi="Times New Roman" w:cs="Times New Roman"/>
              <w:sz w:val="20"/>
            </w:rPr>
            <w:t xml:space="preserve"> of </w:t>
          </w:r>
          <w:r w:rsidRPr="00D6290D">
            <w:rPr>
              <w:rFonts w:ascii="Times New Roman" w:hAnsi="Times New Roman" w:cs="Times New Roman"/>
              <w:sz w:val="20"/>
            </w:rPr>
            <w:fldChar w:fldCharType="begin"/>
          </w:r>
          <w:r w:rsidRPr="00D6290D">
            <w:rPr>
              <w:rFonts w:ascii="Times New Roman" w:hAnsi="Times New Roman" w:cs="Times New Roman"/>
              <w:sz w:val="20"/>
            </w:rPr>
            <w:instrText>NUMPAGES</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9</w:t>
          </w:r>
          <w:r w:rsidRPr="00D6290D">
            <w:rPr>
              <w:rFonts w:ascii="Times New Roman" w:hAnsi="Times New Roman" w:cs="Times New Roman"/>
              <w:sz w:val="20"/>
            </w:rPr>
            <w:fldChar w:fldCharType="end"/>
          </w:r>
        </w:p>
      </w:tc>
      <w:tc>
        <w:tcPr>
          <w:tcW w:w="3120" w:type="dxa"/>
        </w:tcPr>
        <w:p w:rsidRPr="00D6290D" w:rsidR="00CC0348" w:rsidP="009467A6" w:rsidRDefault="00CC0348" w14:paraId="72C15ACD" w14:textId="77777777">
          <w:pPr>
            <w:tabs>
              <w:tab w:val="center" w:pos="4680"/>
              <w:tab w:val="right" w:pos="9360"/>
            </w:tabs>
            <w:spacing w:after="0" w:line="240" w:lineRule="auto"/>
            <w:ind w:right="-115"/>
            <w:jc w:val="right"/>
          </w:pPr>
        </w:p>
      </w:tc>
    </w:tr>
  </w:tbl>
  <w:p w:rsidRPr="00D6290D" w:rsidR="00CC0348" w:rsidP="00CC0348" w:rsidRDefault="00CC0348" w14:paraId="7788D5EF" w14:textId="77777777">
    <w:pPr>
      <w:tabs>
        <w:tab w:val="center" w:pos="4680"/>
        <w:tab w:val="right" w:pos="9360"/>
      </w:tabs>
      <w:spacing w:after="0" w:line="240" w:lineRule="auto"/>
      <w:rPr>
        <w:b/>
        <w:bCs/>
        <w:sz w:val="24"/>
        <w:szCs w:val="24"/>
      </w:rPr>
    </w:pPr>
    <w:r w:rsidRPr="00D6290D">
      <w:rPr>
        <w:b/>
        <w:bCs/>
        <w:sz w:val="14"/>
        <w:szCs w:val="24"/>
      </w:rPr>
      <w:t>#LAB-SOP-</w:t>
    </w:r>
    <w:r w:rsidRPr="00D6290D">
      <w:rPr>
        <w:rFonts w:ascii="Times New Roman" w:hAnsi="Times New Roman" w:eastAsia="Times New Roman" w:cs="Times New Roman"/>
        <w:color w:val="4BACC6" w:themeColor="accent5"/>
      </w:rPr>
      <w:t xml:space="preserve"> </w:t>
    </w:r>
    <w:r w:rsidR="002D17FF">
      <w:rPr>
        <w:rFonts w:eastAsia="Times New Roman" w:cs="Times New Roman"/>
        <w:color w:val="4BACC6" w:themeColor="accent5"/>
        <w:sz w:val="14"/>
        <w:szCs w:val="14"/>
      </w:rPr>
      <w:t>IA</w:t>
    </w:r>
    <w:r w:rsidR="006B1393">
      <w:rPr>
        <w:rFonts w:eastAsia="Times New Roman" w:cs="Times New Roman"/>
        <w:color w:val="4BACC6" w:themeColor="accent5"/>
        <w:sz w:val="14"/>
        <w:szCs w:val="14"/>
      </w:rPr>
      <w:t>.SOP-</w:t>
    </w:r>
    <w:r w:rsidR="005B49F6">
      <w:rPr>
        <w:rFonts w:eastAsia="Times New Roman" w:cs="Times New Roman"/>
        <w:color w:val="4BACC6" w:themeColor="accent5"/>
        <w:sz w:val="14"/>
        <w:szCs w:val="14"/>
      </w:rPr>
      <w:t>0</w:t>
    </w:r>
    <w:r w:rsidR="00A234F8">
      <w:rPr>
        <w:rFonts w:eastAsia="Times New Roman" w:cs="Times New Roman"/>
        <w:color w:val="4BACC6" w:themeColor="accent5"/>
        <w:sz w:val="14"/>
        <w:szCs w:val="14"/>
      </w:rPr>
      <w:t>06</w:t>
    </w:r>
  </w:p>
  <w:p w:rsidR="00CC0348" w:rsidRDefault="00CC0348" w14:paraId="57841C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4737" w:rsidP="00CC0348" w:rsidRDefault="00494737" w14:paraId="445D7469" w14:textId="77777777">
      <w:pPr>
        <w:spacing w:after="0" w:line="240" w:lineRule="auto"/>
      </w:pPr>
      <w:r>
        <w:separator/>
      </w:r>
    </w:p>
  </w:footnote>
  <w:footnote w:type="continuationSeparator" w:id="0">
    <w:p w:rsidR="00494737" w:rsidP="00CC0348" w:rsidRDefault="00494737" w14:paraId="6C2F59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0" w:type="auto"/>
      <w:tblLook w:val="04A0" w:firstRow="1" w:lastRow="0" w:firstColumn="1" w:lastColumn="0" w:noHBand="0" w:noVBand="1"/>
    </w:tblPr>
    <w:tblGrid>
      <w:gridCol w:w="3120"/>
      <w:gridCol w:w="3120"/>
      <w:gridCol w:w="3120"/>
    </w:tblGrid>
    <w:tr w:rsidRPr="00D6290D" w:rsidR="00CC0348" w:rsidTr="009467A6" w14:paraId="66D53CDB" w14:textId="77777777">
      <w:tc>
        <w:tcPr>
          <w:tcW w:w="3120" w:type="dxa"/>
        </w:tcPr>
        <w:p w:rsidRPr="00D6290D" w:rsidR="00CC0348" w:rsidP="009467A6" w:rsidRDefault="00CC0348" w14:paraId="08E0F3FB" w14:textId="77777777">
          <w:pPr>
            <w:tabs>
              <w:tab w:val="center" w:pos="4680"/>
              <w:tab w:val="right" w:pos="9360"/>
            </w:tabs>
            <w:spacing w:after="0" w:line="240" w:lineRule="auto"/>
          </w:pPr>
          <w:r w:rsidRPr="00D6290D">
            <w:rPr>
              <w:noProof/>
              <w:color w:val="002060"/>
            </w:rPr>
            <w:drawing>
              <wp:inline distT="0" distB="0" distL="0" distR="0" wp14:anchorId="1B08DD3C" wp14:editId="3E1C1457">
                <wp:extent cx="1390650" cy="420092"/>
                <wp:effectExtent l="0" t="0" r="0" b="0"/>
                <wp:docPr id="1" name="Picture 1" descr="CleanSlate_OutpatientAddictionMedicin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late_OutpatientAddictionMedicine_Logo_Full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0672" cy="435203"/>
                        </a:xfrm>
                        <a:prstGeom prst="rect">
                          <a:avLst/>
                        </a:prstGeom>
                        <a:noFill/>
                        <a:ln>
                          <a:noFill/>
                        </a:ln>
                      </pic:spPr>
                    </pic:pic>
                  </a:graphicData>
                </a:graphic>
              </wp:inline>
            </w:drawing>
          </w:r>
        </w:p>
      </w:tc>
      <w:tc>
        <w:tcPr>
          <w:tcW w:w="3120" w:type="dxa"/>
        </w:tcPr>
        <w:p w:rsidRPr="00D6290D" w:rsidR="00CC0348" w:rsidP="009467A6" w:rsidRDefault="00CC0348" w14:paraId="38FC914B" w14:textId="77777777">
          <w:pPr>
            <w:tabs>
              <w:tab w:val="center" w:pos="4680"/>
              <w:tab w:val="right" w:pos="9360"/>
            </w:tabs>
            <w:spacing w:after="0" w:line="240" w:lineRule="auto"/>
            <w:jc w:val="center"/>
          </w:pPr>
        </w:p>
      </w:tc>
      <w:tc>
        <w:tcPr>
          <w:tcW w:w="3120" w:type="dxa"/>
        </w:tcPr>
        <w:p w:rsidRPr="00D6290D" w:rsidR="00CC0348" w:rsidP="009467A6" w:rsidRDefault="00CC0348" w14:paraId="4C5EAB0F" w14:textId="77777777">
          <w:pPr>
            <w:tabs>
              <w:tab w:val="center" w:pos="4680"/>
              <w:tab w:val="right" w:pos="9360"/>
            </w:tabs>
            <w:spacing w:after="0" w:line="240" w:lineRule="auto"/>
            <w:ind w:right="-115"/>
          </w:pPr>
        </w:p>
      </w:tc>
    </w:tr>
  </w:tbl>
  <w:p w:rsidR="00CC0348" w:rsidRDefault="00CC0348" w14:paraId="1D8C98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4">
    <w:nsid w:val="7b5d7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762" w:hanging="60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30efaf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762" w:hanging="60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54b82f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762" w:hanging="60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6181f5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762" w:hanging="60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58aa3a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762" w:hanging="60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117479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762" w:hanging="60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16ddba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1"/>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5506d2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0"/>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6d6b2c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4c9728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14ac37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6240ce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3ee920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1a1f90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64b168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6c78d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408ad7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7a67c9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762" w:hanging="60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300122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3044" w:hanging="72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381ca6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762" w:hanging="600"/>
      </w:pPr>
      <w:rPr>
        <w:rFonts w:hint="default" w:ascii="Times New Roman,Calibri" w:hAnsi="Times New Roman,Calibri"/>
      </w:rPr>
    </w:lvl>
    <w:lvl xmlns:w="http://schemas.openxmlformats.org/wordprocessingml/2006/main" w:ilvl="2">
      <w:start w:val="1"/>
      <w:numFmt w:val="decimal"/>
      <w:lvlText w:val="%1.%2.%3"/>
      <w:lvlJc w:val="left"/>
      <w:pPr>
        <w:ind w:left="3044" w:hanging="72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6a13d8d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3">
    <w:nsid w:val="7181d8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lowerLetter"/>
      <w:lvlText w:val="%4."/>
      <w:lvlJc w:val="left"/>
      <w:pPr>
        <w:ind w:left="3105" w:hanging="765"/>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763275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lowerLetter"/>
      <w:lvlText w:val="%4."/>
      <w:lvlJc w:val="left"/>
      <w:pPr>
        <w:ind w:left="3105" w:hanging="765"/>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265b38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4a592d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419cd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lowerLetter"/>
      <w:lvlText w:val="%4."/>
      <w:lvlJc w:val="left"/>
      <w:pPr>
        <w:ind w:left="2520" w:hanging="360"/>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226172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lowerLetter"/>
      <w:lvlText w:val="%4."/>
      <w:lvlJc w:val="left"/>
      <w:pPr>
        <w:ind w:left="2520" w:hanging="360"/>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6b56c2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5b3e75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53e694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4f7af7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lowerLetter"/>
      <w:lvlText w:val="%4."/>
      <w:lvlJc w:val="left"/>
      <w:pPr>
        <w:ind w:left="2520" w:hanging="360"/>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6dfaa4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lowerLetter"/>
      <w:lvlText w:val="%4."/>
      <w:lvlJc w:val="left"/>
      <w:pPr>
        <w:ind w:left="2520" w:hanging="360"/>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3a3e3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4e675b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lowerLetter"/>
      <w:lvlText w:val="%4."/>
      <w:lvlJc w:val="left"/>
      <w:pPr>
        <w:ind w:left="2520" w:hanging="360"/>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2a4b78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2667fc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1084f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33a029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080" w:hanging="720"/>
      </w:pPr>
      <w:rPr>
        <w:rFonts w:hint="default" w:ascii="Times New Roman" w:hAnsi="Times New Roman"/>
      </w:rPr>
    </w:lvl>
    <w:lvl xmlns:w="http://schemas.openxmlformats.org/wordprocessingml/2006/main" w:ilvl="2">
      <w:start w:val="1"/>
      <w:numFmt w:val="decimal"/>
      <w:lvlText w:val="%1.%2.%3"/>
      <w:lvlJc w:val="left"/>
      <w:pPr>
        <w:ind w:left="2340" w:hanging="1080"/>
      </w:pPr>
    </w:lvl>
    <w:lvl xmlns:w="http://schemas.openxmlformats.org/wordprocessingml/2006/main" w:ilvl="3">
      <w:start w:val="1"/>
      <w:numFmt w:val="lowerLetter"/>
      <w:lvlText w:val="%4."/>
      <w:lvlJc w:val="left"/>
      <w:pPr>
        <w:ind w:left="252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07373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a1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5b87e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164f18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9583d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3965dc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52d9b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4ddc6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767fb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f3b96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a0a15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16d05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9897f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080" w:hanging="720"/>
      </w:pPr>
      <w:rPr>
        <w:rFonts w:hint="default" w:ascii="Times New Roman" w:hAnsi="Times New Roman"/>
      </w:rPr>
    </w:lvl>
    <w:lvl xmlns:w="http://schemas.openxmlformats.org/wordprocessingml/2006/main" w:ilvl="2">
      <w:start w:val="1"/>
      <w:numFmt w:val="decimal"/>
      <w:lvlText w:val="%1.%2.%3"/>
      <w:lvlJc w:val="left"/>
      <w:pPr>
        <w:ind w:left="2340" w:hanging="10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3a78b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ad910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0d01b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e67a9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caae3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44393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82ecc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5311de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b8d7f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0e20d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2b333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fa470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1f878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a07dc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69a2e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1.%2.%3"/>
      <w:lvlJc w:val="left"/>
      <w:pPr>
        <w:ind w:left="2340" w:hanging="10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ebea3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dcb1c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059a4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9a0b5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91b6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c0ceb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080" w:hanging="720"/>
      </w:pPr>
      <w:rPr>
        <w:rFonts w:hint="default" w:ascii="Times New Roman" w:hAnsi="Times New Roman"/>
      </w:rPr>
    </w:lvl>
    <w:lvl xmlns:w="http://schemas.openxmlformats.org/wordprocessingml/2006/main" w:ilvl="2">
      <w:start w:val="1"/>
      <w:numFmt w:val="decimal"/>
      <w:lvlText w:val="%1.%2.%3"/>
      <w:lvlJc w:val="left"/>
      <w:pPr>
        <w:ind w:left="2340" w:hanging="10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80f40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b1800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b8c51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d8a15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080" w:hanging="72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C53C0F"/>
    <w:multiLevelType w:val="hybridMultilevel"/>
    <w:tmpl w:val="781C60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DE0D6C"/>
    <w:multiLevelType w:val="multilevel"/>
    <w:tmpl w:val="3A786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E727F1"/>
    <w:multiLevelType w:val="multilevel"/>
    <w:tmpl w:val="07C8EA12"/>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3" w15:restartNumberingAfterBreak="0">
    <w:nsid w:val="0DA77547"/>
    <w:multiLevelType w:val="multilevel"/>
    <w:tmpl w:val="F5765300"/>
    <w:lvl w:ilvl="0">
      <w:start w:val="13"/>
      <w:numFmt w:val="decimal"/>
      <w:lvlText w:val="%1"/>
      <w:lvlJc w:val="left"/>
      <w:pPr>
        <w:ind w:left="420" w:hanging="420"/>
      </w:pPr>
      <w:rPr>
        <w:rFonts w:hint="default"/>
      </w:rPr>
    </w:lvl>
    <w:lvl w:ilvl="1">
      <w:start w:val="2"/>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4" w15:restartNumberingAfterBreak="0">
    <w:nsid w:val="11C559FD"/>
    <w:multiLevelType w:val="hybridMultilevel"/>
    <w:tmpl w:val="0F36008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1E1012C1"/>
    <w:multiLevelType w:val="multilevel"/>
    <w:tmpl w:val="A178FFE0"/>
    <w:lvl w:ilvl="0">
      <w:start w:val="1"/>
      <w:numFmt w:val="decimal"/>
      <w:lvlText w:val="%1"/>
      <w:lvlJc w:val="left"/>
      <w:pPr>
        <w:tabs>
          <w:tab w:val="num" w:pos="360"/>
        </w:tabs>
        <w:ind w:left="360" w:hanging="360"/>
      </w:pPr>
      <w:rPr>
        <w:rFonts w:hint="default" w:ascii="Times New Roman" w:hAnsi="Times New Roman"/>
        <w:b/>
        <w:i/>
        <w:sz w:val="24"/>
      </w:rPr>
    </w:lvl>
    <w:lvl w:ilvl="1">
      <w:start w:val="1"/>
      <w:numFmt w:val="decimal"/>
      <w:lvlText w:val="%1.%2"/>
      <w:lvlJc w:val="left"/>
      <w:pPr>
        <w:tabs>
          <w:tab w:val="num" w:pos="1080"/>
        </w:tabs>
        <w:ind w:left="1080" w:hanging="720"/>
      </w:pPr>
      <w:rPr>
        <w:rFonts w:hint="default" w:ascii="Times New Roman" w:hAnsi="Times New Roman"/>
        <w:b w:val="0"/>
        <w:i w:val="0"/>
        <w:sz w:val="22"/>
        <w:szCs w:val="22"/>
      </w:rPr>
    </w:lvl>
    <w:lvl w:ilvl="2">
      <w:start w:val="1"/>
      <w:numFmt w:val="decimal"/>
      <w:lvlText w:val="%1.%2.%3"/>
      <w:lvlJc w:val="left"/>
      <w:pPr>
        <w:tabs>
          <w:tab w:val="num" w:pos="2340"/>
        </w:tabs>
        <w:ind w:left="2340" w:hanging="1080"/>
      </w:pPr>
      <w:rPr>
        <w:rFonts w:hint="default" w:ascii="Times New Roman" w:hAnsi="Times New Roman"/>
        <w:b w:val="0"/>
        <w:i w:val="0"/>
        <w:sz w:val="24"/>
      </w:rPr>
    </w:lvl>
    <w:lvl w:ilvl="3">
      <w:start w:val="1"/>
      <w:numFmt w:val="lowerLetter"/>
      <w:lvlText w:val="%4."/>
      <w:lvlJc w:val="left"/>
      <w:pPr>
        <w:tabs>
          <w:tab w:val="num" w:pos="2520"/>
        </w:tabs>
        <w:ind w:left="2520" w:hanging="360"/>
      </w:pPr>
      <w:rPr>
        <w:rFonts w:hint="default" w:ascii="Times New Roman" w:hAnsi="Times New Roman"/>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C4E7189"/>
    <w:multiLevelType w:val="multilevel"/>
    <w:tmpl w:val="D7B4CAC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8E6CB4"/>
    <w:multiLevelType w:val="multilevel"/>
    <w:tmpl w:val="4ECA2C14"/>
    <w:lvl w:ilvl="0">
      <w:start w:val="1"/>
      <w:numFmt w:val="decimal"/>
      <w:lvlText w:val="%1."/>
      <w:lvlJc w:val="left"/>
      <w:pPr>
        <w:ind w:left="765" w:hanging="765"/>
      </w:pPr>
      <w:rPr/>
    </w:lvl>
    <w:lvl w:ilvl="1">
      <w:start w:val="1"/>
      <w:numFmt w:val="decimal"/>
      <w:lvlText w:val="%1.%2."/>
      <w:lvlJc w:val="left"/>
      <w:pPr>
        <w:ind w:left="1545" w:hanging="765"/>
      </w:pPr>
      <w:rPr>
        <w:b w:val="0"/>
      </w:rPr>
    </w:lvl>
    <w:lvl w:ilvl="2">
      <w:start w:val="1"/>
      <w:numFmt w:val="decimal"/>
      <w:lvlText w:val="%1.%2.%3."/>
      <w:lvlJc w:val="left"/>
      <w:pPr>
        <w:ind w:left="2325" w:hanging="765"/>
      </w:pPr>
      <w:rPr>
        <w:b w:val="0"/>
      </w:rPr>
    </w:lvl>
    <w:lvl w:ilvl="3">
      <w:start w:val="1"/>
      <w:numFmt w:val="decimal"/>
      <w:lvlText w:val="%1.%2.%3.%4."/>
      <w:lvlJc w:val="left"/>
      <w:pPr>
        <w:ind w:left="3105" w:hanging="765"/>
      </w:pPr>
      <w:rPr/>
    </w:lvl>
    <w:lvl w:ilvl="4">
      <w:start w:val="1"/>
      <w:numFmt w:val="decimal"/>
      <w:lvlText w:val="%1.%2.%3.%4.%5."/>
      <w:lvlJc w:val="left"/>
      <w:pPr>
        <w:ind w:left="4200" w:hanging="1080"/>
      </w:pPr>
      <w:rPr/>
    </w:lvl>
    <w:lvl w:ilvl="5">
      <w:start w:val="1"/>
      <w:numFmt w:val="decimal"/>
      <w:lvlText w:val="%1.%2.%3.%4.%5.%6."/>
      <w:lvlJc w:val="left"/>
      <w:pPr>
        <w:ind w:left="4980" w:hanging="1080"/>
      </w:pPr>
      <w:rPr/>
    </w:lvl>
    <w:lvl w:ilvl="6">
      <w:start w:val="1"/>
      <w:numFmt w:val="decimal"/>
      <w:lvlText w:val="%1.%2.%3.%4.%5.%6.%7."/>
      <w:lvlJc w:val="left"/>
      <w:pPr>
        <w:ind w:left="6120" w:hanging="1440"/>
      </w:pPr>
      <w:rPr/>
    </w:lvl>
    <w:lvl w:ilvl="7">
      <w:start w:val="1"/>
      <w:numFmt w:val="decimal"/>
      <w:lvlText w:val="%1.%2.%3.%4.%5.%6.%7.%8."/>
      <w:lvlJc w:val="left"/>
      <w:pPr>
        <w:ind w:left="6900" w:hanging="1440"/>
      </w:pPr>
      <w:rPr/>
    </w:lvl>
    <w:lvl w:ilvl="8">
      <w:start w:val="1"/>
      <w:numFmt w:val="decimal"/>
      <w:lvlText w:val="%1.%2.%3.%4.%5.%6.%7.%8.%9."/>
      <w:lvlJc w:val="left"/>
      <w:pPr>
        <w:ind w:left="7680" w:hanging="1440"/>
      </w:pPr>
      <w:rPr/>
    </w:lvl>
  </w:abstractNum>
  <w:abstractNum w:abstractNumId="8" w15:restartNumberingAfterBreak="0">
    <w:nsid w:val="32785518"/>
    <w:multiLevelType w:val="multilevel"/>
    <w:tmpl w:val="91D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CEA1617"/>
    <w:multiLevelType w:val="multilevel"/>
    <w:tmpl w:val="3C0C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E057D"/>
    <w:multiLevelType w:val="hybridMultilevel"/>
    <w:tmpl w:val="5A3C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F00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43436E"/>
    <w:multiLevelType w:val="multilevel"/>
    <w:tmpl w:val="BEDA4E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3" w15:restartNumberingAfterBreak="0">
    <w:nsid w:val="5F811C40"/>
    <w:multiLevelType w:val="multilevel"/>
    <w:tmpl w:val="00E827F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659E19B3"/>
    <w:multiLevelType w:val="multilevel"/>
    <w:tmpl w:val="A178FFE0"/>
    <w:lvl w:ilvl="0">
      <w:start w:val="1"/>
      <w:numFmt w:val="decimal"/>
      <w:lvlText w:val="%1"/>
      <w:lvlJc w:val="left"/>
      <w:pPr>
        <w:tabs>
          <w:tab w:val="num" w:pos="360"/>
        </w:tabs>
        <w:ind w:left="360" w:hanging="360"/>
      </w:pPr>
      <w:rPr>
        <w:rFonts w:hint="default" w:ascii="Times New Roman" w:hAnsi="Times New Roman"/>
        <w:b/>
        <w:i/>
        <w:sz w:val="24"/>
      </w:rPr>
    </w:lvl>
    <w:lvl w:ilvl="1">
      <w:start w:val="1"/>
      <w:numFmt w:val="decimal"/>
      <w:lvlText w:val="%1.%2"/>
      <w:lvlJc w:val="left"/>
      <w:pPr>
        <w:tabs>
          <w:tab w:val="num" w:pos="1080"/>
        </w:tabs>
        <w:ind w:left="1080" w:hanging="720"/>
      </w:pPr>
      <w:rPr>
        <w:rFonts w:hint="default" w:ascii="Times New Roman" w:hAnsi="Times New Roman"/>
        <w:b w:val="0"/>
        <w:i w:val="0"/>
        <w:sz w:val="22"/>
        <w:szCs w:val="22"/>
      </w:rPr>
    </w:lvl>
    <w:lvl w:ilvl="2">
      <w:start w:val="1"/>
      <w:numFmt w:val="decimal"/>
      <w:lvlText w:val="%1.%2.%3"/>
      <w:lvlJc w:val="left"/>
      <w:pPr>
        <w:tabs>
          <w:tab w:val="num" w:pos="2340"/>
        </w:tabs>
        <w:ind w:left="2340" w:hanging="1080"/>
      </w:pPr>
      <w:rPr>
        <w:rFonts w:hint="default" w:ascii="Times New Roman" w:hAnsi="Times New Roman"/>
        <w:b w:val="0"/>
        <w:i w:val="0"/>
        <w:sz w:val="24"/>
      </w:rPr>
    </w:lvl>
    <w:lvl w:ilvl="3">
      <w:start w:val="1"/>
      <w:numFmt w:val="lowerLetter"/>
      <w:lvlText w:val="%4."/>
      <w:lvlJc w:val="left"/>
      <w:pPr>
        <w:tabs>
          <w:tab w:val="num" w:pos="2520"/>
        </w:tabs>
        <w:ind w:left="2520" w:hanging="360"/>
      </w:pPr>
      <w:rPr>
        <w:rFonts w:hint="default" w:ascii="Times New Roman" w:hAnsi="Times New Roman"/>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73E0362"/>
    <w:multiLevelType w:val="multilevel"/>
    <w:tmpl w:val="ED580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737D80"/>
    <w:multiLevelType w:val="multilevel"/>
    <w:tmpl w:val="A178FFE0"/>
    <w:lvl w:ilvl="0">
      <w:start w:val="1"/>
      <w:numFmt w:val="decimal"/>
      <w:lvlText w:val="%1"/>
      <w:lvlJc w:val="left"/>
      <w:pPr>
        <w:tabs>
          <w:tab w:val="num" w:pos="360"/>
        </w:tabs>
        <w:ind w:left="360" w:hanging="360"/>
      </w:pPr>
      <w:rPr>
        <w:rFonts w:hint="default" w:ascii="Times New Roman" w:hAnsi="Times New Roman"/>
        <w:b/>
        <w:i/>
        <w:sz w:val="24"/>
      </w:rPr>
    </w:lvl>
    <w:lvl w:ilvl="1">
      <w:start w:val="1"/>
      <w:numFmt w:val="decimal"/>
      <w:lvlText w:val="%1.%2"/>
      <w:lvlJc w:val="left"/>
      <w:pPr>
        <w:tabs>
          <w:tab w:val="num" w:pos="1080"/>
        </w:tabs>
        <w:ind w:left="1080" w:hanging="720"/>
      </w:pPr>
      <w:rPr>
        <w:rFonts w:hint="default" w:ascii="Times New Roman" w:hAnsi="Times New Roman"/>
        <w:b w:val="0"/>
        <w:i w:val="0"/>
        <w:sz w:val="22"/>
        <w:szCs w:val="22"/>
      </w:rPr>
    </w:lvl>
    <w:lvl w:ilvl="2">
      <w:start w:val="1"/>
      <w:numFmt w:val="decimal"/>
      <w:lvlText w:val="%1.%2.%3"/>
      <w:lvlJc w:val="left"/>
      <w:pPr>
        <w:tabs>
          <w:tab w:val="num" w:pos="2340"/>
        </w:tabs>
        <w:ind w:left="2340" w:hanging="1080"/>
      </w:pPr>
      <w:rPr>
        <w:rFonts w:hint="default" w:ascii="Times New Roman" w:hAnsi="Times New Roman"/>
        <w:b w:val="0"/>
        <w:i w:val="0"/>
        <w:sz w:val="24"/>
      </w:rPr>
    </w:lvl>
    <w:lvl w:ilvl="3">
      <w:start w:val="1"/>
      <w:numFmt w:val="lowerLetter"/>
      <w:lvlText w:val="%4."/>
      <w:lvlJc w:val="left"/>
      <w:pPr>
        <w:tabs>
          <w:tab w:val="num" w:pos="2520"/>
        </w:tabs>
        <w:ind w:left="2520" w:hanging="360"/>
      </w:pPr>
      <w:rPr>
        <w:rFonts w:hint="default" w:ascii="Times New Roman" w:hAnsi="Times New Roman"/>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52601BB"/>
    <w:multiLevelType w:val="multilevel"/>
    <w:tmpl w:val="3928416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C41988"/>
    <w:multiLevelType w:val="multilevel"/>
    <w:tmpl w:val="246EEAD6"/>
    <w:lvl w:ilvl="0">
      <w:start w:val="12"/>
      <w:numFmt w:val="decimal"/>
      <w:lvlText w:val="%1"/>
      <w:lvlJc w:val="left"/>
      <w:pPr>
        <w:ind w:left="765" w:hanging="765"/>
      </w:pPr>
      <w:rPr>
        <w:rFonts w:hint="default"/>
      </w:rPr>
    </w:lvl>
    <w:lvl w:ilvl="1">
      <w:start w:val="2"/>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hAnsi="Times New Roman" w:cs="Times New Roman" w:eastAsiaTheme="minorHAnsi"/>
        <w:b w:val="0"/>
      </w:rPr>
    </w:lvl>
    <w:lvl w:ilvl="3">
      <w:start w:val="1"/>
      <w:numFmt w:val="lowerLetter"/>
      <w:lvlText w:val="%4."/>
      <w:lvlJc w:val="left"/>
      <w:pPr>
        <w:ind w:left="3105" w:hanging="765"/>
      </w:pPr>
      <w:rPr>
        <w:rFonts w:ascii="Times New Roman" w:hAnsi="Times New Roman" w:cs="Times New Roman" w:eastAsiaTheme="minorHAnsi"/>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abstractNumId w:val="14"/>
  </w:num>
  <w:num w:numId="2">
    <w:abstractNumId w:val="4"/>
  </w:num>
  <w:num w:numId="3">
    <w:abstractNumId w:val="0"/>
  </w:num>
  <w:num w:numId="4">
    <w:abstractNumId w:val="7"/>
  </w:num>
  <w:num w:numId="5">
    <w:abstractNumId w:val="1"/>
  </w:num>
  <w:num w:numId="6">
    <w:abstractNumId w:val="8"/>
  </w:num>
  <w:num w:numId="7">
    <w:abstractNumId w:val="10"/>
  </w:num>
  <w:num w:numId="8">
    <w:abstractNumId w:val="11"/>
  </w:num>
  <w:num w:numId="9">
    <w:abstractNumId w:val="13"/>
  </w:num>
  <w:num w:numId="10">
    <w:abstractNumId w:val="15"/>
  </w:num>
  <w:num w:numId="11">
    <w:abstractNumId w:val="9"/>
  </w:num>
  <w:num w:numId="12">
    <w:abstractNumId w:val="12"/>
  </w:num>
  <w:num w:numId="13">
    <w:abstractNumId w:val="16"/>
  </w:num>
  <w:num w:numId="14">
    <w:abstractNumId w:val="18"/>
  </w:num>
  <w:num w:numId="15">
    <w:abstractNumId w:val="5"/>
  </w:num>
  <w:num w:numId="16">
    <w:abstractNumId w:val="3"/>
  </w:num>
  <w:num w:numId="17">
    <w:abstractNumId w:val="17"/>
  </w:num>
  <w:num w:numId="18">
    <w:abstractNumId w:val="6"/>
  </w:num>
  <w:num w:numId="1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8"/>
    <w:rsid w:val="000114BD"/>
    <w:rsid w:val="00065B42"/>
    <w:rsid w:val="00070FA7"/>
    <w:rsid w:val="000A721D"/>
    <w:rsid w:val="000C25C0"/>
    <w:rsid w:val="000D3F59"/>
    <w:rsid w:val="000E1854"/>
    <w:rsid w:val="001619FF"/>
    <w:rsid w:val="001740CF"/>
    <w:rsid w:val="00181620"/>
    <w:rsid w:val="00197A78"/>
    <w:rsid w:val="001C224F"/>
    <w:rsid w:val="001F2CDE"/>
    <w:rsid w:val="00202312"/>
    <w:rsid w:val="00205A7E"/>
    <w:rsid w:val="00223734"/>
    <w:rsid w:val="00271D9C"/>
    <w:rsid w:val="0027635E"/>
    <w:rsid w:val="002A67FE"/>
    <w:rsid w:val="002B4AF1"/>
    <w:rsid w:val="002B50FD"/>
    <w:rsid w:val="002C7494"/>
    <w:rsid w:val="002D17FF"/>
    <w:rsid w:val="002D1966"/>
    <w:rsid w:val="002F7149"/>
    <w:rsid w:val="00331D7D"/>
    <w:rsid w:val="00372022"/>
    <w:rsid w:val="003A5532"/>
    <w:rsid w:val="003A7AD6"/>
    <w:rsid w:val="003D515E"/>
    <w:rsid w:val="003E21D9"/>
    <w:rsid w:val="004476E4"/>
    <w:rsid w:val="00447B9C"/>
    <w:rsid w:val="00477AFB"/>
    <w:rsid w:val="00481B7E"/>
    <w:rsid w:val="00494737"/>
    <w:rsid w:val="00530F2E"/>
    <w:rsid w:val="00553204"/>
    <w:rsid w:val="00556588"/>
    <w:rsid w:val="00574F9E"/>
    <w:rsid w:val="0059710F"/>
    <w:rsid w:val="005B49F6"/>
    <w:rsid w:val="005C05D5"/>
    <w:rsid w:val="005F748F"/>
    <w:rsid w:val="00624548"/>
    <w:rsid w:val="0065052E"/>
    <w:rsid w:val="0066030D"/>
    <w:rsid w:val="006A4FDB"/>
    <w:rsid w:val="006B1393"/>
    <w:rsid w:val="006F455E"/>
    <w:rsid w:val="00717434"/>
    <w:rsid w:val="007244D6"/>
    <w:rsid w:val="007336FA"/>
    <w:rsid w:val="007407C5"/>
    <w:rsid w:val="00796F4D"/>
    <w:rsid w:val="007A724B"/>
    <w:rsid w:val="007D5E37"/>
    <w:rsid w:val="007E1EE4"/>
    <w:rsid w:val="007E490F"/>
    <w:rsid w:val="008C1A89"/>
    <w:rsid w:val="008C5656"/>
    <w:rsid w:val="008E031A"/>
    <w:rsid w:val="009237E0"/>
    <w:rsid w:val="009467A6"/>
    <w:rsid w:val="00947A14"/>
    <w:rsid w:val="009652E3"/>
    <w:rsid w:val="0098406E"/>
    <w:rsid w:val="009A1277"/>
    <w:rsid w:val="009E5424"/>
    <w:rsid w:val="009E6928"/>
    <w:rsid w:val="009E762D"/>
    <w:rsid w:val="00A056C4"/>
    <w:rsid w:val="00A234F8"/>
    <w:rsid w:val="00A46227"/>
    <w:rsid w:val="00A47936"/>
    <w:rsid w:val="00A501B9"/>
    <w:rsid w:val="00A5523C"/>
    <w:rsid w:val="00A56198"/>
    <w:rsid w:val="00A61A59"/>
    <w:rsid w:val="00A6510C"/>
    <w:rsid w:val="00A8374F"/>
    <w:rsid w:val="00AA4CE6"/>
    <w:rsid w:val="00AB4925"/>
    <w:rsid w:val="00B24233"/>
    <w:rsid w:val="00B2779C"/>
    <w:rsid w:val="00B34BB6"/>
    <w:rsid w:val="00B41E02"/>
    <w:rsid w:val="00B511F6"/>
    <w:rsid w:val="00B542A4"/>
    <w:rsid w:val="00B66D23"/>
    <w:rsid w:val="00B75163"/>
    <w:rsid w:val="00BA0A35"/>
    <w:rsid w:val="00BA2617"/>
    <w:rsid w:val="00BA755E"/>
    <w:rsid w:val="00BE13C3"/>
    <w:rsid w:val="00C17BF1"/>
    <w:rsid w:val="00C51D95"/>
    <w:rsid w:val="00C61F8C"/>
    <w:rsid w:val="00C8170D"/>
    <w:rsid w:val="00CA3AEA"/>
    <w:rsid w:val="00CB0263"/>
    <w:rsid w:val="00CB5124"/>
    <w:rsid w:val="00CB559B"/>
    <w:rsid w:val="00CC0348"/>
    <w:rsid w:val="00CF6627"/>
    <w:rsid w:val="00D1338F"/>
    <w:rsid w:val="00D248A9"/>
    <w:rsid w:val="00D30A04"/>
    <w:rsid w:val="00D52475"/>
    <w:rsid w:val="00D55B05"/>
    <w:rsid w:val="00D6441E"/>
    <w:rsid w:val="00D72AB5"/>
    <w:rsid w:val="00D8485D"/>
    <w:rsid w:val="00DB017B"/>
    <w:rsid w:val="00DF5EB0"/>
    <w:rsid w:val="00E152FA"/>
    <w:rsid w:val="00E412A5"/>
    <w:rsid w:val="00E436AA"/>
    <w:rsid w:val="00E93C94"/>
    <w:rsid w:val="00E95328"/>
    <w:rsid w:val="00EA5F28"/>
    <w:rsid w:val="00ED2CBF"/>
    <w:rsid w:val="00EE17BA"/>
    <w:rsid w:val="00F024EC"/>
    <w:rsid w:val="00F62EBC"/>
    <w:rsid w:val="00FC318F"/>
    <w:rsid w:val="01ABE341"/>
    <w:rsid w:val="02792E5F"/>
    <w:rsid w:val="038800FC"/>
    <w:rsid w:val="04B6C9D3"/>
    <w:rsid w:val="04D3E87D"/>
    <w:rsid w:val="05BE3C87"/>
    <w:rsid w:val="068A9AE2"/>
    <w:rsid w:val="07E9F810"/>
    <w:rsid w:val="088A3C22"/>
    <w:rsid w:val="0AAF5B28"/>
    <w:rsid w:val="0DEA3433"/>
    <w:rsid w:val="0E66AD86"/>
    <w:rsid w:val="0EE38F7A"/>
    <w:rsid w:val="0F44425F"/>
    <w:rsid w:val="0F44425F"/>
    <w:rsid w:val="106FE4B7"/>
    <w:rsid w:val="107F9A33"/>
    <w:rsid w:val="10A94E7C"/>
    <w:rsid w:val="12C5E570"/>
    <w:rsid w:val="17D8406A"/>
    <w:rsid w:val="19415730"/>
    <w:rsid w:val="195635E7"/>
    <w:rsid w:val="19649137"/>
    <w:rsid w:val="19649137"/>
    <w:rsid w:val="1A343B0F"/>
    <w:rsid w:val="1AD093B0"/>
    <w:rsid w:val="1C5507B4"/>
    <w:rsid w:val="218F025A"/>
    <w:rsid w:val="22AD6E53"/>
    <w:rsid w:val="23B079DA"/>
    <w:rsid w:val="251EE640"/>
    <w:rsid w:val="273CF801"/>
    <w:rsid w:val="28EB028B"/>
    <w:rsid w:val="28F3F4BA"/>
    <w:rsid w:val="2A8BDDF9"/>
    <w:rsid w:val="2B1ADDE6"/>
    <w:rsid w:val="2E869C08"/>
    <w:rsid w:val="2FE86730"/>
    <w:rsid w:val="316DDF33"/>
    <w:rsid w:val="328EEB5D"/>
    <w:rsid w:val="33594416"/>
    <w:rsid w:val="3430A74C"/>
    <w:rsid w:val="349AC89B"/>
    <w:rsid w:val="34F8623D"/>
    <w:rsid w:val="3571324B"/>
    <w:rsid w:val="37E25CEB"/>
    <w:rsid w:val="3943B7BA"/>
    <w:rsid w:val="39E608A5"/>
    <w:rsid w:val="3D2C9D1F"/>
    <w:rsid w:val="3DAEE916"/>
    <w:rsid w:val="3ECD6578"/>
    <w:rsid w:val="3F2D2287"/>
    <w:rsid w:val="40D4BD2A"/>
    <w:rsid w:val="42362CE8"/>
    <w:rsid w:val="42CC5425"/>
    <w:rsid w:val="44DEDD5D"/>
    <w:rsid w:val="44F4FF23"/>
    <w:rsid w:val="48106010"/>
    <w:rsid w:val="4890B8D2"/>
    <w:rsid w:val="4B76DF97"/>
    <w:rsid w:val="4BB0459F"/>
    <w:rsid w:val="4BC4EBAD"/>
    <w:rsid w:val="4D507142"/>
    <w:rsid w:val="4F6A1FF5"/>
    <w:rsid w:val="4FDAE679"/>
    <w:rsid w:val="506A6666"/>
    <w:rsid w:val="516A30AF"/>
    <w:rsid w:val="52F40A0F"/>
    <w:rsid w:val="549194FB"/>
    <w:rsid w:val="54D161E6"/>
    <w:rsid w:val="55731BE2"/>
    <w:rsid w:val="566D3247"/>
    <w:rsid w:val="566D3247"/>
    <w:rsid w:val="57BCD176"/>
    <w:rsid w:val="5CF31AA4"/>
    <w:rsid w:val="5F097653"/>
    <w:rsid w:val="60E7B4FD"/>
    <w:rsid w:val="61324387"/>
    <w:rsid w:val="619A799E"/>
    <w:rsid w:val="63495BB8"/>
    <w:rsid w:val="634F5EEA"/>
    <w:rsid w:val="6376BAB7"/>
    <w:rsid w:val="674C6C45"/>
    <w:rsid w:val="678BE6AA"/>
    <w:rsid w:val="67EA1A75"/>
    <w:rsid w:val="681DAF74"/>
    <w:rsid w:val="683DD1CF"/>
    <w:rsid w:val="6B47EC86"/>
    <w:rsid w:val="6C594C7A"/>
    <w:rsid w:val="6C7EFE69"/>
    <w:rsid w:val="6E568891"/>
    <w:rsid w:val="6F5AF942"/>
    <w:rsid w:val="6FD8FBC7"/>
    <w:rsid w:val="70B5A5EC"/>
    <w:rsid w:val="7104D2ED"/>
    <w:rsid w:val="71D5C501"/>
    <w:rsid w:val="728101CA"/>
    <w:rsid w:val="732F2041"/>
    <w:rsid w:val="75738622"/>
    <w:rsid w:val="75738622"/>
    <w:rsid w:val="76980A2E"/>
    <w:rsid w:val="78F63FCE"/>
    <w:rsid w:val="7B37FACC"/>
    <w:rsid w:val="7CE97377"/>
    <w:rsid w:val="7DB7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3C92"/>
  <w15:docId w15:val="{A2265DE8-72EE-41A9-A485-9CD69FA184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034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3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348"/>
  </w:style>
  <w:style w:type="paragraph" w:styleId="Footer">
    <w:name w:val="footer"/>
    <w:basedOn w:val="Normal"/>
    <w:link w:val="FooterChar"/>
    <w:uiPriority w:val="99"/>
    <w:unhideWhenUsed/>
    <w:rsid w:val="00CC03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348"/>
  </w:style>
  <w:style w:type="paragraph" w:styleId="BalloonText">
    <w:name w:val="Balloon Text"/>
    <w:basedOn w:val="Normal"/>
    <w:link w:val="BalloonTextChar"/>
    <w:uiPriority w:val="99"/>
    <w:semiHidden/>
    <w:unhideWhenUsed/>
    <w:rsid w:val="00CC03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348"/>
    <w:rPr>
      <w:rFonts w:ascii="Tahoma" w:hAnsi="Tahoma" w:cs="Tahoma"/>
      <w:sz w:val="16"/>
      <w:szCs w:val="16"/>
    </w:rPr>
  </w:style>
  <w:style w:type="table" w:styleId="GridTable1Light-Accent11" w:customStyle="1">
    <w:name w:val="Grid Table 1 Light - Accent 11"/>
    <w:basedOn w:val="TableNormal"/>
    <w:uiPriority w:val="46"/>
    <w:rsid w:val="00CC0348"/>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TableGrid">
    <w:name w:val="Table Grid"/>
    <w:basedOn w:val="TableNormal"/>
    <w:uiPriority w:val="59"/>
    <w:unhideWhenUsed/>
    <w:rsid w:val="00CC03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0348"/>
    <w:pPr>
      <w:ind w:left="720"/>
      <w:contextualSpacing/>
    </w:pPr>
  </w:style>
  <w:style w:type="paragraph" w:styleId="NormalWeb">
    <w:name w:val="Normal (Web)"/>
    <w:basedOn w:val="Normal"/>
    <w:uiPriority w:val="99"/>
    <w:semiHidden/>
    <w:unhideWhenUsed/>
    <w:rsid w:val="00CC0348"/>
    <w:pPr>
      <w:spacing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CC0348"/>
    <w:rPr>
      <w:color w:val="0000FF" w:themeColor="hyperlink"/>
      <w:u w:val="single"/>
    </w:rPr>
  </w:style>
  <w:style w:type="paragraph" w:styleId="NoSpacing">
    <w:name w:val="No Spacing"/>
    <w:uiPriority w:val="1"/>
    <w:qFormat/>
    <w:rsid w:val="00717434"/>
    <w:pPr>
      <w:spacing w:after="0" w:line="240" w:lineRule="auto"/>
    </w:pPr>
  </w:style>
  <w:style w:type="table" w:styleId="GridTable1Light-Accent111" w:customStyle="1">
    <w:name w:val="Grid Table 1 Light - Accent 111"/>
    <w:basedOn w:val="TableNormal"/>
    <w:uiPriority w:val="46"/>
    <w:rsid w:val="002D17FF"/>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59"/>
    <w:unhideWhenUsed/>
    <w:rsid w:val="002D17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64376">
      <w:bodyDiv w:val="1"/>
      <w:marLeft w:val="0"/>
      <w:marRight w:val="0"/>
      <w:marTop w:val="0"/>
      <w:marBottom w:val="0"/>
      <w:divBdr>
        <w:top w:val="none" w:sz="0" w:space="0" w:color="auto"/>
        <w:left w:val="none" w:sz="0" w:space="0" w:color="auto"/>
        <w:bottom w:val="none" w:sz="0" w:space="0" w:color="auto"/>
        <w:right w:val="none" w:sz="0" w:space="0" w:color="auto"/>
      </w:divBdr>
    </w:div>
    <w:div w:id="255987981">
      <w:bodyDiv w:val="1"/>
      <w:marLeft w:val="0"/>
      <w:marRight w:val="0"/>
      <w:marTop w:val="0"/>
      <w:marBottom w:val="0"/>
      <w:divBdr>
        <w:top w:val="none" w:sz="0" w:space="0" w:color="auto"/>
        <w:left w:val="none" w:sz="0" w:space="0" w:color="auto"/>
        <w:bottom w:val="none" w:sz="0" w:space="0" w:color="auto"/>
        <w:right w:val="none" w:sz="0" w:space="0" w:color="auto"/>
      </w:divBdr>
      <w:divsChild>
        <w:div w:id="408693126">
          <w:marLeft w:val="0"/>
          <w:marRight w:val="0"/>
          <w:marTop w:val="0"/>
          <w:marBottom w:val="0"/>
          <w:divBdr>
            <w:top w:val="none" w:sz="0" w:space="0" w:color="auto"/>
            <w:left w:val="none" w:sz="0" w:space="0" w:color="auto"/>
            <w:bottom w:val="none" w:sz="0" w:space="0" w:color="auto"/>
            <w:right w:val="none" w:sz="0" w:space="0" w:color="auto"/>
          </w:divBdr>
          <w:divsChild>
            <w:div w:id="1389063360">
              <w:marLeft w:val="0"/>
              <w:marRight w:val="0"/>
              <w:marTop w:val="0"/>
              <w:marBottom w:val="0"/>
              <w:divBdr>
                <w:top w:val="none" w:sz="0" w:space="0" w:color="auto"/>
                <w:left w:val="none" w:sz="0" w:space="0" w:color="auto"/>
                <w:bottom w:val="none" w:sz="0" w:space="0" w:color="auto"/>
                <w:right w:val="none" w:sz="0" w:space="0" w:color="auto"/>
              </w:divBdr>
              <w:divsChild>
                <w:div w:id="1273705798">
                  <w:marLeft w:val="-225"/>
                  <w:marRight w:val="-225"/>
                  <w:marTop w:val="0"/>
                  <w:marBottom w:val="0"/>
                  <w:divBdr>
                    <w:top w:val="none" w:sz="0" w:space="0" w:color="auto"/>
                    <w:left w:val="none" w:sz="0" w:space="0" w:color="auto"/>
                    <w:bottom w:val="none" w:sz="0" w:space="0" w:color="auto"/>
                    <w:right w:val="none" w:sz="0" w:space="0" w:color="auto"/>
                  </w:divBdr>
                  <w:divsChild>
                    <w:div w:id="1619097230">
                      <w:marLeft w:val="0"/>
                      <w:marRight w:val="0"/>
                      <w:marTop w:val="0"/>
                      <w:marBottom w:val="0"/>
                      <w:divBdr>
                        <w:top w:val="none" w:sz="0" w:space="0" w:color="auto"/>
                        <w:left w:val="none" w:sz="0" w:space="0" w:color="auto"/>
                        <w:bottom w:val="none" w:sz="0" w:space="0" w:color="auto"/>
                        <w:right w:val="none" w:sz="0" w:space="0" w:color="auto"/>
                      </w:divBdr>
                      <w:divsChild>
                        <w:div w:id="1239168600">
                          <w:marLeft w:val="0"/>
                          <w:marRight w:val="0"/>
                          <w:marTop w:val="0"/>
                          <w:marBottom w:val="0"/>
                          <w:divBdr>
                            <w:top w:val="none" w:sz="0" w:space="0" w:color="auto"/>
                            <w:left w:val="none" w:sz="0" w:space="0" w:color="auto"/>
                            <w:bottom w:val="none" w:sz="0" w:space="0" w:color="auto"/>
                            <w:right w:val="none" w:sz="0" w:space="0" w:color="auto"/>
                          </w:divBdr>
                          <w:divsChild>
                            <w:div w:id="1695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4375">
      <w:bodyDiv w:val="1"/>
      <w:marLeft w:val="0"/>
      <w:marRight w:val="0"/>
      <w:marTop w:val="0"/>
      <w:marBottom w:val="0"/>
      <w:divBdr>
        <w:top w:val="none" w:sz="0" w:space="0" w:color="auto"/>
        <w:left w:val="none" w:sz="0" w:space="0" w:color="auto"/>
        <w:bottom w:val="none" w:sz="0" w:space="0" w:color="auto"/>
        <w:right w:val="none" w:sz="0" w:space="0" w:color="auto"/>
      </w:divBdr>
      <w:divsChild>
        <w:div w:id="1248222615">
          <w:marLeft w:val="0"/>
          <w:marRight w:val="0"/>
          <w:marTop w:val="0"/>
          <w:marBottom w:val="0"/>
          <w:divBdr>
            <w:top w:val="none" w:sz="0" w:space="0" w:color="auto"/>
            <w:left w:val="none" w:sz="0" w:space="0" w:color="auto"/>
            <w:bottom w:val="none" w:sz="0" w:space="0" w:color="auto"/>
            <w:right w:val="none" w:sz="0" w:space="0" w:color="auto"/>
          </w:divBdr>
          <w:divsChild>
            <w:div w:id="69928328">
              <w:marLeft w:val="0"/>
              <w:marRight w:val="0"/>
              <w:marTop w:val="0"/>
              <w:marBottom w:val="0"/>
              <w:divBdr>
                <w:top w:val="none" w:sz="0" w:space="0" w:color="auto"/>
                <w:left w:val="none" w:sz="0" w:space="0" w:color="auto"/>
                <w:bottom w:val="none" w:sz="0" w:space="0" w:color="auto"/>
                <w:right w:val="none" w:sz="0" w:space="0" w:color="auto"/>
              </w:divBdr>
              <w:divsChild>
                <w:div w:id="1690371893">
                  <w:marLeft w:val="-225"/>
                  <w:marRight w:val="-225"/>
                  <w:marTop w:val="0"/>
                  <w:marBottom w:val="0"/>
                  <w:divBdr>
                    <w:top w:val="none" w:sz="0" w:space="0" w:color="auto"/>
                    <w:left w:val="none" w:sz="0" w:space="0" w:color="auto"/>
                    <w:bottom w:val="none" w:sz="0" w:space="0" w:color="auto"/>
                    <w:right w:val="none" w:sz="0" w:space="0" w:color="auto"/>
                  </w:divBdr>
                  <w:divsChild>
                    <w:div w:id="155456950">
                      <w:marLeft w:val="0"/>
                      <w:marRight w:val="0"/>
                      <w:marTop w:val="0"/>
                      <w:marBottom w:val="0"/>
                      <w:divBdr>
                        <w:top w:val="none" w:sz="0" w:space="0" w:color="auto"/>
                        <w:left w:val="none" w:sz="0" w:space="0" w:color="auto"/>
                        <w:bottom w:val="none" w:sz="0" w:space="0" w:color="auto"/>
                        <w:right w:val="none" w:sz="0" w:space="0" w:color="auto"/>
                      </w:divBdr>
                      <w:divsChild>
                        <w:div w:id="279459593">
                          <w:marLeft w:val="0"/>
                          <w:marRight w:val="0"/>
                          <w:marTop w:val="0"/>
                          <w:marBottom w:val="0"/>
                          <w:divBdr>
                            <w:top w:val="none" w:sz="0" w:space="0" w:color="auto"/>
                            <w:left w:val="none" w:sz="0" w:space="0" w:color="auto"/>
                            <w:bottom w:val="none" w:sz="0" w:space="0" w:color="auto"/>
                            <w:right w:val="none" w:sz="0" w:space="0" w:color="auto"/>
                          </w:divBdr>
                        </w:div>
                        <w:div w:id="1099641188">
                          <w:marLeft w:val="0"/>
                          <w:marRight w:val="0"/>
                          <w:marTop w:val="0"/>
                          <w:marBottom w:val="0"/>
                          <w:divBdr>
                            <w:top w:val="none" w:sz="0" w:space="0" w:color="auto"/>
                            <w:left w:val="none" w:sz="0" w:space="0" w:color="auto"/>
                            <w:bottom w:val="none" w:sz="0" w:space="0" w:color="auto"/>
                            <w:right w:val="none" w:sz="0" w:space="0" w:color="auto"/>
                          </w:divBdr>
                        </w:div>
                        <w:div w:id="1453092052">
                          <w:marLeft w:val="0"/>
                          <w:marRight w:val="0"/>
                          <w:marTop w:val="0"/>
                          <w:marBottom w:val="0"/>
                          <w:divBdr>
                            <w:top w:val="none" w:sz="0" w:space="0" w:color="auto"/>
                            <w:left w:val="none" w:sz="0" w:space="0" w:color="auto"/>
                            <w:bottom w:val="none" w:sz="0" w:space="0" w:color="auto"/>
                            <w:right w:val="none" w:sz="0" w:space="0" w:color="auto"/>
                          </w:divBdr>
                        </w:div>
                        <w:div w:id="1833334582">
                          <w:marLeft w:val="0"/>
                          <w:marRight w:val="0"/>
                          <w:marTop w:val="0"/>
                          <w:marBottom w:val="0"/>
                          <w:divBdr>
                            <w:top w:val="none" w:sz="0" w:space="0" w:color="auto"/>
                            <w:left w:val="none" w:sz="0" w:space="0" w:color="auto"/>
                            <w:bottom w:val="none" w:sz="0" w:space="0" w:color="auto"/>
                            <w:right w:val="none" w:sz="0" w:space="0" w:color="auto"/>
                          </w:divBdr>
                          <w:divsChild>
                            <w:div w:id="514346776">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202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968">
                      <w:marLeft w:val="0"/>
                      <w:marRight w:val="0"/>
                      <w:marTop w:val="0"/>
                      <w:marBottom w:val="0"/>
                      <w:divBdr>
                        <w:top w:val="none" w:sz="0" w:space="0" w:color="auto"/>
                        <w:left w:val="none" w:sz="0" w:space="0" w:color="auto"/>
                        <w:bottom w:val="none" w:sz="0" w:space="0" w:color="auto"/>
                        <w:right w:val="none" w:sz="0" w:space="0" w:color="auto"/>
                      </w:divBdr>
                      <w:divsChild>
                        <w:div w:id="81415754">
                          <w:marLeft w:val="0"/>
                          <w:marRight w:val="0"/>
                          <w:marTop w:val="0"/>
                          <w:marBottom w:val="0"/>
                          <w:divBdr>
                            <w:top w:val="none" w:sz="0" w:space="0" w:color="auto"/>
                            <w:left w:val="none" w:sz="0" w:space="0" w:color="auto"/>
                            <w:bottom w:val="none" w:sz="0" w:space="0" w:color="auto"/>
                            <w:right w:val="none" w:sz="0" w:space="0" w:color="auto"/>
                          </w:divBdr>
                          <w:divsChild>
                            <w:div w:id="1282689556">
                              <w:marLeft w:val="0"/>
                              <w:marRight w:val="0"/>
                              <w:marTop w:val="0"/>
                              <w:marBottom w:val="0"/>
                              <w:divBdr>
                                <w:top w:val="none" w:sz="0" w:space="0" w:color="auto"/>
                                <w:left w:val="none" w:sz="0" w:space="0" w:color="auto"/>
                                <w:bottom w:val="none" w:sz="0" w:space="0" w:color="auto"/>
                                <w:right w:val="none" w:sz="0" w:space="0" w:color="auto"/>
                              </w:divBdr>
                              <w:divsChild>
                                <w:div w:id="1052652660">
                                  <w:marLeft w:val="0"/>
                                  <w:marRight w:val="0"/>
                                  <w:marTop w:val="0"/>
                                  <w:marBottom w:val="0"/>
                                  <w:divBdr>
                                    <w:top w:val="none" w:sz="0" w:space="0" w:color="auto"/>
                                    <w:left w:val="none" w:sz="0" w:space="0" w:color="auto"/>
                                    <w:bottom w:val="none" w:sz="0" w:space="0" w:color="auto"/>
                                    <w:right w:val="none" w:sz="0" w:space="0" w:color="auto"/>
                                  </w:divBdr>
                                  <w:divsChild>
                                    <w:div w:id="315037710">
                                      <w:marLeft w:val="0"/>
                                      <w:marRight w:val="0"/>
                                      <w:marTop w:val="0"/>
                                      <w:marBottom w:val="0"/>
                                      <w:divBdr>
                                        <w:top w:val="none" w:sz="0" w:space="0" w:color="auto"/>
                                        <w:left w:val="none" w:sz="0" w:space="0" w:color="auto"/>
                                        <w:bottom w:val="none" w:sz="0" w:space="0" w:color="auto"/>
                                        <w:right w:val="none" w:sz="0" w:space="0" w:color="auto"/>
                                      </w:divBdr>
                                    </w:div>
                                    <w:div w:id="382172750">
                                      <w:marLeft w:val="0"/>
                                      <w:marRight w:val="0"/>
                                      <w:marTop w:val="0"/>
                                      <w:marBottom w:val="75"/>
                                      <w:divBdr>
                                        <w:top w:val="none" w:sz="0" w:space="0" w:color="auto"/>
                                        <w:left w:val="none" w:sz="0" w:space="0" w:color="auto"/>
                                        <w:bottom w:val="none" w:sz="0" w:space="0" w:color="auto"/>
                                        <w:right w:val="none" w:sz="0" w:space="0" w:color="auto"/>
                                      </w:divBdr>
                                    </w:div>
                                    <w:div w:id="839198696">
                                      <w:marLeft w:val="0"/>
                                      <w:marRight w:val="0"/>
                                      <w:marTop w:val="0"/>
                                      <w:marBottom w:val="0"/>
                                      <w:divBdr>
                                        <w:top w:val="none" w:sz="0" w:space="0" w:color="auto"/>
                                        <w:left w:val="none" w:sz="0" w:space="0" w:color="auto"/>
                                        <w:bottom w:val="none" w:sz="0" w:space="0" w:color="auto"/>
                                        <w:right w:val="none" w:sz="0" w:space="0" w:color="auto"/>
                                      </w:divBdr>
                                    </w:div>
                                    <w:div w:id="1312979539">
                                      <w:marLeft w:val="0"/>
                                      <w:marRight w:val="0"/>
                                      <w:marTop w:val="225"/>
                                      <w:marBottom w:val="75"/>
                                      <w:divBdr>
                                        <w:top w:val="none" w:sz="0" w:space="0" w:color="auto"/>
                                        <w:left w:val="none" w:sz="0" w:space="0" w:color="auto"/>
                                        <w:bottom w:val="none" w:sz="0" w:space="0" w:color="auto"/>
                                        <w:right w:val="none" w:sz="0" w:space="0" w:color="auto"/>
                                      </w:divBdr>
                                    </w:div>
                                    <w:div w:id="1691032755">
                                      <w:marLeft w:val="0"/>
                                      <w:marRight w:val="0"/>
                                      <w:marTop w:val="0"/>
                                      <w:marBottom w:val="0"/>
                                      <w:divBdr>
                                        <w:top w:val="none" w:sz="0" w:space="0" w:color="auto"/>
                                        <w:left w:val="none" w:sz="0" w:space="0" w:color="auto"/>
                                        <w:bottom w:val="none" w:sz="0" w:space="0" w:color="auto"/>
                                        <w:right w:val="none" w:sz="0" w:space="0" w:color="auto"/>
                                      </w:divBdr>
                                    </w:div>
                                    <w:div w:id="1781099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253946">
      <w:bodyDiv w:val="1"/>
      <w:marLeft w:val="0"/>
      <w:marRight w:val="0"/>
      <w:marTop w:val="0"/>
      <w:marBottom w:val="0"/>
      <w:divBdr>
        <w:top w:val="none" w:sz="0" w:space="0" w:color="auto"/>
        <w:left w:val="none" w:sz="0" w:space="0" w:color="auto"/>
        <w:bottom w:val="none" w:sz="0" w:space="0" w:color="auto"/>
        <w:right w:val="none" w:sz="0" w:space="0" w:color="auto"/>
      </w:divBdr>
    </w:div>
    <w:div w:id="770050176">
      <w:bodyDiv w:val="1"/>
      <w:marLeft w:val="0"/>
      <w:marRight w:val="0"/>
      <w:marTop w:val="0"/>
      <w:marBottom w:val="0"/>
      <w:divBdr>
        <w:top w:val="none" w:sz="0" w:space="0" w:color="auto"/>
        <w:left w:val="none" w:sz="0" w:space="0" w:color="auto"/>
        <w:bottom w:val="none" w:sz="0" w:space="0" w:color="auto"/>
        <w:right w:val="none" w:sz="0" w:space="0" w:color="auto"/>
      </w:divBdr>
      <w:divsChild>
        <w:div w:id="156310648">
          <w:marLeft w:val="0"/>
          <w:marRight w:val="0"/>
          <w:marTop w:val="0"/>
          <w:marBottom w:val="0"/>
          <w:divBdr>
            <w:top w:val="none" w:sz="0" w:space="0" w:color="auto"/>
            <w:left w:val="none" w:sz="0" w:space="0" w:color="auto"/>
            <w:bottom w:val="none" w:sz="0" w:space="0" w:color="auto"/>
            <w:right w:val="none" w:sz="0" w:space="0" w:color="auto"/>
          </w:divBdr>
          <w:divsChild>
            <w:div w:id="1973901245">
              <w:marLeft w:val="0"/>
              <w:marRight w:val="0"/>
              <w:marTop w:val="0"/>
              <w:marBottom w:val="0"/>
              <w:divBdr>
                <w:top w:val="none" w:sz="0" w:space="0" w:color="auto"/>
                <w:left w:val="none" w:sz="0" w:space="0" w:color="auto"/>
                <w:bottom w:val="none" w:sz="0" w:space="0" w:color="auto"/>
                <w:right w:val="none" w:sz="0" w:space="0" w:color="auto"/>
              </w:divBdr>
              <w:divsChild>
                <w:div w:id="75983008">
                  <w:marLeft w:val="0"/>
                  <w:marRight w:val="0"/>
                  <w:marTop w:val="0"/>
                  <w:marBottom w:val="0"/>
                  <w:divBdr>
                    <w:top w:val="none" w:sz="0" w:space="0" w:color="auto"/>
                    <w:left w:val="none" w:sz="0" w:space="0" w:color="auto"/>
                    <w:bottom w:val="none" w:sz="0" w:space="0" w:color="auto"/>
                    <w:right w:val="none" w:sz="0" w:space="0" w:color="auto"/>
                  </w:divBdr>
                  <w:divsChild>
                    <w:div w:id="213077898">
                      <w:marLeft w:val="0"/>
                      <w:marRight w:val="0"/>
                      <w:marTop w:val="0"/>
                      <w:marBottom w:val="0"/>
                      <w:divBdr>
                        <w:top w:val="none" w:sz="0" w:space="0" w:color="auto"/>
                        <w:left w:val="none" w:sz="0" w:space="0" w:color="auto"/>
                        <w:bottom w:val="none" w:sz="0" w:space="0" w:color="auto"/>
                        <w:right w:val="none" w:sz="0" w:space="0" w:color="auto"/>
                      </w:divBdr>
                      <w:divsChild>
                        <w:div w:id="1232764670">
                          <w:marLeft w:val="0"/>
                          <w:marRight w:val="0"/>
                          <w:marTop w:val="0"/>
                          <w:marBottom w:val="0"/>
                          <w:divBdr>
                            <w:top w:val="none" w:sz="0" w:space="0" w:color="auto"/>
                            <w:left w:val="none" w:sz="0" w:space="0" w:color="auto"/>
                            <w:bottom w:val="none" w:sz="0" w:space="0" w:color="auto"/>
                            <w:right w:val="none" w:sz="0" w:space="0" w:color="auto"/>
                          </w:divBdr>
                          <w:divsChild>
                            <w:div w:id="1061438591">
                              <w:marLeft w:val="-225"/>
                              <w:marRight w:val="-225"/>
                              <w:marTop w:val="0"/>
                              <w:marBottom w:val="0"/>
                              <w:divBdr>
                                <w:top w:val="none" w:sz="0" w:space="0" w:color="auto"/>
                                <w:left w:val="none" w:sz="0" w:space="0" w:color="auto"/>
                                <w:bottom w:val="none" w:sz="0" w:space="0" w:color="auto"/>
                                <w:right w:val="none" w:sz="0" w:space="0" w:color="auto"/>
                              </w:divBdr>
                              <w:divsChild>
                                <w:div w:id="1698845567">
                                  <w:marLeft w:val="0"/>
                                  <w:marRight w:val="0"/>
                                  <w:marTop w:val="0"/>
                                  <w:marBottom w:val="0"/>
                                  <w:divBdr>
                                    <w:top w:val="none" w:sz="0" w:space="0" w:color="auto"/>
                                    <w:left w:val="none" w:sz="0" w:space="0" w:color="auto"/>
                                    <w:bottom w:val="none" w:sz="0" w:space="0" w:color="auto"/>
                                    <w:right w:val="none" w:sz="0" w:space="0" w:color="auto"/>
                                  </w:divBdr>
                                  <w:divsChild>
                                    <w:div w:id="1694727503">
                                      <w:marLeft w:val="0"/>
                                      <w:marRight w:val="0"/>
                                      <w:marTop w:val="0"/>
                                      <w:marBottom w:val="0"/>
                                      <w:divBdr>
                                        <w:top w:val="none" w:sz="0" w:space="0" w:color="auto"/>
                                        <w:left w:val="none" w:sz="0" w:space="0" w:color="auto"/>
                                        <w:bottom w:val="none" w:sz="0" w:space="0" w:color="auto"/>
                                        <w:right w:val="none" w:sz="0" w:space="0" w:color="auto"/>
                                      </w:divBdr>
                                      <w:divsChild>
                                        <w:div w:id="1154830314">
                                          <w:marLeft w:val="0"/>
                                          <w:marRight w:val="0"/>
                                          <w:marTop w:val="0"/>
                                          <w:marBottom w:val="0"/>
                                          <w:divBdr>
                                            <w:top w:val="none" w:sz="0" w:space="0" w:color="auto"/>
                                            <w:left w:val="none" w:sz="0" w:space="0" w:color="auto"/>
                                            <w:bottom w:val="none" w:sz="0" w:space="0" w:color="auto"/>
                                            <w:right w:val="none" w:sz="0" w:space="0" w:color="auto"/>
                                          </w:divBdr>
                                          <w:divsChild>
                                            <w:div w:id="1372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22449">
      <w:bodyDiv w:val="1"/>
      <w:marLeft w:val="0"/>
      <w:marRight w:val="0"/>
      <w:marTop w:val="0"/>
      <w:marBottom w:val="0"/>
      <w:divBdr>
        <w:top w:val="none" w:sz="0" w:space="0" w:color="auto"/>
        <w:left w:val="none" w:sz="0" w:space="0" w:color="auto"/>
        <w:bottom w:val="none" w:sz="0" w:space="0" w:color="auto"/>
        <w:right w:val="none" w:sz="0" w:space="0" w:color="auto"/>
      </w:divBdr>
      <w:divsChild>
        <w:div w:id="1919751604">
          <w:marLeft w:val="0"/>
          <w:marRight w:val="0"/>
          <w:marTop w:val="0"/>
          <w:marBottom w:val="0"/>
          <w:divBdr>
            <w:top w:val="none" w:sz="0" w:space="0" w:color="auto"/>
            <w:left w:val="none" w:sz="0" w:space="0" w:color="auto"/>
            <w:bottom w:val="none" w:sz="0" w:space="0" w:color="auto"/>
            <w:right w:val="none" w:sz="0" w:space="0" w:color="auto"/>
          </w:divBdr>
          <w:divsChild>
            <w:div w:id="192692892">
              <w:marLeft w:val="0"/>
              <w:marRight w:val="0"/>
              <w:marTop w:val="0"/>
              <w:marBottom w:val="0"/>
              <w:divBdr>
                <w:top w:val="none" w:sz="0" w:space="0" w:color="auto"/>
                <w:left w:val="none" w:sz="0" w:space="0" w:color="auto"/>
                <w:bottom w:val="none" w:sz="0" w:space="0" w:color="auto"/>
                <w:right w:val="none" w:sz="0" w:space="0" w:color="auto"/>
              </w:divBdr>
              <w:divsChild>
                <w:div w:id="269702794">
                  <w:marLeft w:val="-225"/>
                  <w:marRight w:val="-225"/>
                  <w:marTop w:val="0"/>
                  <w:marBottom w:val="0"/>
                  <w:divBdr>
                    <w:top w:val="none" w:sz="0" w:space="0" w:color="auto"/>
                    <w:left w:val="none" w:sz="0" w:space="0" w:color="auto"/>
                    <w:bottom w:val="none" w:sz="0" w:space="0" w:color="auto"/>
                    <w:right w:val="none" w:sz="0" w:space="0" w:color="auto"/>
                  </w:divBdr>
                  <w:divsChild>
                    <w:div w:id="1059744249">
                      <w:marLeft w:val="0"/>
                      <w:marRight w:val="0"/>
                      <w:marTop w:val="0"/>
                      <w:marBottom w:val="0"/>
                      <w:divBdr>
                        <w:top w:val="none" w:sz="0" w:space="0" w:color="auto"/>
                        <w:left w:val="none" w:sz="0" w:space="0" w:color="auto"/>
                        <w:bottom w:val="none" w:sz="0" w:space="0" w:color="auto"/>
                        <w:right w:val="none" w:sz="0" w:space="0" w:color="auto"/>
                      </w:divBdr>
                      <w:divsChild>
                        <w:div w:id="2050758609">
                          <w:marLeft w:val="0"/>
                          <w:marRight w:val="0"/>
                          <w:marTop w:val="0"/>
                          <w:marBottom w:val="0"/>
                          <w:divBdr>
                            <w:top w:val="none" w:sz="0" w:space="0" w:color="auto"/>
                            <w:left w:val="none" w:sz="0" w:space="0" w:color="auto"/>
                            <w:bottom w:val="none" w:sz="0" w:space="0" w:color="auto"/>
                            <w:right w:val="none" w:sz="0" w:space="0" w:color="auto"/>
                          </w:divBdr>
                          <w:divsChild>
                            <w:div w:id="1364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1234">
      <w:bodyDiv w:val="1"/>
      <w:marLeft w:val="0"/>
      <w:marRight w:val="0"/>
      <w:marTop w:val="0"/>
      <w:marBottom w:val="0"/>
      <w:divBdr>
        <w:top w:val="none" w:sz="0" w:space="0" w:color="auto"/>
        <w:left w:val="none" w:sz="0" w:space="0" w:color="auto"/>
        <w:bottom w:val="none" w:sz="0" w:space="0" w:color="auto"/>
        <w:right w:val="none" w:sz="0" w:space="0" w:color="auto"/>
      </w:divBdr>
      <w:divsChild>
        <w:div w:id="563419943">
          <w:marLeft w:val="0"/>
          <w:marRight w:val="0"/>
          <w:marTop w:val="0"/>
          <w:marBottom w:val="0"/>
          <w:divBdr>
            <w:top w:val="none" w:sz="0" w:space="0" w:color="auto"/>
            <w:left w:val="none" w:sz="0" w:space="0" w:color="auto"/>
            <w:bottom w:val="none" w:sz="0" w:space="0" w:color="auto"/>
            <w:right w:val="none" w:sz="0" w:space="0" w:color="auto"/>
          </w:divBdr>
          <w:divsChild>
            <w:div w:id="475530505">
              <w:marLeft w:val="0"/>
              <w:marRight w:val="0"/>
              <w:marTop w:val="0"/>
              <w:marBottom w:val="0"/>
              <w:divBdr>
                <w:top w:val="none" w:sz="0" w:space="0" w:color="auto"/>
                <w:left w:val="none" w:sz="0" w:space="0" w:color="auto"/>
                <w:bottom w:val="none" w:sz="0" w:space="0" w:color="auto"/>
                <w:right w:val="none" w:sz="0" w:space="0" w:color="auto"/>
              </w:divBdr>
              <w:divsChild>
                <w:div w:id="1382752442">
                  <w:marLeft w:val="-225"/>
                  <w:marRight w:val="-225"/>
                  <w:marTop w:val="0"/>
                  <w:marBottom w:val="0"/>
                  <w:divBdr>
                    <w:top w:val="none" w:sz="0" w:space="0" w:color="auto"/>
                    <w:left w:val="none" w:sz="0" w:space="0" w:color="auto"/>
                    <w:bottom w:val="none" w:sz="0" w:space="0" w:color="auto"/>
                    <w:right w:val="none" w:sz="0" w:space="0" w:color="auto"/>
                  </w:divBdr>
                  <w:divsChild>
                    <w:div w:id="2126579441">
                      <w:marLeft w:val="0"/>
                      <w:marRight w:val="0"/>
                      <w:marTop w:val="0"/>
                      <w:marBottom w:val="0"/>
                      <w:divBdr>
                        <w:top w:val="none" w:sz="0" w:space="0" w:color="auto"/>
                        <w:left w:val="none" w:sz="0" w:space="0" w:color="auto"/>
                        <w:bottom w:val="none" w:sz="0" w:space="0" w:color="auto"/>
                        <w:right w:val="none" w:sz="0" w:space="0" w:color="auto"/>
                      </w:divBdr>
                      <w:divsChild>
                        <w:div w:id="4751038">
                          <w:marLeft w:val="0"/>
                          <w:marRight w:val="0"/>
                          <w:marTop w:val="0"/>
                          <w:marBottom w:val="0"/>
                          <w:divBdr>
                            <w:top w:val="none" w:sz="0" w:space="0" w:color="auto"/>
                            <w:left w:val="none" w:sz="0" w:space="0" w:color="auto"/>
                            <w:bottom w:val="none" w:sz="0" w:space="0" w:color="auto"/>
                            <w:right w:val="none" w:sz="0" w:space="0" w:color="auto"/>
                          </w:divBdr>
                          <w:divsChild>
                            <w:div w:id="1161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21859">
      <w:bodyDiv w:val="1"/>
      <w:marLeft w:val="0"/>
      <w:marRight w:val="0"/>
      <w:marTop w:val="0"/>
      <w:marBottom w:val="0"/>
      <w:divBdr>
        <w:top w:val="none" w:sz="0" w:space="0" w:color="auto"/>
        <w:left w:val="none" w:sz="0" w:space="0" w:color="auto"/>
        <w:bottom w:val="none" w:sz="0" w:space="0" w:color="auto"/>
        <w:right w:val="none" w:sz="0" w:space="0" w:color="auto"/>
      </w:divBdr>
    </w:div>
    <w:div w:id="1411737653">
      <w:bodyDiv w:val="1"/>
      <w:marLeft w:val="0"/>
      <w:marRight w:val="0"/>
      <w:marTop w:val="0"/>
      <w:marBottom w:val="0"/>
      <w:divBdr>
        <w:top w:val="none" w:sz="0" w:space="0" w:color="auto"/>
        <w:left w:val="none" w:sz="0" w:space="0" w:color="auto"/>
        <w:bottom w:val="none" w:sz="0" w:space="0" w:color="auto"/>
        <w:right w:val="none" w:sz="0" w:space="0" w:color="auto"/>
      </w:divBdr>
      <w:divsChild>
        <w:div w:id="1057968352">
          <w:marLeft w:val="0"/>
          <w:marRight w:val="0"/>
          <w:marTop w:val="0"/>
          <w:marBottom w:val="0"/>
          <w:divBdr>
            <w:top w:val="none" w:sz="0" w:space="0" w:color="auto"/>
            <w:left w:val="none" w:sz="0" w:space="0" w:color="auto"/>
            <w:bottom w:val="none" w:sz="0" w:space="0" w:color="auto"/>
            <w:right w:val="none" w:sz="0" w:space="0" w:color="auto"/>
          </w:divBdr>
          <w:divsChild>
            <w:div w:id="1864594425">
              <w:marLeft w:val="0"/>
              <w:marRight w:val="0"/>
              <w:marTop w:val="0"/>
              <w:marBottom w:val="0"/>
              <w:divBdr>
                <w:top w:val="none" w:sz="0" w:space="0" w:color="auto"/>
                <w:left w:val="none" w:sz="0" w:space="0" w:color="auto"/>
                <w:bottom w:val="none" w:sz="0" w:space="0" w:color="auto"/>
                <w:right w:val="none" w:sz="0" w:space="0" w:color="auto"/>
              </w:divBdr>
              <w:divsChild>
                <w:div w:id="37440193">
                  <w:marLeft w:val="-225"/>
                  <w:marRight w:val="-225"/>
                  <w:marTop w:val="0"/>
                  <w:marBottom w:val="0"/>
                  <w:divBdr>
                    <w:top w:val="none" w:sz="0" w:space="0" w:color="auto"/>
                    <w:left w:val="none" w:sz="0" w:space="0" w:color="auto"/>
                    <w:bottom w:val="none" w:sz="0" w:space="0" w:color="auto"/>
                    <w:right w:val="none" w:sz="0" w:space="0" w:color="auto"/>
                  </w:divBdr>
                  <w:divsChild>
                    <w:div w:id="725226384">
                      <w:marLeft w:val="0"/>
                      <w:marRight w:val="0"/>
                      <w:marTop w:val="0"/>
                      <w:marBottom w:val="0"/>
                      <w:divBdr>
                        <w:top w:val="none" w:sz="0" w:space="0" w:color="auto"/>
                        <w:left w:val="none" w:sz="0" w:space="0" w:color="auto"/>
                        <w:bottom w:val="none" w:sz="0" w:space="0" w:color="auto"/>
                        <w:right w:val="none" w:sz="0" w:space="0" w:color="auto"/>
                      </w:divBdr>
                      <w:divsChild>
                        <w:div w:id="1703894534">
                          <w:marLeft w:val="0"/>
                          <w:marRight w:val="0"/>
                          <w:marTop w:val="0"/>
                          <w:marBottom w:val="0"/>
                          <w:divBdr>
                            <w:top w:val="none" w:sz="0" w:space="0" w:color="auto"/>
                            <w:left w:val="none" w:sz="0" w:space="0" w:color="auto"/>
                            <w:bottom w:val="none" w:sz="0" w:space="0" w:color="auto"/>
                            <w:right w:val="none" w:sz="0" w:space="0" w:color="auto"/>
                          </w:divBdr>
                          <w:divsChild>
                            <w:div w:id="1166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531">
      <w:bodyDiv w:val="1"/>
      <w:marLeft w:val="0"/>
      <w:marRight w:val="0"/>
      <w:marTop w:val="0"/>
      <w:marBottom w:val="0"/>
      <w:divBdr>
        <w:top w:val="none" w:sz="0" w:space="0" w:color="auto"/>
        <w:left w:val="none" w:sz="0" w:space="0" w:color="auto"/>
        <w:bottom w:val="none" w:sz="0" w:space="0" w:color="auto"/>
        <w:right w:val="none" w:sz="0" w:space="0" w:color="auto"/>
      </w:divBdr>
      <w:divsChild>
        <w:div w:id="434787276">
          <w:marLeft w:val="0"/>
          <w:marRight w:val="0"/>
          <w:marTop w:val="0"/>
          <w:marBottom w:val="0"/>
          <w:divBdr>
            <w:top w:val="none" w:sz="0" w:space="0" w:color="auto"/>
            <w:left w:val="none" w:sz="0" w:space="0" w:color="auto"/>
            <w:bottom w:val="none" w:sz="0" w:space="0" w:color="auto"/>
            <w:right w:val="none" w:sz="0" w:space="0" w:color="auto"/>
          </w:divBdr>
          <w:divsChild>
            <w:div w:id="134228335">
              <w:marLeft w:val="0"/>
              <w:marRight w:val="0"/>
              <w:marTop w:val="0"/>
              <w:marBottom w:val="0"/>
              <w:divBdr>
                <w:top w:val="none" w:sz="0" w:space="0" w:color="auto"/>
                <w:left w:val="none" w:sz="0" w:space="0" w:color="auto"/>
                <w:bottom w:val="none" w:sz="0" w:space="0" w:color="auto"/>
                <w:right w:val="none" w:sz="0" w:space="0" w:color="auto"/>
              </w:divBdr>
              <w:divsChild>
                <w:div w:id="2091078725">
                  <w:marLeft w:val="-225"/>
                  <w:marRight w:val="-225"/>
                  <w:marTop w:val="0"/>
                  <w:marBottom w:val="0"/>
                  <w:divBdr>
                    <w:top w:val="none" w:sz="0" w:space="0" w:color="auto"/>
                    <w:left w:val="none" w:sz="0" w:space="0" w:color="auto"/>
                    <w:bottom w:val="none" w:sz="0" w:space="0" w:color="auto"/>
                    <w:right w:val="none" w:sz="0" w:space="0" w:color="auto"/>
                  </w:divBdr>
                  <w:divsChild>
                    <w:div w:id="2089497447">
                      <w:marLeft w:val="0"/>
                      <w:marRight w:val="0"/>
                      <w:marTop w:val="0"/>
                      <w:marBottom w:val="0"/>
                      <w:divBdr>
                        <w:top w:val="none" w:sz="0" w:space="0" w:color="auto"/>
                        <w:left w:val="none" w:sz="0" w:space="0" w:color="auto"/>
                        <w:bottom w:val="none" w:sz="0" w:space="0" w:color="auto"/>
                        <w:right w:val="none" w:sz="0" w:space="0" w:color="auto"/>
                      </w:divBdr>
                      <w:divsChild>
                        <w:div w:id="1734235132">
                          <w:marLeft w:val="0"/>
                          <w:marRight w:val="0"/>
                          <w:marTop w:val="0"/>
                          <w:marBottom w:val="0"/>
                          <w:divBdr>
                            <w:top w:val="none" w:sz="0" w:space="0" w:color="auto"/>
                            <w:left w:val="none" w:sz="0" w:space="0" w:color="auto"/>
                            <w:bottom w:val="none" w:sz="0" w:space="0" w:color="auto"/>
                            <w:right w:val="none" w:sz="0" w:space="0" w:color="auto"/>
                          </w:divBdr>
                          <w:divsChild>
                            <w:div w:id="170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9426">
      <w:bodyDiv w:val="1"/>
      <w:marLeft w:val="0"/>
      <w:marRight w:val="0"/>
      <w:marTop w:val="0"/>
      <w:marBottom w:val="0"/>
      <w:divBdr>
        <w:top w:val="none" w:sz="0" w:space="0" w:color="auto"/>
        <w:left w:val="none" w:sz="0" w:space="0" w:color="auto"/>
        <w:bottom w:val="none" w:sz="0" w:space="0" w:color="auto"/>
        <w:right w:val="none" w:sz="0" w:space="0" w:color="auto"/>
      </w:divBdr>
      <w:divsChild>
        <w:div w:id="247690962">
          <w:marLeft w:val="0"/>
          <w:marRight w:val="0"/>
          <w:marTop w:val="0"/>
          <w:marBottom w:val="0"/>
          <w:divBdr>
            <w:top w:val="none" w:sz="0" w:space="0" w:color="auto"/>
            <w:left w:val="none" w:sz="0" w:space="0" w:color="auto"/>
            <w:bottom w:val="none" w:sz="0" w:space="0" w:color="auto"/>
            <w:right w:val="none" w:sz="0" w:space="0" w:color="auto"/>
          </w:divBdr>
          <w:divsChild>
            <w:div w:id="1965383166">
              <w:marLeft w:val="0"/>
              <w:marRight w:val="0"/>
              <w:marTop w:val="0"/>
              <w:marBottom w:val="0"/>
              <w:divBdr>
                <w:top w:val="none" w:sz="0" w:space="0" w:color="auto"/>
                <w:left w:val="none" w:sz="0" w:space="0" w:color="auto"/>
                <w:bottom w:val="none" w:sz="0" w:space="0" w:color="auto"/>
                <w:right w:val="none" w:sz="0" w:space="0" w:color="auto"/>
              </w:divBdr>
              <w:divsChild>
                <w:div w:id="798381198">
                  <w:marLeft w:val="0"/>
                  <w:marRight w:val="0"/>
                  <w:marTop w:val="0"/>
                  <w:marBottom w:val="0"/>
                  <w:divBdr>
                    <w:top w:val="none" w:sz="0" w:space="0" w:color="auto"/>
                    <w:left w:val="none" w:sz="0" w:space="0" w:color="auto"/>
                    <w:bottom w:val="none" w:sz="0" w:space="0" w:color="auto"/>
                    <w:right w:val="none" w:sz="0" w:space="0" w:color="auto"/>
                  </w:divBdr>
                  <w:divsChild>
                    <w:div w:id="1278759302">
                      <w:marLeft w:val="0"/>
                      <w:marRight w:val="0"/>
                      <w:marTop w:val="0"/>
                      <w:marBottom w:val="0"/>
                      <w:divBdr>
                        <w:top w:val="none" w:sz="0" w:space="0" w:color="auto"/>
                        <w:left w:val="none" w:sz="0" w:space="0" w:color="auto"/>
                        <w:bottom w:val="none" w:sz="0" w:space="0" w:color="auto"/>
                        <w:right w:val="none" w:sz="0" w:space="0" w:color="auto"/>
                      </w:divBdr>
                      <w:divsChild>
                        <w:div w:id="1752391131">
                          <w:marLeft w:val="0"/>
                          <w:marRight w:val="0"/>
                          <w:marTop w:val="0"/>
                          <w:marBottom w:val="0"/>
                          <w:divBdr>
                            <w:top w:val="none" w:sz="0" w:space="0" w:color="auto"/>
                            <w:left w:val="none" w:sz="0" w:space="0" w:color="auto"/>
                            <w:bottom w:val="none" w:sz="0" w:space="0" w:color="auto"/>
                            <w:right w:val="none" w:sz="0" w:space="0" w:color="auto"/>
                          </w:divBdr>
                          <w:divsChild>
                            <w:div w:id="73355729">
                              <w:marLeft w:val="-225"/>
                              <w:marRight w:val="-225"/>
                              <w:marTop w:val="0"/>
                              <w:marBottom w:val="0"/>
                              <w:divBdr>
                                <w:top w:val="none" w:sz="0" w:space="0" w:color="auto"/>
                                <w:left w:val="none" w:sz="0" w:space="0" w:color="auto"/>
                                <w:bottom w:val="none" w:sz="0" w:space="0" w:color="auto"/>
                                <w:right w:val="none" w:sz="0" w:space="0" w:color="auto"/>
                              </w:divBdr>
                              <w:divsChild>
                                <w:div w:id="1618947012">
                                  <w:marLeft w:val="0"/>
                                  <w:marRight w:val="0"/>
                                  <w:marTop w:val="0"/>
                                  <w:marBottom w:val="0"/>
                                  <w:divBdr>
                                    <w:top w:val="none" w:sz="0" w:space="0" w:color="auto"/>
                                    <w:left w:val="none" w:sz="0" w:space="0" w:color="auto"/>
                                    <w:bottom w:val="none" w:sz="0" w:space="0" w:color="auto"/>
                                    <w:right w:val="none" w:sz="0" w:space="0" w:color="auto"/>
                                  </w:divBdr>
                                  <w:divsChild>
                                    <w:div w:id="729035865">
                                      <w:marLeft w:val="0"/>
                                      <w:marRight w:val="0"/>
                                      <w:marTop w:val="0"/>
                                      <w:marBottom w:val="0"/>
                                      <w:divBdr>
                                        <w:top w:val="none" w:sz="0" w:space="0" w:color="auto"/>
                                        <w:left w:val="none" w:sz="0" w:space="0" w:color="auto"/>
                                        <w:bottom w:val="none" w:sz="0" w:space="0" w:color="auto"/>
                                        <w:right w:val="none" w:sz="0" w:space="0" w:color="auto"/>
                                      </w:divBdr>
                                      <w:divsChild>
                                        <w:div w:id="506679166">
                                          <w:marLeft w:val="0"/>
                                          <w:marRight w:val="0"/>
                                          <w:marTop w:val="0"/>
                                          <w:marBottom w:val="0"/>
                                          <w:divBdr>
                                            <w:top w:val="none" w:sz="0" w:space="0" w:color="auto"/>
                                            <w:left w:val="none" w:sz="0" w:space="0" w:color="auto"/>
                                            <w:bottom w:val="none" w:sz="0" w:space="0" w:color="auto"/>
                                            <w:right w:val="none" w:sz="0" w:space="0" w:color="auto"/>
                                          </w:divBdr>
                                          <w:divsChild>
                                            <w:div w:id="46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yeec.com/uploadimages1/forum/abbott/rchitect_c4000I1000.pdf"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footer" Target="footer1.xml" Id="rId14" /><Relationship Type="http://schemas.openxmlformats.org/officeDocument/2006/relationships/hyperlink" Target="http://www.hhs.gov/ocr.hipaa/" TargetMode="External" Id="R18cfb0e7aa8a4ad9" /><Relationship Type="http://schemas.openxmlformats.org/officeDocument/2006/relationships/hyperlink" Target="https://cleanslatecenters.training.reliaslearning.com/" TargetMode="External" Id="R2e3808ed6e524a2a" /><Relationship Type="http://schemas.openxmlformats.org/officeDocument/2006/relationships/hyperlink" Target="http://cdc.gov/ncidod/dhqp/pdf/guidelines/Isolation2007.pdf" TargetMode="External" Id="Rfa993d38b05d4550" /></Relationships>
</file>

<file path=word/_rels/header1.xml.rels><?xml version="1.0" encoding="UTF-8" standalone="yes"?>
<Relationships xmlns="http://schemas.openxmlformats.org/package/2006/relationships"><Relationship Id="rId2" Type="http://schemas.openxmlformats.org/officeDocument/2006/relationships/image" Target="cid:image003.png@01D4FE74.34EFA8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91AD-170D-41A6-B886-E6FF0E50DD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Patrice Ohouo</lastModifiedBy>
  <revision>8</revision>
  <dcterms:created xsi:type="dcterms:W3CDTF">2021-02-18T15:33:00.0000000Z</dcterms:created>
  <dcterms:modified xsi:type="dcterms:W3CDTF">2024-08-14T14:54:08.4906788Z</dcterms:modified>
</coreProperties>
</file>