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FE" w:rsidRDefault="009359FE" w:rsidP="004843E9">
      <w:pPr>
        <w:tabs>
          <w:tab w:val="clear" w:pos="7320"/>
        </w:tabs>
        <w:ind w:left="-90"/>
        <w:jc w:val="center"/>
        <w:rPr>
          <w:rStyle w:val="TitleChar"/>
          <w:b w:val="0"/>
        </w:rPr>
      </w:pPr>
    </w:p>
    <w:p w:rsidR="006A57F8" w:rsidRDefault="002454BE" w:rsidP="009A2A82">
      <w:pPr>
        <w:pStyle w:val="Title"/>
      </w:pPr>
      <w:r w:rsidRPr="00E86FFF">
        <w:t>Policy and Procedure</w:t>
      </w:r>
      <w:r w:rsidRPr="00B8476A">
        <w:t xml:space="preserve"> </w:t>
      </w:r>
      <w:r>
        <w:br/>
      </w:r>
      <w:r w:rsidRPr="00B8476A">
        <w:t>Dignity Health Central Coast Service Area</w:t>
      </w:r>
    </w:p>
    <w:p w:rsidR="006A57F8" w:rsidRPr="00BE7AF5" w:rsidRDefault="006A57F8" w:rsidP="00BD443E">
      <w:pPr>
        <w:ind w:left="0"/>
        <w:jc w:val="center"/>
        <w:rPr>
          <w:rStyle w:val="TitleChar"/>
          <w:b w:val="0"/>
        </w:rPr>
      </w:pPr>
    </w:p>
    <w:p w:rsidR="00BE33DD" w:rsidRDefault="00BE33DD" w:rsidP="00BC345C"/>
    <w:p w:rsidR="00F85D51" w:rsidRDefault="00D21D8A" w:rsidP="002454BE">
      <w:pPr>
        <w:ind w:left="-90"/>
      </w:pPr>
      <w:sdt>
        <w:sdtPr>
          <w:rPr>
            <w:b/>
          </w:rPr>
          <w:alias w:val="Type Title in Field on Right"/>
          <w:tag w:val="Type Title in Field on Right"/>
          <w:id w:val="1281069417"/>
          <w:lock w:val="sdtContentLocked"/>
          <w:placeholder>
            <w:docPart w:val="6D4A1C9015F840BB9263D1A1DA3FB38C"/>
          </w:placeholder>
        </w:sdtPr>
        <w:sdtEndPr>
          <w:rPr>
            <w:b w:val="0"/>
          </w:rPr>
        </w:sdtEndPr>
        <w:sdtContent>
          <w:r w:rsidR="00F85D51" w:rsidRPr="00A247B0">
            <w:rPr>
              <w:b/>
            </w:rPr>
            <w:t>SUBJECT</w:t>
          </w:r>
          <w:r w:rsidR="00F85D51" w:rsidRPr="00EC6D3B">
            <w:t>:</w:t>
          </w:r>
        </w:sdtContent>
      </w:sdt>
      <w:r w:rsidR="00F85D51">
        <w:t xml:space="preserve"> </w:t>
      </w:r>
      <w:sdt>
        <w:sdtPr>
          <w:rPr>
            <w:szCs w:val="22"/>
          </w:rPr>
          <w:alias w:val="Title of Policy Here"/>
          <w:tag w:val="Title of Policy Here"/>
          <w:id w:val="498936599"/>
          <w:lock w:val="sdtLocked"/>
          <w:placeholder>
            <w:docPart w:val="C9F3ADBC56C6498C9C463B87BA6B9C33"/>
          </w:placeholder>
          <w:text w:multiLine="1"/>
        </w:sdtPr>
        <w:sdtEndPr/>
        <w:sdtContent>
          <w:r w:rsidR="007457C8" w:rsidRPr="007457C8">
            <w:rPr>
              <w:szCs w:val="22"/>
            </w:rPr>
            <w:t xml:space="preserve"> Manual Gel Indirect Antiglobulin Testing Crossmatch Procedure</w:t>
          </w:r>
        </w:sdtContent>
      </w:sdt>
    </w:p>
    <w:p w:rsidR="002F0DE6" w:rsidRPr="002F0DE6" w:rsidRDefault="002F0DE6" w:rsidP="002F0DE6">
      <w:pPr>
        <w:ind w:left="720"/>
        <w:rPr>
          <w:b/>
        </w:rPr>
      </w:pPr>
      <w:r>
        <w:rPr>
          <w:b/>
        </w:rPr>
        <w:t>Laboratory Policy Number</w:t>
      </w:r>
      <w:r w:rsidR="00387652">
        <w:rPr>
          <w:b/>
        </w:rPr>
        <w:t>: 7540.BB.CC.146</w:t>
      </w:r>
    </w:p>
    <w:p w:rsidR="00F85D51" w:rsidRDefault="00F85D51" w:rsidP="00BC345C"/>
    <w:tbl>
      <w:tblPr>
        <w:tblStyle w:val="TableGrid"/>
        <w:tblW w:w="9900" w:type="dxa"/>
        <w:tblInd w:w="18" w:type="dxa"/>
        <w:tblLook w:val="04A0" w:firstRow="1" w:lastRow="0" w:firstColumn="1" w:lastColumn="0" w:noHBand="0" w:noVBand="1"/>
      </w:tblPr>
      <w:tblGrid>
        <w:gridCol w:w="3420"/>
        <w:gridCol w:w="3420"/>
        <w:gridCol w:w="3060"/>
      </w:tblGrid>
      <w:tr w:rsidR="00E046B0" w:rsidRPr="00871139" w:rsidTr="00485537">
        <w:trPr>
          <w:trHeight w:val="324"/>
        </w:trPr>
        <w:sdt>
          <w:sdtPr>
            <w:rPr>
              <w:b/>
              <w:sz w:val="18"/>
            </w:rPr>
            <w:id w:val="498015175"/>
            <w:lock w:val="sdtLocked"/>
            <w:placeholder>
              <w:docPart w:val="270C0367E316429EA42CAC603935F63D"/>
            </w:placeholder>
            <w:showingPlcHdr/>
            <w:text/>
          </w:sdtPr>
          <w:sdtEndPr/>
          <w:sdtContent>
            <w:tc>
              <w:tcPr>
                <w:tcW w:w="9900" w:type="dxa"/>
                <w:gridSpan w:val="3"/>
                <w:tcBorders>
                  <w:bottom w:val="nil"/>
                </w:tcBorders>
              </w:tcPr>
              <w:p w:rsidR="00E046B0" w:rsidRPr="00871139" w:rsidRDefault="00E046B0" w:rsidP="00B05AA8">
                <w:pPr>
                  <w:ind w:left="0"/>
                  <w:rPr>
                    <w:b/>
                    <w:sz w:val="18"/>
                  </w:rPr>
                </w:pPr>
                <w:r w:rsidRPr="00871139">
                  <w:rPr>
                    <w:b/>
                    <w:sz w:val="18"/>
                  </w:rPr>
                  <w:t>Central Coast Service Area North:</w:t>
                </w:r>
              </w:p>
            </w:tc>
          </w:sdtContent>
        </w:sdt>
      </w:tr>
      <w:tr w:rsidR="00B40650" w:rsidRPr="00CB0685" w:rsidTr="00485537">
        <w:trPr>
          <w:trHeight w:val="810"/>
        </w:trPr>
        <w:tc>
          <w:tcPr>
            <w:tcW w:w="3420" w:type="dxa"/>
            <w:tcBorders>
              <w:top w:val="nil"/>
              <w:bottom w:val="single" w:sz="4" w:space="0" w:color="auto"/>
              <w:right w:val="nil"/>
            </w:tcBorders>
          </w:tcPr>
          <w:p w:rsidR="00B40650" w:rsidRDefault="00D21D8A" w:rsidP="00B05AA8">
            <w:pPr>
              <w:ind w:left="0"/>
              <w:rPr>
                <w:b/>
                <w:sz w:val="18"/>
              </w:rPr>
            </w:pPr>
            <w:sdt>
              <w:sdtPr>
                <w:rPr>
                  <w:b/>
                </w:rPr>
                <w:id w:val="1588811426"/>
                <w:lock w:val="sdtLocked"/>
                <w14:checkbox>
                  <w14:checked w14:val="1"/>
                  <w14:checkedState w14:val="2612" w14:font="MS Gothic"/>
                  <w14:uncheckedState w14:val="2610" w14:font="MS Gothic"/>
                </w14:checkbox>
              </w:sdtPr>
              <w:sdtEndPr/>
              <w:sdtContent>
                <w:r w:rsidR="007457C8">
                  <w:rPr>
                    <w:rFonts w:ascii="MS Gothic" w:eastAsia="MS Gothic" w:hAnsi="MS Gothic" w:hint="eastAsia"/>
                    <w:b/>
                  </w:rPr>
                  <w:t>☒</w:t>
                </w:r>
              </w:sdtContent>
            </w:sdt>
            <w:r w:rsidR="00B40650" w:rsidRPr="00CB0685">
              <w:rPr>
                <w:sz w:val="18"/>
              </w:rPr>
              <w:t xml:space="preserve">  </w:t>
            </w:r>
            <w:sdt>
              <w:sdtPr>
                <w:rPr>
                  <w:sz w:val="18"/>
                </w:rPr>
                <w:id w:val="1743903590"/>
                <w:lock w:val="sdtContentLocked"/>
                <w:showingPlcHdr/>
                <w:text/>
              </w:sdtPr>
              <w:sdtEndPr>
                <w:rPr>
                  <w:bCs/>
                </w:rPr>
              </w:sdtEndPr>
              <w:sdtContent>
                <w:r w:rsidR="00B40650" w:rsidRPr="00094370">
                  <w:rPr>
                    <w:rStyle w:val="PlaceholderText"/>
                    <w:rFonts w:cs="Arial"/>
                    <w:color w:val="auto"/>
                    <w:sz w:val="18"/>
                    <w:szCs w:val="18"/>
                  </w:rPr>
                  <w:t>Santa Maria Campus,</w:t>
                </w:r>
              </w:sdtContent>
            </w:sdt>
            <w:r w:rsidR="00B40650" w:rsidRPr="00CB0685">
              <w:rPr>
                <w:b/>
                <w:sz w:val="18"/>
              </w:rPr>
              <w:t xml:space="preserve"> </w:t>
            </w:r>
          </w:p>
          <w:p w:rsidR="00B40650" w:rsidRPr="00CB0685" w:rsidRDefault="00D21D8A" w:rsidP="00E26290">
            <w:pPr>
              <w:ind w:left="324"/>
              <w:rPr>
                <w:b/>
                <w:sz w:val="18"/>
              </w:rPr>
            </w:pPr>
            <w:sdt>
              <w:sdtPr>
                <w:rPr>
                  <w:sz w:val="18"/>
                </w:rPr>
                <w:id w:val="-337084488"/>
                <w:lock w:val="contentLocked"/>
                <w:showingPlcHdr/>
                <w:text/>
              </w:sdtPr>
              <w:sdtEndPr>
                <w:rPr>
                  <w:bCs/>
                </w:rPr>
              </w:sdtEndPr>
              <w:sdtContent>
                <w:r w:rsidR="006026DA" w:rsidRPr="00CB0685">
                  <w:rPr>
                    <w:sz w:val="18"/>
                  </w:rPr>
                  <w:t>Marian Regional Medical Center</w:t>
                </w:r>
              </w:sdtContent>
            </w:sdt>
          </w:p>
        </w:tc>
        <w:tc>
          <w:tcPr>
            <w:tcW w:w="3420" w:type="dxa"/>
            <w:tcBorders>
              <w:top w:val="nil"/>
              <w:left w:val="nil"/>
              <w:bottom w:val="single" w:sz="4" w:space="0" w:color="auto"/>
              <w:right w:val="nil"/>
            </w:tcBorders>
          </w:tcPr>
          <w:p w:rsidR="00B40650" w:rsidRPr="00CB0685" w:rsidRDefault="00D21D8A" w:rsidP="00B05AA8">
            <w:pPr>
              <w:ind w:left="0"/>
              <w:rPr>
                <w:sz w:val="18"/>
              </w:rPr>
            </w:pPr>
            <w:sdt>
              <w:sdtPr>
                <w:rPr>
                  <w:b/>
                </w:rPr>
                <w:id w:val="-940062464"/>
                <w:lock w:val="sdtLocked"/>
                <w14:checkbox>
                  <w14:checked w14:val="1"/>
                  <w14:checkedState w14:val="2612" w14:font="MS Gothic"/>
                  <w14:uncheckedState w14:val="2610" w14:font="MS Gothic"/>
                </w14:checkbox>
              </w:sdtPr>
              <w:sdtEndPr/>
              <w:sdtContent>
                <w:r w:rsidR="007457C8">
                  <w:rPr>
                    <w:rFonts w:ascii="MS Gothic" w:eastAsia="MS Gothic" w:hAnsi="MS Gothic" w:hint="eastAsia"/>
                    <w:b/>
                  </w:rPr>
                  <w:t>☒</w:t>
                </w:r>
              </w:sdtContent>
            </w:sdt>
            <w:r w:rsidR="00B40650" w:rsidRPr="00CB0685">
              <w:rPr>
                <w:b/>
                <w:sz w:val="18"/>
              </w:rPr>
              <w:t xml:space="preserve">  </w:t>
            </w:r>
            <w:sdt>
              <w:sdtPr>
                <w:rPr>
                  <w:b/>
                  <w:sz w:val="18"/>
                </w:rPr>
                <w:id w:val="-357047061"/>
                <w:lock w:val="sdtContentLocked"/>
                <w:showingPlcHdr/>
              </w:sdtPr>
              <w:sdtEndPr>
                <w:rPr>
                  <w:b w:val="0"/>
                </w:rPr>
              </w:sdtEndPr>
              <w:sdtContent>
                <w:r w:rsidR="00B40650" w:rsidRPr="00CB0685">
                  <w:rPr>
                    <w:sz w:val="18"/>
                  </w:rPr>
                  <w:t>Arroyo Grande Campus,</w:t>
                </w:r>
              </w:sdtContent>
            </w:sdt>
            <w:r w:rsidR="00B40650" w:rsidRPr="00CB0685">
              <w:rPr>
                <w:b/>
                <w:sz w:val="18"/>
              </w:rPr>
              <w:t xml:space="preserve">  </w:t>
            </w:r>
          </w:p>
          <w:p w:rsidR="00B40650" w:rsidRPr="00CB0685" w:rsidRDefault="00D21D8A" w:rsidP="00887210">
            <w:pPr>
              <w:ind w:left="324"/>
              <w:rPr>
                <w:b/>
                <w:sz w:val="18"/>
              </w:rPr>
            </w:pPr>
            <w:sdt>
              <w:sdtPr>
                <w:rPr>
                  <w:b/>
                  <w:sz w:val="18"/>
                </w:rPr>
                <w:id w:val="-76758865"/>
                <w:lock w:val="sdtContentLocked"/>
              </w:sdtPr>
              <w:sdtEndPr>
                <w:rPr>
                  <w:b w:val="0"/>
                </w:rPr>
              </w:sdtEndPr>
              <w:sdtContent>
                <w:r w:rsidR="00B40650" w:rsidRPr="00CB0685">
                  <w:rPr>
                    <w:sz w:val="18"/>
                  </w:rPr>
                  <w:t>Marian Regional Medical Center</w:t>
                </w:r>
              </w:sdtContent>
            </w:sdt>
          </w:p>
        </w:tc>
        <w:tc>
          <w:tcPr>
            <w:tcW w:w="3060" w:type="dxa"/>
            <w:tcBorders>
              <w:top w:val="nil"/>
              <w:left w:val="nil"/>
              <w:bottom w:val="single" w:sz="4" w:space="0" w:color="auto"/>
            </w:tcBorders>
          </w:tcPr>
          <w:p w:rsidR="00B40650" w:rsidRPr="00CB0685" w:rsidRDefault="00D21D8A" w:rsidP="008419CC">
            <w:pPr>
              <w:ind w:left="0"/>
              <w:rPr>
                <w:sz w:val="18"/>
              </w:rPr>
            </w:pPr>
            <w:sdt>
              <w:sdtPr>
                <w:rPr>
                  <w:b/>
                </w:rPr>
                <w:id w:val="2076471888"/>
                <w:lock w:val="sdtLocked"/>
                <w14:checkbox>
                  <w14:checked w14:val="1"/>
                  <w14:checkedState w14:val="2612" w14:font="MS Gothic"/>
                  <w14:uncheckedState w14:val="2610" w14:font="MS Gothic"/>
                </w14:checkbox>
              </w:sdtPr>
              <w:sdtEndPr/>
              <w:sdtContent>
                <w:r w:rsidR="007457C8">
                  <w:rPr>
                    <w:rFonts w:ascii="MS Gothic" w:eastAsia="MS Gothic" w:hAnsi="MS Gothic" w:hint="eastAsia"/>
                    <w:b/>
                  </w:rPr>
                  <w:t>☒</w:t>
                </w:r>
              </w:sdtContent>
            </w:sdt>
            <w:r w:rsidR="00B40650" w:rsidRPr="00CB0685">
              <w:rPr>
                <w:b/>
                <w:sz w:val="18"/>
              </w:rPr>
              <w:t xml:space="preserve">  </w:t>
            </w:r>
            <w:sdt>
              <w:sdtPr>
                <w:rPr>
                  <w:b/>
                  <w:sz w:val="18"/>
                </w:rPr>
                <w:id w:val="1881048085"/>
                <w:lock w:val="sdtContentLocked"/>
              </w:sdtPr>
              <w:sdtEndPr>
                <w:rPr>
                  <w:b w:val="0"/>
                </w:rPr>
              </w:sdtEndPr>
              <w:sdtContent>
                <w:r w:rsidR="00B40650" w:rsidRPr="00CB0685">
                  <w:rPr>
                    <w:sz w:val="18"/>
                  </w:rPr>
                  <w:t>French Hospital Medical Center</w:t>
                </w:r>
              </w:sdtContent>
            </w:sdt>
          </w:p>
        </w:tc>
      </w:tr>
      <w:tr w:rsidR="00E046B0" w:rsidRPr="00CB0685" w:rsidTr="00485537">
        <w:trPr>
          <w:trHeight w:val="351"/>
        </w:trPr>
        <w:sdt>
          <w:sdtPr>
            <w:rPr>
              <w:sz w:val="18"/>
            </w:rPr>
            <w:id w:val="2089426779"/>
            <w:lock w:val="sdtContentLocked"/>
            <w:showingPlcHdr/>
            <w:text/>
          </w:sdtPr>
          <w:sdtEndPr/>
          <w:sdtContent>
            <w:tc>
              <w:tcPr>
                <w:tcW w:w="9900" w:type="dxa"/>
                <w:gridSpan w:val="3"/>
                <w:tcBorders>
                  <w:bottom w:val="nil"/>
                </w:tcBorders>
              </w:tcPr>
              <w:p w:rsidR="00E046B0" w:rsidRPr="00CB0685" w:rsidRDefault="00E046B0" w:rsidP="00871139">
                <w:pPr>
                  <w:ind w:left="0"/>
                  <w:rPr>
                    <w:sz w:val="18"/>
                  </w:rPr>
                </w:pPr>
                <w:r w:rsidRPr="00871139">
                  <w:rPr>
                    <w:b/>
                    <w:sz w:val="18"/>
                  </w:rPr>
                  <w:t>Central Coast Service Area South:</w:t>
                </w:r>
              </w:p>
            </w:tc>
          </w:sdtContent>
        </w:sdt>
      </w:tr>
      <w:tr w:rsidR="00485537" w:rsidRPr="00CB0685" w:rsidTr="00485537">
        <w:trPr>
          <w:trHeight w:val="431"/>
        </w:trPr>
        <w:tc>
          <w:tcPr>
            <w:tcW w:w="3420" w:type="dxa"/>
            <w:tcBorders>
              <w:top w:val="nil"/>
              <w:right w:val="nil"/>
            </w:tcBorders>
          </w:tcPr>
          <w:p w:rsidR="00485537" w:rsidRPr="00CB0685" w:rsidRDefault="00D21D8A" w:rsidP="008419CC">
            <w:pPr>
              <w:ind w:left="0"/>
              <w:rPr>
                <w:b/>
                <w:sz w:val="18"/>
              </w:rPr>
            </w:pPr>
            <w:sdt>
              <w:sdtPr>
                <w:rPr>
                  <w:b/>
                </w:rPr>
                <w:id w:val="-866899468"/>
                <w:lock w:val="sdtLocked"/>
                <w14:checkbox>
                  <w14:checked w14:val="0"/>
                  <w14:checkedState w14:val="2612" w14:font="MS Gothic"/>
                  <w14:uncheckedState w14:val="2610" w14:font="MS Gothic"/>
                </w14:checkbox>
              </w:sdtPr>
              <w:sdtEndPr/>
              <w:sdtContent>
                <w:r w:rsidR="00485537">
                  <w:rPr>
                    <w:rFonts w:ascii="MS Gothic" w:eastAsia="MS Gothic" w:hAnsi="MS Gothic" w:hint="eastAsia"/>
                    <w:b/>
                  </w:rPr>
                  <w:t>☐</w:t>
                </w:r>
              </w:sdtContent>
            </w:sdt>
            <w:r w:rsidR="00485537" w:rsidRPr="00CB0685">
              <w:rPr>
                <w:b/>
                <w:sz w:val="18"/>
              </w:rPr>
              <w:t xml:space="preserve">  </w:t>
            </w:r>
            <w:sdt>
              <w:sdtPr>
                <w:rPr>
                  <w:b/>
                  <w:sz w:val="18"/>
                </w:rPr>
                <w:id w:val="1950730159"/>
                <w:lock w:val="sdtContentLocked"/>
              </w:sdtPr>
              <w:sdtEndPr>
                <w:rPr>
                  <w:b w:val="0"/>
                </w:rPr>
              </w:sdtEndPr>
              <w:sdtContent>
                <w:r w:rsidR="00485537" w:rsidRPr="00CB0685">
                  <w:rPr>
                    <w:sz w:val="18"/>
                  </w:rPr>
                  <w:t>St. John’s Pleasant Valley Hospital</w:t>
                </w:r>
              </w:sdtContent>
            </w:sdt>
          </w:p>
        </w:tc>
        <w:tc>
          <w:tcPr>
            <w:tcW w:w="6480" w:type="dxa"/>
            <w:gridSpan w:val="2"/>
            <w:tcBorders>
              <w:top w:val="nil"/>
              <w:left w:val="nil"/>
            </w:tcBorders>
          </w:tcPr>
          <w:p w:rsidR="00485537" w:rsidRPr="00CB0685" w:rsidRDefault="00D21D8A" w:rsidP="008419CC">
            <w:pPr>
              <w:ind w:left="0"/>
              <w:rPr>
                <w:sz w:val="18"/>
              </w:rPr>
            </w:pPr>
            <w:sdt>
              <w:sdtPr>
                <w:rPr>
                  <w:b/>
                </w:rPr>
                <w:id w:val="-1053850357"/>
                <w:lock w:val="sdtLocked"/>
                <w14:checkbox>
                  <w14:checked w14:val="0"/>
                  <w14:checkedState w14:val="2612" w14:font="MS Gothic"/>
                  <w14:uncheckedState w14:val="2610" w14:font="MS Gothic"/>
                </w14:checkbox>
              </w:sdtPr>
              <w:sdtEndPr/>
              <w:sdtContent>
                <w:r w:rsidR="00485537">
                  <w:rPr>
                    <w:rFonts w:ascii="MS Gothic" w:eastAsia="MS Gothic" w:hAnsi="MS Gothic" w:hint="eastAsia"/>
                    <w:b/>
                  </w:rPr>
                  <w:t>☐</w:t>
                </w:r>
              </w:sdtContent>
            </w:sdt>
            <w:r w:rsidR="00485537" w:rsidRPr="00CB0685">
              <w:rPr>
                <w:b/>
                <w:sz w:val="18"/>
              </w:rPr>
              <w:t xml:space="preserve">  </w:t>
            </w:r>
            <w:sdt>
              <w:sdtPr>
                <w:rPr>
                  <w:b/>
                  <w:sz w:val="18"/>
                </w:rPr>
                <w:id w:val="2089963564"/>
                <w:lock w:val="sdtContentLocked"/>
              </w:sdtPr>
              <w:sdtEndPr>
                <w:rPr>
                  <w:b w:val="0"/>
                </w:rPr>
              </w:sdtEndPr>
              <w:sdtContent>
                <w:r w:rsidR="00485537" w:rsidRPr="00CB0685">
                  <w:rPr>
                    <w:sz w:val="18"/>
                  </w:rPr>
                  <w:t>St. John’s Regional Medical Center</w:t>
                </w:r>
              </w:sdtContent>
            </w:sdt>
          </w:p>
        </w:tc>
      </w:tr>
    </w:tbl>
    <w:p w:rsidR="00A247B0" w:rsidRDefault="00A247B0" w:rsidP="00BC345C"/>
    <w:p w:rsidR="00345CDE" w:rsidRDefault="00D21D8A" w:rsidP="00BC345C">
      <w:pPr>
        <w:pStyle w:val="Heading1"/>
      </w:pPr>
      <w:sdt>
        <w:sdtPr>
          <w:alias w:val="Type below, use styles:Headings 1-7,Body text 1-7,"/>
          <w:tag w:val="Type below, use styles:Headings 1-7,Body text 1-7,"/>
          <w:id w:val="1379668120"/>
          <w:lock w:val="sdtContentLocked"/>
        </w:sdtPr>
        <w:sdtEndPr/>
        <w:sdtContent>
          <w:r w:rsidR="002F0DE6">
            <w:t>Purpose</w:t>
          </w:r>
          <w:r w:rsidR="005E37C5">
            <w:t xml:space="preserve">: </w:t>
          </w:r>
        </w:sdtContent>
      </w:sdt>
      <w:r w:rsidR="00EE04DD">
        <w:t xml:space="preserve"> </w:t>
      </w:r>
    </w:p>
    <w:p w:rsidR="00B82CA3" w:rsidRPr="005E4B78" w:rsidRDefault="005E4B78" w:rsidP="005E4B78">
      <w:pPr>
        <w:rPr>
          <w:rFonts w:cs="Arial"/>
        </w:rPr>
      </w:pPr>
      <w:r>
        <w:rPr>
          <w:rFonts w:cs="Arial"/>
        </w:rPr>
        <w:t>This procedure provides instruction for performing pre-transfusion compatibility testing.</w:t>
      </w:r>
    </w:p>
    <w:p w:rsidR="005E37C5" w:rsidRDefault="002F0DE6" w:rsidP="00B82CA3">
      <w:pPr>
        <w:pStyle w:val="Heading1"/>
      </w:pPr>
      <w:r>
        <w:t>Clinical Complexity</w:t>
      </w:r>
    </w:p>
    <w:p w:rsidR="00B82CA3" w:rsidRPr="00B82CA3" w:rsidRDefault="005E4B78" w:rsidP="00B82CA3">
      <w:pPr>
        <w:pStyle w:val="BodyText"/>
      </w:pPr>
      <w:r>
        <w:t>High complexity</w:t>
      </w:r>
    </w:p>
    <w:p w:rsidR="00E70B55" w:rsidRDefault="00D21D8A" w:rsidP="00BC345C">
      <w:pPr>
        <w:pStyle w:val="Heading1"/>
      </w:pPr>
      <w:sdt>
        <w:sdtPr>
          <w:alias w:val="Type below, use styles:Headings 1-7,Body text 1-7,"/>
          <w:tag w:val="Type below, use styles:Headings 1-7,Body text 1-7,"/>
          <w:id w:val="2134981412"/>
          <w:lock w:val="sdtContentLocked"/>
        </w:sdtPr>
        <w:sdtEndPr/>
        <w:sdtContent>
          <w:r w:rsidR="002F0DE6">
            <w:t>Clinical Utility</w:t>
          </w:r>
          <w:r w:rsidR="00E70B55" w:rsidRPr="00EC6D3B">
            <w:t>:</w:t>
          </w:r>
        </w:sdtContent>
      </w:sdt>
      <w:r w:rsidR="00EE04DD">
        <w:t xml:space="preserve">  </w:t>
      </w:r>
    </w:p>
    <w:p w:rsidR="002904E6" w:rsidRPr="002904E6" w:rsidRDefault="00C0682B" w:rsidP="002904E6">
      <w:pPr>
        <w:pStyle w:val="BodyText"/>
      </w:pPr>
      <w:r>
        <w:t>The Joint Commission Standard QSA 05.09.01 requires compatibility testing that includes an antiglobulin phase for recipients with current or a h</w:t>
      </w:r>
      <w:r w:rsidR="005213F5">
        <w:t>istory of antibodies.</w:t>
      </w:r>
    </w:p>
    <w:p w:rsidR="003C679D" w:rsidRDefault="00D21D8A" w:rsidP="00BC345C">
      <w:pPr>
        <w:pStyle w:val="Heading1"/>
      </w:pPr>
      <w:sdt>
        <w:sdtPr>
          <w:alias w:val="Type steps below. Use Heading Style 8 (simple) or 1-7"/>
          <w:tag w:val="Type steps below. Use Heading Style 8 (simple) or 1-7"/>
          <w:id w:val="-489719899"/>
          <w:lock w:val="sdtContentLocked"/>
        </w:sdtPr>
        <w:sdtEndPr/>
        <w:sdtContent>
          <w:r w:rsidR="002F0DE6">
            <w:t>Principle</w:t>
          </w:r>
          <w:r w:rsidR="001C0868" w:rsidRPr="00EC6D3B">
            <w:t>:</w:t>
          </w:r>
        </w:sdtContent>
      </w:sdt>
      <w:r w:rsidR="00EE04DD">
        <w:t xml:space="preserve">  </w:t>
      </w:r>
    </w:p>
    <w:p w:rsidR="004243FA" w:rsidRPr="00F0430F" w:rsidRDefault="005E4B78" w:rsidP="00C2595E">
      <w:pPr>
        <w:jc w:val="both"/>
        <w:rPr>
          <w:rFonts w:cs="Arial"/>
        </w:rPr>
      </w:pPr>
      <w:r>
        <w:rPr>
          <w:rFonts w:cs="Arial"/>
        </w:rPr>
        <w:t>The purpose of pre-transfusion testing is to select</w:t>
      </w:r>
      <w:r w:rsidR="00E7517A">
        <w:rPr>
          <w:rFonts w:cs="Arial"/>
        </w:rPr>
        <w:t xml:space="preserve"> red</w:t>
      </w:r>
      <w:r>
        <w:rPr>
          <w:rFonts w:cs="Arial"/>
        </w:rPr>
        <w:t xml:space="preserve"> blood </w:t>
      </w:r>
      <w:r w:rsidR="00E7517A">
        <w:rPr>
          <w:rFonts w:cs="Arial"/>
        </w:rPr>
        <w:t xml:space="preserve">cell </w:t>
      </w:r>
      <w:r>
        <w:rPr>
          <w:rFonts w:cs="Arial"/>
        </w:rPr>
        <w:t>components that when transfused, will have acceptable survival and will not cause clinically significant destruction of the recipient’s own red blood cells.  If performed properly, pre-transfusion tests will establish ABO compatibility between the recipient and component and detect most clinically sign</w:t>
      </w:r>
      <w:r w:rsidR="00F0430F">
        <w:rPr>
          <w:rFonts w:cs="Arial"/>
        </w:rPr>
        <w:t>ificant unexpected antibodies.</w:t>
      </w:r>
      <w:r w:rsidR="00C2595E">
        <w:rPr>
          <w:rFonts w:cs="Arial"/>
        </w:rPr>
        <w:t xml:space="preserve">  </w:t>
      </w:r>
      <w:r w:rsidR="004243FA">
        <w:rPr>
          <w:rFonts w:cs="Arial"/>
        </w:rPr>
        <w:t xml:space="preserve">Recipients with a history of or current </w:t>
      </w:r>
      <w:r w:rsidR="008E1213">
        <w:rPr>
          <w:rFonts w:cs="Arial"/>
        </w:rPr>
        <w:t xml:space="preserve">unexpected antibodies must have </w:t>
      </w:r>
      <w:r w:rsidR="008C71F0">
        <w:rPr>
          <w:rFonts w:cs="Arial"/>
        </w:rPr>
        <w:t xml:space="preserve">compatibility testing performed that includes </w:t>
      </w:r>
      <w:r w:rsidR="002B5D7A">
        <w:rPr>
          <w:rFonts w:cs="Arial"/>
        </w:rPr>
        <w:t>incubation at 37</w:t>
      </w:r>
      <w:r w:rsidR="002B5D7A">
        <w:rPr>
          <w:rFonts w:cs="Arial"/>
        </w:rPr>
        <w:sym w:font="Symbol" w:char="F0B0"/>
      </w:r>
      <w:r w:rsidR="002B5D7A">
        <w:rPr>
          <w:rFonts w:cs="Arial"/>
        </w:rPr>
        <w:t>C and the antihuman globulin test.</w:t>
      </w:r>
    </w:p>
    <w:p w:rsidR="001C0868" w:rsidRDefault="00D21D8A" w:rsidP="00B07110">
      <w:pPr>
        <w:pStyle w:val="Heading1"/>
      </w:pPr>
      <w:sdt>
        <w:sdtPr>
          <w:alias w:val="Type References Below/can insert hyperlinks"/>
          <w:tag w:val="Type References Below/can insert hyperlinks"/>
          <w:id w:val="1056815312"/>
          <w:lock w:val="sdtContentLocked"/>
        </w:sdtPr>
        <w:sdtEndPr/>
        <w:sdtContent>
          <w:r w:rsidR="002F0DE6">
            <w:t>Specimen Collection</w:t>
          </w:r>
          <w:r w:rsidR="00075AFD">
            <w:t>:</w:t>
          </w:r>
        </w:sdtContent>
      </w:sdt>
      <w:r w:rsidR="00EE04DD">
        <w:t xml:space="preserve">  </w:t>
      </w:r>
    </w:p>
    <w:p w:rsidR="00C57B13" w:rsidRDefault="00D523A5" w:rsidP="00D17F07">
      <w:pPr>
        <w:pStyle w:val="Heading2"/>
        <w:numPr>
          <w:ilvl w:val="1"/>
          <w:numId w:val="1"/>
        </w:numPr>
        <w:ind w:left="720"/>
      </w:pPr>
      <w:r>
        <w:t>Patient Identification</w:t>
      </w:r>
      <w:r w:rsidR="00B55483">
        <w:t xml:space="preserve"> and Labeling of Specimens</w:t>
      </w:r>
    </w:p>
    <w:p w:rsidR="00D523A5" w:rsidRDefault="00210541" w:rsidP="00D523A5">
      <w:pPr>
        <w:pStyle w:val="Heading3"/>
      </w:pPr>
      <w:r>
        <w:t xml:space="preserve">Proper patient identification is critical to the safe administration of blood products.  </w:t>
      </w:r>
      <w:r w:rsidR="00FF0A0C">
        <w:t>Refer to the Blood Bank Identification and Collection of Blood Specimen</w:t>
      </w:r>
      <w:r w:rsidR="00B55483">
        <w:t>.</w:t>
      </w:r>
    </w:p>
    <w:p w:rsidR="00B55483" w:rsidRDefault="00570F8F" w:rsidP="00D523A5">
      <w:pPr>
        <w:pStyle w:val="Heading3"/>
      </w:pPr>
      <w:r>
        <w:t xml:space="preserve">Refer to 7540.BB.CC.121 Evaluating Patient Samples and Request Forms for </w:t>
      </w:r>
      <w:r w:rsidR="00145992">
        <w:t>evaluation of acceptability of patient samples</w:t>
      </w:r>
      <w:r w:rsidR="00351DE0">
        <w:t xml:space="preserve"> and product requisitions</w:t>
      </w:r>
      <w:r w:rsidR="00145992">
        <w:t>.</w:t>
      </w:r>
    </w:p>
    <w:p w:rsidR="00254ADB" w:rsidRDefault="00254ADB" w:rsidP="00D523A5">
      <w:pPr>
        <w:pStyle w:val="Heading3"/>
      </w:pPr>
      <w:r>
        <w:t>Preoperative patients and patients undergoing outpatient transfusion must keep their wristband on between the times of specimen collection and the procedure or transfusion.</w:t>
      </w:r>
    </w:p>
    <w:p w:rsidR="00B55483" w:rsidRPr="00C57B13" w:rsidRDefault="001D376A" w:rsidP="00D17F07">
      <w:pPr>
        <w:pStyle w:val="Heading2"/>
        <w:numPr>
          <w:ilvl w:val="1"/>
          <w:numId w:val="1"/>
        </w:numPr>
        <w:ind w:left="720"/>
      </w:pPr>
      <w:r>
        <w:t>Sample Type</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20"/>
        <w:gridCol w:w="1440"/>
        <w:gridCol w:w="1980"/>
        <w:gridCol w:w="1800"/>
      </w:tblGrid>
      <w:tr w:rsidR="0090532B" w:rsidRPr="005D3686" w:rsidTr="00F10D21">
        <w:tc>
          <w:tcPr>
            <w:tcW w:w="1620" w:type="dxa"/>
            <w:shd w:val="clear" w:color="auto" w:fill="auto"/>
          </w:tcPr>
          <w:p w:rsidR="0090532B" w:rsidRPr="005D3686" w:rsidRDefault="0090532B" w:rsidP="00D41C9C">
            <w:pPr>
              <w:ind w:left="0"/>
              <w:jc w:val="center"/>
            </w:pPr>
            <w:r w:rsidRPr="005D3686">
              <w:t>Sample Type</w:t>
            </w:r>
          </w:p>
        </w:tc>
        <w:tc>
          <w:tcPr>
            <w:tcW w:w="1620" w:type="dxa"/>
            <w:shd w:val="clear" w:color="auto" w:fill="auto"/>
          </w:tcPr>
          <w:p w:rsidR="0090532B" w:rsidRPr="005D3686" w:rsidRDefault="0090532B" w:rsidP="00D41C9C">
            <w:pPr>
              <w:ind w:left="0"/>
              <w:jc w:val="center"/>
            </w:pPr>
            <w:r w:rsidRPr="005D3686">
              <w:t>Container</w:t>
            </w:r>
          </w:p>
        </w:tc>
        <w:tc>
          <w:tcPr>
            <w:tcW w:w="1440" w:type="dxa"/>
            <w:shd w:val="clear" w:color="auto" w:fill="auto"/>
          </w:tcPr>
          <w:p w:rsidR="0090532B" w:rsidRPr="005D3686" w:rsidRDefault="0090532B" w:rsidP="00D41C9C">
            <w:pPr>
              <w:ind w:left="0"/>
              <w:jc w:val="center"/>
            </w:pPr>
            <w:r w:rsidRPr="005D3686">
              <w:t>Minimum Volume</w:t>
            </w:r>
          </w:p>
        </w:tc>
        <w:tc>
          <w:tcPr>
            <w:tcW w:w="1980" w:type="dxa"/>
            <w:shd w:val="clear" w:color="auto" w:fill="auto"/>
          </w:tcPr>
          <w:p w:rsidR="0090532B" w:rsidRPr="005D3686" w:rsidRDefault="0090532B" w:rsidP="00D41C9C">
            <w:pPr>
              <w:ind w:left="0"/>
              <w:jc w:val="center"/>
            </w:pPr>
            <w:r w:rsidRPr="005D3686">
              <w:t>Stability</w:t>
            </w:r>
          </w:p>
        </w:tc>
        <w:tc>
          <w:tcPr>
            <w:tcW w:w="1800" w:type="dxa"/>
            <w:shd w:val="clear" w:color="auto" w:fill="auto"/>
          </w:tcPr>
          <w:p w:rsidR="0090532B" w:rsidRPr="005D3686" w:rsidRDefault="0090532B" w:rsidP="00D41C9C">
            <w:pPr>
              <w:ind w:left="0"/>
              <w:jc w:val="center"/>
            </w:pPr>
            <w:r w:rsidRPr="005D3686">
              <w:t>Max Storage                   Temp</w:t>
            </w:r>
          </w:p>
        </w:tc>
      </w:tr>
      <w:tr w:rsidR="0090532B" w:rsidRPr="005D3686" w:rsidTr="00F10D21">
        <w:trPr>
          <w:trHeight w:val="607"/>
        </w:trPr>
        <w:tc>
          <w:tcPr>
            <w:tcW w:w="1620" w:type="dxa"/>
            <w:shd w:val="clear" w:color="auto" w:fill="auto"/>
          </w:tcPr>
          <w:p w:rsidR="0090532B" w:rsidRPr="005D3686" w:rsidRDefault="00721C90" w:rsidP="00721C90">
            <w:pPr>
              <w:ind w:left="0"/>
              <w:jc w:val="center"/>
            </w:pPr>
            <w:r>
              <w:t>Whole blood</w:t>
            </w:r>
          </w:p>
        </w:tc>
        <w:tc>
          <w:tcPr>
            <w:tcW w:w="1620" w:type="dxa"/>
            <w:shd w:val="clear" w:color="auto" w:fill="auto"/>
          </w:tcPr>
          <w:p w:rsidR="0090532B" w:rsidRPr="005D3686" w:rsidRDefault="00721C90" w:rsidP="00721C90">
            <w:pPr>
              <w:ind w:left="0"/>
              <w:jc w:val="center"/>
            </w:pPr>
            <w:r>
              <w:t>Pink top EDTA</w:t>
            </w:r>
          </w:p>
        </w:tc>
        <w:tc>
          <w:tcPr>
            <w:tcW w:w="1440" w:type="dxa"/>
            <w:shd w:val="clear" w:color="auto" w:fill="auto"/>
          </w:tcPr>
          <w:p w:rsidR="0090532B" w:rsidRPr="005D3686" w:rsidRDefault="0090532B" w:rsidP="00721C90">
            <w:pPr>
              <w:ind w:left="0"/>
              <w:jc w:val="center"/>
            </w:pPr>
            <w:r>
              <w:t>1.0 mL</w:t>
            </w:r>
          </w:p>
        </w:tc>
        <w:tc>
          <w:tcPr>
            <w:tcW w:w="1980" w:type="dxa"/>
            <w:shd w:val="clear" w:color="auto" w:fill="auto"/>
          </w:tcPr>
          <w:p w:rsidR="0090532B" w:rsidRPr="005D3686" w:rsidRDefault="0090532B" w:rsidP="00721C90">
            <w:pPr>
              <w:ind w:left="0"/>
              <w:jc w:val="center"/>
            </w:pPr>
            <w:r>
              <w:t xml:space="preserve">3 days </w:t>
            </w:r>
            <w:r w:rsidR="00721C90">
              <w:t>at 2359 on the 3rd day</w:t>
            </w:r>
          </w:p>
        </w:tc>
        <w:tc>
          <w:tcPr>
            <w:tcW w:w="1800" w:type="dxa"/>
            <w:shd w:val="clear" w:color="auto" w:fill="auto"/>
          </w:tcPr>
          <w:p w:rsidR="0090532B" w:rsidRPr="005D3686" w:rsidRDefault="00721C90" w:rsidP="00721C90">
            <w:pPr>
              <w:ind w:left="0"/>
              <w:jc w:val="center"/>
            </w:pPr>
            <w:r>
              <w:t>2-8</w:t>
            </w:r>
            <w:r>
              <w:sym w:font="Symbol" w:char="F0B0"/>
            </w:r>
            <w:r>
              <w:t>C</w:t>
            </w:r>
          </w:p>
        </w:tc>
      </w:tr>
    </w:tbl>
    <w:p w:rsidR="00400678" w:rsidRDefault="00400678" w:rsidP="00790A92">
      <w:pPr>
        <w:ind w:left="0"/>
      </w:pPr>
    </w:p>
    <w:p w:rsidR="001A5F76" w:rsidRDefault="00D21D8A" w:rsidP="00D85FE4">
      <w:pPr>
        <w:pStyle w:val="Heading1"/>
        <w:keepNext/>
      </w:pPr>
      <w:sdt>
        <w:sdtPr>
          <w:alias w:val="Define Terms Below; Use Heading Style 2 or 8"/>
          <w:tag w:val="Define Terms Below; Use Heading Style 2 or 8"/>
          <w:id w:val="1762875927"/>
          <w:lock w:val="sdtContentLocked"/>
        </w:sdtPr>
        <w:sdtEndPr/>
        <w:sdtContent>
          <w:r w:rsidR="002F0DE6">
            <w:t>Materials</w:t>
          </w:r>
          <w:r w:rsidR="00B82CA3">
            <w:t>:</w:t>
          </w:r>
        </w:sdtContent>
      </w:sdt>
      <w:r w:rsidR="00B82CA3">
        <w:t xml:space="preserve">  </w:t>
      </w:r>
    </w:p>
    <w:tbl>
      <w:tblPr>
        <w:tblStyle w:val="TableGrid1"/>
        <w:tblW w:w="0" w:type="auto"/>
        <w:tblInd w:w="468" w:type="dxa"/>
        <w:tblLook w:val="04A0" w:firstRow="1" w:lastRow="0" w:firstColumn="1" w:lastColumn="0" w:noHBand="0" w:noVBand="1"/>
      </w:tblPr>
      <w:tblGrid>
        <w:gridCol w:w="2520"/>
        <w:gridCol w:w="3264"/>
        <w:gridCol w:w="3098"/>
      </w:tblGrid>
      <w:tr w:rsidR="008C2BCA" w:rsidRPr="005D3686" w:rsidTr="00724497">
        <w:trPr>
          <w:trHeight w:val="323"/>
        </w:trPr>
        <w:tc>
          <w:tcPr>
            <w:tcW w:w="2520" w:type="dxa"/>
            <w:tcBorders>
              <w:top w:val="single" w:sz="4" w:space="0" w:color="auto"/>
              <w:left w:val="single" w:sz="4" w:space="0" w:color="auto"/>
              <w:bottom w:val="single" w:sz="4" w:space="0" w:color="auto"/>
              <w:right w:val="single" w:sz="4" w:space="0" w:color="auto"/>
            </w:tcBorders>
          </w:tcPr>
          <w:p w:rsidR="008C2BCA" w:rsidRPr="008C2BCA" w:rsidRDefault="008C2BCA" w:rsidP="008C2BCA">
            <w:pPr>
              <w:keepNext/>
              <w:widowControl w:val="0"/>
              <w:tabs>
                <w:tab w:val="clear" w:pos="7320"/>
              </w:tabs>
              <w:ind w:left="0"/>
              <w:rPr>
                <w:rFonts w:asciiTheme="minorHAnsi" w:hAnsiTheme="minorHAnsi" w:cs="Arial"/>
                <w:b/>
              </w:rPr>
            </w:pPr>
            <w:r w:rsidRPr="005D3686">
              <w:rPr>
                <w:rFonts w:asciiTheme="minorHAnsi" w:hAnsiTheme="minorHAnsi" w:cs="Arial"/>
                <w:b/>
              </w:rPr>
              <w:t>Reagents / Media</w:t>
            </w:r>
          </w:p>
        </w:tc>
        <w:tc>
          <w:tcPr>
            <w:tcW w:w="3264" w:type="dxa"/>
            <w:tcBorders>
              <w:top w:val="single" w:sz="4" w:space="0" w:color="auto"/>
              <w:left w:val="single" w:sz="4" w:space="0" w:color="auto"/>
              <w:right w:val="single" w:sz="4" w:space="0" w:color="auto"/>
            </w:tcBorders>
            <w:hideMark/>
          </w:tcPr>
          <w:p w:rsidR="008C2BCA" w:rsidRPr="008C2BCA" w:rsidRDefault="008C2BCA" w:rsidP="008C2BCA">
            <w:pPr>
              <w:keepNext/>
              <w:widowControl w:val="0"/>
              <w:tabs>
                <w:tab w:val="clear" w:pos="7320"/>
              </w:tabs>
              <w:ind w:left="0"/>
              <w:rPr>
                <w:rFonts w:asciiTheme="minorHAnsi" w:hAnsiTheme="minorHAnsi" w:cs="Arial"/>
                <w:b/>
              </w:rPr>
            </w:pPr>
            <w:r w:rsidRPr="005D3686">
              <w:rPr>
                <w:rFonts w:asciiTheme="minorHAnsi" w:hAnsiTheme="minorHAnsi" w:cs="Arial"/>
                <w:b/>
              </w:rPr>
              <w:t>Supplies / Materials</w:t>
            </w:r>
          </w:p>
        </w:tc>
        <w:tc>
          <w:tcPr>
            <w:tcW w:w="3098" w:type="dxa"/>
            <w:tcBorders>
              <w:top w:val="single" w:sz="4" w:space="0" w:color="auto"/>
              <w:left w:val="single" w:sz="4" w:space="0" w:color="auto"/>
              <w:right w:val="single" w:sz="4" w:space="0" w:color="auto"/>
            </w:tcBorders>
            <w:hideMark/>
          </w:tcPr>
          <w:p w:rsidR="008C2BCA" w:rsidRPr="005D3686" w:rsidRDefault="008C2BCA" w:rsidP="008C2BCA">
            <w:pPr>
              <w:keepNext/>
              <w:widowControl w:val="0"/>
              <w:tabs>
                <w:tab w:val="clear" w:pos="7320"/>
              </w:tabs>
              <w:ind w:left="0"/>
              <w:rPr>
                <w:rFonts w:asciiTheme="minorHAnsi" w:hAnsiTheme="minorHAnsi" w:cs="Arial"/>
                <w:b/>
              </w:rPr>
            </w:pPr>
            <w:r w:rsidRPr="005D3686">
              <w:rPr>
                <w:rFonts w:asciiTheme="minorHAnsi" w:hAnsiTheme="minorHAnsi" w:cs="Arial"/>
                <w:b/>
              </w:rPr>
              <w:t>Equipment</w:t>
            </w:r>
          </w:p>
        </w:tc>
      </w:tr>
      <w:tr w:rsidR="008C2BCA" w:rsidRPr="005D3686" w:rsidTr="0097103D">
        <w:trPr>
          <w:trHeight w:val="754"/>
        </w:trPr>
        <w:tc>
          <w:tcPr>
            <w:tcW w:w="2520" w:type="dxa"/>
            <w:tcBorders>
              <w:top w:val="single" w:sz="4" w:space="0" w:color="auto"/>
              <w:left w:val="single" w:sz="4" w:space="0" w:color="auto"/>
              <w:bottom w:val="single" w:sz="4" w:space="0" w:color="auto"/>
              <w:right w:val="single" w:sz="4" w:space="0" w:color="auto"/>
            </w:tcBorders>
          </w:tcPr>
          <w:p w:rsidR="008C2BCA" w:rsidRDefault="008C2BCA" w:rsidP="008C2BCA">
            <w:pPr>
              <w:keepNext/>
              <w:widowControl w:val="0"/>
              <w:numPr>
                <w:ilvl w:val="0"/>
                <w:numId w:val="4"/>
              </w:numPr>
              <w:tabs>
                <w:tab w:val="clear" w:pos="7320"/>
              </w:tabs>
              <w:ind w:left="180" w:hanging="180"/>
              <w:rPr>
                <w:rFonts w:asciiTheme="minorHAnsi" w:hAnsiTheme="minorHAnsi" w:cs="Arial"/>
              </w:rPr>
            </w:pPr>
            <w:r>
              <w:rPr>
                <w:rFonts w:asciiTheme="minorHAnsi" w:hAnsiTheme="minorHAnsi" w:cs="Arial"/>
              </w:rPr>
              <w:t>Ortho MTS Anti-IgG cards</w:t>
            </w:r>
          </w:p>
          <w:p w:rsidR="008C2BCA" w:rsidRDefault="008C2BCA" w:rsidP="008C2BCA">
            <w:pPr>
              <w:keepNext/>
              <w:widowControl w:val="0"/>
              <w:numPr>
                <w:ilvl w:val="0"/>
                <w:numId w:val="4"/>
              </w:numPr>
              <w:tabs>
                <w:tab w:val="clear" w:pos="7320"/>
              </w:tabs>
              <w:ind w:left="180" w:hanging="180"/>
              <w:rPr>
                <w:rFonts w:asciiTheme="minorHAnsi" w:hAnsiTheme="minorHAnsi" w:cs="Arial"/>
              </w:rPr>
            </w:pPr>
            <w:r>
              <w:rPr>
                <w:rFonts w:asciiTheme="minorHAnsi" w:hAnsiTheme="minorHAnsi" w:cs="Arial"/>
              </w:rPr>
              <w:t>MTS Diluent 2</w:t>
            </w:r>
          </w:p>
          <w:p w:rsidR="008C2BCA" w:rsidRDefault="008C2BCA" w:rsidP="008C2BCA">
            <w:pPr>
              <w:keepNext/>
              <w:widowControl w:val="0"/>
              <w:numPr>
                <w:ilvl w:val="0"/>
                <w:numId w:val="4"/>
              </w:numPr>
              <w:tabs>
                <w:tab w:val="clear" w:pos="7320"/>
              </w:tabs>
              <w:ind w:left="180" w:hanging="180"/>
              <w:rPr>
                <w:rFonts w:asciiTheme="minorHAnsi" w:hAnsiTheme="minorHAnsi" w:cs="Arial"/>
              </w:rPr>
            </w:pPr>
            <w:r>
              <w:rPr>
                <w:rFonts w:asciiTheme="minorHAnsi" w:hAnsiTheme="minorHAnsi" w:cs="Arial"/>
              </w:rPr>
              <w:t>Donor RBC segment</w:t>
            </w:r>
          </w:p>
          <w:p w:rsidR="008C2BCA" w:rsidRPr="005D3686" w:rsidRDefault="008C2BCA" w:rsidP="00724497">
            <w:pPr>
              <w:keepNext/>
              <w:widowControl w:val="0"/>
              <w:numPr>
                <w:ilvl w:val="0"/>
                <w:numId w:val="3"/>
              </w:numPr>
              <w:tabs>
                <w:tab w:val="clear" w:pos="7320"/>
              </w:tabs>
              <w:ind w:left="228" w:hanging="228"/>
              <w:rPr>
                <w:rFonts w:asciiTheme="minorHAnsi" w:hAnsiTheme="minorHAnsi" w:cs="Arial"/>
                <w:b/>
              </w:rPr>
            </w:pPr>
            <w:r>
              <w:rPr>
                <w:rFonts w:asciiTheme="minorHAnsi" w:hAnsiTheme="minorHAnsi" w:cs="Arial"/>
              </w:rPr>
              <w:t>Isotonic saline</w:t>
            </w:r>
          </w:p>
        </w:tc>
        <w:tc>
          <w:tcPr>
            <w:tcW w:w="3264" w:type="dxa"/>
            <w:tcBorders>
              <w:left w:val="single" w:sz="4" w:space="0" w:color="auto"/>
              <w:bottom w:val="single" w:sz="4" w:space="0" w:color="auto"/>
              <w:right w:val="single" w:sz="4" w:space="0" w:color="auto"/>
            </w:tcBorders>
          </w:tcPr>
          <w:p w:rsidR="008C2BCA" w:rsidRDefault="008C2BCA" w:rsidP="008C2BCA">
            <w:pPr>
              <w:keepNext/>
              <w:numPr>
                <w:ilvl w:val="0"/>
                <w:numId w:val="3"/>
              </w:numPr>
              <w:tabs>
                <w:tab w:val="clear" w:pos="7320"/>
              </w:tabs>
              <w:ind w:left="224" w:hanging="224"/>
              <w:outlineLvl w:val="0"/>
              <w:rPr>
                <w:rFonts w:asciiTheme="minorHAnsi" w:hAnsiTheme="minorHAnsi" w:cs="Arial"/>
              </w:rPr>
            </w:pPr>
            <w:r>
              <w:rPr>
                <w:rFonts w:asciiTheme="minorHAnsi" w:hAnsiTheme="minorHAnsi" w:cs="Arial"/>
              </w:rPr>
              <w:t>Test tubes</w:t>
            </w:r>
          </w:p>
          <w:p w:rsidR="008C2BCA" w:rsidRDefault="008C2BCA" w:rsidP="008C2BCA">
            <w:pPr>
              <w:keepNext/>
              <w:numPr>
                <w:ilvl w:val="0"/>
                <w:numId w:val="3"/>
              </w:numPr>
              <w:tabs>
                <w:tab w:val="clear" w:pos="7320"/>
              </w:tabs>
              <w:ind w:left="224" w:hanging="224"/>
              <w:outlineLvl w:val="0"/>
              <w:rPr>
                <w:rFonts w:asciiTheme="minorHAnsi" w:hAnsiTheme="minorHAnsi" w:cs="Arial"/>
              </w:rPr>
            </w:pPr>
            <w:r>
              <w:rPr>
                <w:rFonts w:asciiTheme="minorHAnsi" w:hAnsiTheme="minorHAnsi" w:cs="Arial"/>
              </w:rPr>
              <w:t xml:space="preserve">Pipette (10 </w:t>
            </w:r>
            <w:r>
              <w:rPr>
                <w:rFonts w:ascii="Calibri" w:hAnsi="Calibri" w:cs="Calibri"/>
              </w:rPr>
              <w:t>µ</w:t>
            </w:r>
            <w:r>
              <w:rPr>
                <w:rFonts w:asciiTheme="minorHAnsi" w:hAnsiTheme="minorHAnsi" w:cs="Arial"/>
              </w:rPr>
              <w:t xml:space="preserve">L, 25 </w:t>
            </w:r>
            <w:r>
              <w:rPr>
                <w:rFonts w:ascii="Calibri" w:hAnsi="Calibri" w:cs="Calibri"/>
              </w:rPr>
              <w:t>µ</w:t>
            </w:r>
            <w:r>
              <w:rPr>
                <w:rFonts w:asciiTheme="minorHAnsi" w:hAnsiTheme="minorHAnsi" w:cs="Arial"/>
              </w:rPr>
              <w:t xml:space="preserve">L, 50 </w:t>
            </w:r>
            <w:r>
              <w:rPr>
                <w:rFonts w:ascii="Calibri" w:hAnsi="Calibri" w:cs="Calibri"/>
              </w:rPr>
              <w:t>µ</w:t>
            </w:r>
            <w:r>
              <w:rPr>
                <w:rFonts w:asciiTheme="minorHAnsi" w:hAnsiTheme="minorHAnsi" w:cs="Arial"/>
              </w:rPr>
              <w:t>L)</w:t>
            </w:r>
          </w:p>
          <w:p w:rsidR="008C2BCA" w:rsidRPr="005D3686" w:rsidRDefault="008C2BCA" w:rsidP="00724497">
            <w:pPr>
              <w:keepNext/>
              <w:widowControl w:val="0"/>
              <w:numPr>
                <w:ilvl w:val="0"/>
                <w:numId w:val="3"/>
              </w:numPr>
              <w:tabs>
                <w:tab w:val="clear" w:pos="7320"/>
              </w:tabs>
              <w:ind w:left="228" w:hanging="228"/>
              <w:rPr>
                <w:rFonts w:asciiTheme="minorHAnsi" w:hAnsiTheme="minorHAnsi" w:cs="Arial"/>
                <w:b/>
              </w:rPr>
            </w:pPr>
            <w:r>
              <w:rPr>
                <w:rFonts w:asciiTheme="minorHAnsi" w:hAnsiTheme="minorHAnsi" w:cs="Arial"/>
              </w:rPr>
              <w:t>Disposable blood bank pipettes</w:t>
            </w:r>
          </w:p>
        </w:tc>
        <w:tc>
          <w:tcPr>
            <w:tcW w:w="3098" w:type="dxa"/>
            <w:tcBorders>
              <w:left w:val="single" w:sz="4" w:space="0" w:color="auto"/>
              <w:bottom w:val="single" w:sz="4" w:space="0" w:color="auto"/>
              <w:right w:val="single" w:sz="4" w:space="0" w:color="auto"/>
            </w:tcBorders>
          </w:tcPr>
          <w:p w:rsidR="008C2BCA" w:rsidRPr="00D443C6" w:rsidRDefault="008C2BCA" w:rsidP="00724497">
            <w:pPr>
              <w:keepNext/>
              <w:widowControl w:val="0"/>
              <w:numPr>
                <w:ilvl w:val="0"/>
                <w:numId w:val="3"/>
              </w:numPr>
              <w:tabs>
                <w:tab w:val="clear" w:pos="7320"/>
              </w:tabs>
              <w:ind w:left="228" w:hanging="228"/>
              <w:rPr>
                <w:rFonts w:asciiTheme="minorHAnsi" w:hAnsiTheme="minorHAnsi" w:cs="Arial"/>
                <w:b/>
              </w:rPr>
            </w:pPr>
            <w:r>
              <w:rPr>
                <w:rFonts w:asciiTheme="minorHAnsi" w:hAnsiTheme="minorHAnsi" w:cs="Arial"/>
              </w:rPr>
              <w:t>Ortho MTS incubator</w:t>
            </w:r>
          </w:p>
          <w:p w:rsidR="008C2BCA" w:rsidRPr="00D443C6" w:rsidRDefault="008C2BCA" w:rsidP="00724497">
            <w:pPr>
              <w:keepNext/>
              <w:widowControl w:val="0"/>
              <w:numPr>
                <w:ilvl w:val="0"/>
                <w:numId w:val="3"/>
              </w:numPr>
              <w:tabs>
                <w:tab w:val="clear" w:pos="7320"/>
              </w:tabs>
              <w:ind w:left="228" w:hanging="228"/>
              <w:rPr>
                <w:rFonts w:asciiTheme="minorHAnsi" w:hAnsiTheme="minorHAnsi" w:cs="Arial"/>
                <w:b/>
              </w:rPr>
            </w:pPr>
            <w:r>
              <w:rPr>
                <w:rFonts w:asciiTheme="minorHAnsi" w:hAnsiTheme="minorHAnsi" w:cs="Arial"/>
              </w:rPr>
              <w:t>Ortho MTS centrifuge</w:t>
            </w:r>
          </w:p>
          <w:p w:rsidR="008C2BCA" w:rsidRPr="00B07110" w:rsidRDefault="008C2BCA" w:rsidP="00724497">
            <w:pPr>
              <w:keepNext/>
              <w:widowControl w:val="0"/>
              <w:numPr>
                <w:ilvl w:val="0"/>
                <w:numId w:val="3"/>
              </w:numPr>
              <w:tabs>
                <w:tab w:val="clear" w:pos="7320"/>
              </w:tabs>
              <w:ind w:left="228" w:hanging="228"/>
              <w:rPr>
                <w:rFonts w:asciiTheme="minorHAnsi" w:hAnsiTheme="minorHAnsi" w:cs="Arial"/>
                <w:b/>
              </w:rPr>
            </w:pPr>
            <w:proofErr w:type="spellStart"/>
            <w:r>
              <w:rPr>
                <w:rFonts w:asciiTheme="minorHAnsi" w:hAnsiTheme="minorHAnsi" w:cs="Arial"/>
              </w:rPr>
              <w:t>Serofuge</w:t>
            </w:r>
            <w:proofErr w:type="spellEnd"/>
          </w:p>
          <w:p w:rsidR="008C2BCA" w:rsidRPr="005D3686" w:rsidRDefault="008C2BCA" w:rsidP="00724497">
            <w:pPr>
              <w:keepNext/>
              <w:widowControl w:val="0"/>
              <w:numPr>
                <w:ilvl w:val="0"/>
                <w:numId w:val="3"/>
              </w:numPr>
              <w:tabs>
                <w:tab w:val="clear" w:pos="7320"/>
              </w:tabs>
              <w:ind w:left="228" w:hanging="228"/>
              <w:rPr>
                <w:rFonts w:asciiTheme="minorHAnsi" w:hAnsiTheme="minorHAnsi" w:cs="Arial"/>
                <w:b/>
              </w:rPr>
            </w:pPr>
            <w:r>
              <w:rPr>
                <w:rFonts w:asciiTheme="minorHAnsi" w:hAnsiTheme="minorHAnsi" w:cs="Arial"/>
              </w:rPr>
              <w:t>Agglutination viewer</w:t>
            </w:r>
          </w:p>
        </w:tc>
      </w:tr>
    </w:tbl>
    <w:p w:rsidR="00400678" w:rsidRPr="001A5F76" w:rsidRDefault="00400678" w:rsidP="001A5F76">
      <w:pPr>
        <w:pStyle w:val="BodyText"/>
      </w:pPr>
    </w:p>
    <w:p w:rsidR="005D5BB2" w:rsidRDefault="002F0DE6" w:rsidP="005D5BB2">
      <w:pPr>
        <w:pStyle w:val="Heading1"/>
      </w:pPr>
      <w:r>
        <w:t>Maintenance:</w:t>
      </w:r>
    </w:p>
    <w:p w:rsidR="005D5BB2" w:rsidRPr="005D5BB2" w:rsidRDefault="00B07110" w:rsidP="006F5DF6">
      <w:pPr>
        <w:pStyle w:val="Heading2"/>
        <w:numPr>
          <w:ilvl w:val="0"/>
          <w:numId w:val="0"/>
        </w:numPr>
        <w:ind w:left="360"/>
      </w:pPr>
      <w:r>
        <w:t>Refer to equipment procedures for applicable maintenance schedules and instruction for performance.</w:t>
      </w:r>
    </w:p>
    <w:p w:rsidR="002F0DE6" w:rsidRDefault="002F0DE6" w:rsidP="00F8335B">
      <w:pPr>
        <w:pStyle w:val="Heading1"/>
      </w:pPr>
      <w:r>
        <w:t>Calibration:</w:t>
      </w:r>
    </w:p>
    <w:p w:rsidR="005D5BB2" w:rsidRDefault="00272FCF" w:rsidP="00312B90">
      <w:pPr>
        <w:pStyle w:val="Heading2"/>
        <w:numPr>
          <w:ilvl w:val="0"/>
          <w:numId w:val="0"/>
        </w:numPr>
        <w:ind w:left="360"/>
      </w:pPr>
      <w:r>
        <w:t>Refer to equipment procedures for applicable maintenance schedules and instruction for performance.</w:t>
      </w:r>
    </w:p>
    <w:p w:rsidR="002F0DE6" w:rsidRDefault="002F0DE6" w:rsidP="005D5BB2">
      <w:pPr>
        <w:pStyle w:val="Heading1"/>
      </w:pPr>
      <w:r>
        <w:t>Quality Control:</w:t>
      </w:r>
    </w:p>
    <w:p w:rsidR="00272FCF" w:rsidRDefault="00272FCF" w:rsidP="00D17F07">
      <w:pPr>
        <w:pStyle w:val="Heading2"/>
        <w:numPr>
          <w:ilvl w:val="1"/>
          <w:numId w:val="1"/>
        </w:numPr>
        <w:ind w:left="720"/>
      </w:pPr>
      <w:r>
        <w:t>Quality control must be performed each calendar day of reagent use.</w:t>
      </w:r>
    </w:p>
    <w:p w:rsidR="001A5F76" w:rsidRDefault="00272FCF" w:rsidP="00272FCF">
      <w:pPr>
        <w:pStyle w:val="Heading3"/>
        <w:numPr>
          <w:ilvl w:val="2"/>
          <w:numId w:val="1"/>
        </w:numPr>
      </w:pPr>
      <w:r>
        <w:t>Refer to 7540.BB.CC.201 Reagent Quality Control- Daily for performance of daily quality control of reagents.</w:t>
      </w:r>
    </w:p>
    <w:p w:rsidR="002F0DE6" w:rsidRDefault="002F0DE6" w:rsidP="005D5BB2">
      <w:pPr>
        <w:pStyle w:val="Heading1"/>
      </w:pPr>
      <w:r>
        <w:t>Procedure:</w:t>
      </w:r>
    </w:p>
    <w:p w:rsidR="001A5F76" w:rsidRDefault="00E670D9" w:rsidP="003C2ADF">
      <w:pPr>
        <w:pStyle w:val="Heading2"/>
        <w:numPr>
          <w:ilvl w:val="1"/>
          <w:numId w:val="1"/>
        </w:numPr>
        <w:ind w:left="720"/>
      </w:pPr>
      <w:r>
        <w:t>Refer to 7540.BB.CC.</w:t>
      </w:r>
      <w:r w:rsidR="004243FA">
        <w:t>121 Evaluating Patient Samples and Request Forms and co</w:t>
      </w:r>
      <w:r w:rsidR="007837CB">
        <w:t xml:space="preserve">nfirm </w:t>
      </w:r>
      <w:r>
        <w:t>the specimen is acceptable for use in compatibility testing</w:t>
      </w:r>
      <w:r w:rsidR="004243FA">
        <w:t>.</w:t>
      </w:r>
    </w:p>
    <w:p w:rsidR="00E03053" w:rsidRDefault="00A441DC" w:rsidP="003C2ADF">
      <w:pPr>
        <w:pStyle w:val="Heading2"/>
        <w:numPr>
          <w:ilvl w:val="1"/>
          <w:numId w:val="1"/>
        </w:numPr>
        <w:ind w:left="720"/>
      </w:pPr>
      <w:r>
        <w:t>Review the product requisition for special transfusion requirements, number of units requested, and date needed.</w:t>
      </w:r>
    </w:p>
    <w:p w:rsidR="004243FA" w:rsidRDefault="00E360AC" w:rsidP="00E03053">
      <w:pPr>
        <w:pStyle w:val="Heading3"/>
      </w:pPr>
      <w:r>
        <w:t xml:space="preserve">Refer to 7540.BB.CC.104 </w:t>
      </w:r>
      <w:r w:rsidR="00590B06">
        <w:t>Evaluating Requests for Special Product</w:t>
      </w:r>
      <w:r w:rsidR="00CC13C2">
        <w:t>s – CMV Negative, Irradiated, or HGB S Negative.</w:t>
      </w:r>
    </w:p>
    <w:p w:rsidR="00E03053" w:rsidRDefault="00E03053" w:rsidP="00E03053">
      <w:pPr>
        <w:pStyle w:val="Heading4"/>
      </w:pPr>
      <w:r>
        <w:t xml:space="preserve">If special transfusion requirements are needed and red blood cells </w:t>
      </w:r>
      <w:r w:rsidR="007B0E66">
        <w:t xml:space="preserve">are not available in </w:t>
      </w:r>
      <w:r w:rsidR="008564C5">
        <w:t xml:space="preserve">the </w:t>
      </w:r>
      <w:r w:rsidR="007B0E66">
        <w:t>current inventory, then order the appropriate red blood cells from the donor center.</w:t>
      </w:r>
    </w:p>
    <w:p w:rsidR="00B93201" w:rsidRDefault="00B93201" w:rsidP="003C2ADF">
      <w:pPr>
        <w:pStyle w:val="Heading2"/>
        <w:numPr>
          <w:ilvl w:val="1"/>
          <w:numId w:val="1"/>
        </w:numPr>
        <w:ind w:left="720"/>
      </w:pPr>
      <w:r>
        <w:t>Verify that the Type and Screen has been completed on the current specimen prior to performing compatibility testing.</w:t>
      </w:r>
      <w:r w:rsidR="00300EA6">
        <w:t xml:space="preserve"> </w:t>
      </w:r>
    </w:p>
    <w:p w:rsidR="00300EA6" w:rsidRDefault="00300EA6" w:rsidP="00300EA6">
      <w:pPr>
        <w:pStyle w:val="Heading3"/>
      </w:pPr>
      <w:r>
        <w:t xml:space="preserve">The immediate spin crossmatch (XMIS) is automatically reflexed by the laboratory information system (LIS) when a PRBC requisition is ordered.  If the patient has a </w:t>
      </w:r>
      <w:r w:rsidR="00032FC5">
        <w:t>current or history of an antibody(ies) or a special transfusion requirement of Use AHG Crossmatch, then cancel the XMIS and add on a ALT XM (alternative crossmatch) to the Type and Screen specimen.</w:t>
      </w:r>
    </w:p>
    <w:p w:rsidR="00B66677" w:rsidRDefault="00B66677" w:rsidP="003C2ADF">
      <w:pPr>
        <w:pStyle w:val="Heading2"/>
        <w:numPr>
          <w:ilvl w:val="1"/>
          <w:numId w:val="1"/>
        </w:numPr>
        <w:ind w:left="720"/>
      </w:pPr>
      <w:r>
        <w:t>The indirect antiglobulin</w:t>
      </w:r>
      <w:r w:rsidR="00E61736">
        <w:t xml:space="preserve"> (IAT) crossmatch must be performed using the same methodology as the antibody screen test.  </w:t>
      </w:r>
      <w:r>
        <w:t>Refer to 7540.BB.CC.142 Selection of Type of Crossmatch to verify which methodology must be performed.</w:t>
      </w:r>
    </w:p>
    <w:p w:rsidR="00D90B0C" w:rsidRDefault="0012386C" w:rsidP="003C2ADF">
      <w:pPr>
        <w:pStyle w:val="Heading2"/>
        <w:numPr>
          <w:ilvl w:val="1"/>
          <w:numId w:val="1"/>
        </w:numPr>
        <w:ind w:left="720"/>
      </w:pPr>
      <w:r>
        <w:t xml:space="preserve">Review the patient history for </w:t>
      </w:r>
      <w:r w:rsidR="00402A95">
        <w:t xml:space="preserve">ABORh type, blood bank comments, </w:t>
      </w:r>
      <w:r>
        <w:t xml:space="preserve">previous and current </w:t>
      </w:r>
      <w:r w:rsidR="00402A95">
        <w:t>antibodies and</w:t>
      </w:r>
      <w:r>
        <w:t xml:space="preserve"> s</w:t>
      </w:r>
      <w:r w:rsidR="00402A95">
        <w:t>pecial transfusion requirements.</w:t>
      </w:r>
      <w:r>
        <w:t xml:space="preserve"> </w:t>
      </w:r>
      <w:r w:rsidR="00A54A92">
        <w:t xml:space="preserve"> </w:t>
      </w:r>
      <w:r>
        <w:t>Refer to 7540.BB.CC.103 Checking a P</w:t>
      </w:r>
      <w:r w:rsidR="00402A95">
        <w:t>atient History</w:t>
      </w:r>
      <w:r w:rsidR="000F75DF">
        <w:t>.</w:t>
      </w:r>
    </w:p>
    <w:p w:rsidR="00B93201" w:rsidRDefault="00731743" w:rsidP="00731743">
      <w:pPr>
        <w:pStyle w:val="Heading3"/>
      </w:pPr>
      <w:r>
        <w:lastRenderedPageBreak/>
        <w:t xml:space="preserve">If the patient does not have a historical ABORh type on file, </w:t>
      </w:r>
      <w:r w:rsidR="00D96AAA">
        <w:t xml:space="preserve">then a second ABORh </w:t>
      </w:r>
      <w:r w:rsidR="009450EF">
        <w:t xml:space="preserve">type </w:t>
      </w:r>
      <w:r w:rsidR="00D96AAA">
        <w:t>must be performed on a specimen collected at a different time from the Type and Screen specimen.</w:t>
      </w:r>
      <w:r w:rsidR="00674CE0">
        <w:t xml:space="preserve"> </w:t>
      </w:r>
      <w:r w:rsidR="00E467B4">
        <w:t xml:space="preserve"> Refer to </w:t>
      </w:r>
      <w:r w:rsidR="00934A78">
        <w:t>7540.BB.CC.502 PRBC Requisition for resulting</w:t>
      </w:r>
      <w:r w:rsidR="009450EF">
        <w:t xml:space="preserve"> and generation of the BB Confirm ABORh Full orderable.</w:t>
      </w:r>
    </w:p>
    <w:p w:rsidR="00F16324" w:rsidRDefault="00F16324" w:rsidP="003C2ADF">
      <w:pPr>
        <w:pStyle w:val="Heading2"/>
        <w:numPr>
          <w:ilvl w:val="1"/>
          <w:numId w:val="1"/>
        </w:numPr>
        <w:ind w:left="720"/>
      </w:pPr>
      <w:r>
        <w:t xml:space="preserve">Review the most recent hemoglobin value to determine if a </w:t>
      </w:r>
      <w:r w:rsidR="00A54A92">
        <w:t xml:space="preserve">product with a </w:t>
      </w:r>
      <w:r>
        <w:t>short or long expiration date should be selected.</w:t>
      </w:r>
    </w:p>
    <w:p w:rsidR="00F16324" w:rsidRDefault="00F16324" w:rsidP="003C2ADF">
      <w:pPr>
        <w:pStyle w:val="Heading2"/>
        <w:numPr>
          <w:ilvl w:val="1"/>
          <w:numId w:val="1"/>
        </w:numPr>
        <w:ind w:left="720"/>
      </w:pPr>
      <w:r>
        <w:t>If the patient has</w:t>
      </w:r>
      <w:r w:rsidR="005D2437">
        <w:t xml:space="preserve"> current or a history of</w:t>
      </w:r>
      <w:r>
        <w:t xml:space="preserve"> clinically significant antibodies, then the red blood cells must be</w:t>
      </w:r>
      <w:r w:rsidR="005D2437">
        <w:t xml:space="preserve"> lacking the relevant antigens</w:t>
      </w:r>
      <w:r w:rsidR="003617EB">
        <w:t>.</w:t>
      </w:r>
    </w:p>
    <w:p w:rsidR="00740C7E" w:rsidRDefault="00E7129B" w:rsidP="00740C7E">
      <w:pPr>
        <w:pStyle w:val="Heading3"/>
      </w:pPr>
      <w:r>
        <w:t>Including, but not limited to: Anti-D, Anti-C, Anti-E, Anti-c, Anti-e, Anti-K, Anti-Fy</w:t>
      </w:r>
      <w:r w:rsidRPr="0064441D">
        <w:rPr>
          <w:vertAlign w:val="superscript"/>
        </w:rPr>
        <w:t>a</w:t>
      </w:r>
      <w:r>
        <w:t>, Anti-Fy</w:t>
      </w:r>
      <w:r w:rsidRPr="0064441D">
        <w:rPr>
          <w:vertAlign w:val="superscript"/>
        </w:rPr>
        <w:t>b</w:t>
      </w:r>
      <w:r>
        <w:t>, Anti-Jk</w:t>
      </w:r>
      <w:r w:rsidRPr="0064441D">
        <w:rPr>
          <w:vertAlign w:val="superscript"/>
        </w:rPr>
        <w:t>a</w:t>
      </w:r>
      <w:r>
        <w:t>, Anti-Jk</w:t>
      </w:r>
      <w:r w:rsidRPr="0064441D">
        <w:rPr>
          <w:vertAlign w:val="superscript"/>
        </w:rPr>
        <w:t>b</w:t>
      </w:r>
      <w:r>
        <w:t>, Anti-S, Anti-s</w:t>
      </w:r>
      <w:proofErr w:type="gramStart"/>
      <w:r>
        <w:t xml:space="preserve">. </w:t>
      </w:r>
      <w:proofErr w:type="gramEnd"/>
      <w:r>
        <w:t>Refer to the AABB Technical Manual for other potentially clinically significant antibodies.</w:t>
      </w:r>
    </w:p>
    <w:p w:rsidR="001E4C73" w:rsidRDefault="001E4C73" w:rsidP="001E4C73">
      <w:pPr>
        <w:pStyle w:val="Heading3"/>
      </w:pPr>
      <w:r>
        <w:t>If the corresponding antiserum is unavailable at the facility</w:t>
      </w:r>
      <w:r w:rsidR="00D061EE">
        <w:t xml:space="preserve"> or sufficient time is unavailable</w:t>
      </w:r>
      <w:r>
        <w:t xml:space="preserve">, </w:t>
      </w:r>
      <w:proofErr w:type="gramStart"/>
      <w:r>
        <w:t>then</w:t>
      </w:r>
      <w:proofErr w:type="gramEnd"/>
      <w:r>
        <w:t xml:space="preserve"> order antigen negative red blood cells from the donor center.</w:t>
      </w:r>
    </w:p>
    <w:p w:rsidR="008E371F" w:rsidRDefault="003617EB" w:rsidP="008E371F">
      <w:pPr>
        <w:pStyle w:val="Heading3"/>
      </w:pPr>
      <w:r>
        <w:t>If the percentage of blood compatibility is greater than</w:t>
      </w:r>
      <w:r w:rsidR="00991E3B">
        <w:t xml:space="preserve"> or equal to</w:t>
      </w:r>
      <w:r>
        <w:t xml:space="preserve"> 30% and sufficient time is available, then screen ABO compatible red blood cells for the relevant antigen.  Refer to 7540.BB.CC.119 Antigen Typing and the instructions for use for the corresponding antisera.</w:t>
      </w:r>
    </w:p>
    <w:p w:rsidR="00300BAA" w:rsidRDefault="00300BAA" w:rsidP="00300BAA">
      <w:pPr>
        <w:pStyle w:val="Heading4"/>
      </w:pPr>
      <w:r>
        <w:t>Examples: C, E, K, Fy</w:t>
      </w:r>
      <w:r>
        <w:rPr>
          <w:vertAlign w:val="superscript"/>
        </w:rPr>
        <w:t>a</w:t>
      </w:r>
      <w:r>
        <w:t>, S</w:t>
      </w:r>
    </w:p>
    <w:p w:rsidR="009450EF" w:rsidRDefault="00674CE0" w:rsidP="003C2ADF">
      <w:pPr>
        <w:pStyle w:val="Heading2"/>
        <w:numPr>
          <w:ilvl w:val="1"/>
          <w:numId w:val="1"/>
        </w:numPr>
        <w:ind w:left="720"/>
      </w:pPr>
      <w:r>
        <w:t>If the patient has current or a history of clinically insignificant antibodies, then the red blood cells do not need to lack the antigen</w:t>
      </w:r>
      <w:r w:rsidR="00F550E6">
        <w:t xml:space="preserve">, but must be compatible at all phases of </w:t>
      </w:r>
      <w:r w:rsidR="004071C5">
        <w:t xml:space="preserve">the IAT </w:t>
      </w:r>
      <w:r w:rsidR="00F550E6">
        <w:t>crossmatch testing.</w:t>
      </w:r>
    </w:p>
    <w:p w:rsidR="00E02039" w:rsidRDefault="00E02039" w:rsidP="00E02039">
      <w:pPr>
        <w:pStyle w:val="Heading3"/>
      </w:pPr>
      <w:r>
        <w:t>Examples: Anti-Le</w:t>
      </w:r>
      <w:r w:rsidRPr="0064441D">
        <w:rPr>
          <w:vertAlign w:val="superscript"/>
        </w:rPr>
        <w:t>a</w:t>
      </w:r>
      <w:r>
        <w:t>, Anti-Le</w:t>
      </w:r>
      <w:r w:rsidRPr="0064441D">
        <w:rPr>
          <w:vertAlign w:val="superscript"/>
        </w:rPr>
        <w:t>b</w:t>
      </w:r>
      <w:r>
        <w:t>, Anti-M, Anti-N, Anti-P</w:t>
      </w:r>
      <w:r w:rsidRPr="0064441D">
        <w:rPr>
          <w:vertAlign w:val="subscript"/>
        </w:rPr>
        <w:t>1</w:t>
      </w:r>
      <w:r>
        <w:t>, Anti-I, Anti-i</w:t>
      </w:r>
    </w:p>
    <w:p w:rsidR="00E02039" w:rsidRDefault="00E02039" w:rsidP="00E02039">
      <w:pPr>
        <w:pStyle w:val="Heading3"/>
      </w:pPr>
      <w:r>
        <w:t>Note:  If a patient has a warm reactive autoantibody in the presence of Anti-M, then M negative donor red blood cells are required.</w:t>
      </w:r>
    </w:p>
    <w:p w:rsidR="008E371F" w:rsidRDefault="008E371F" w:rsidP="003C2ADF">
      <w:pPr>
        <w:pStyle w:val="Heading2"/>
        <w:numPr>
          <w:ilvl w:val="1"/>
          <w:numId w:val="1"/>
        </w:numPr>
        <w:ind w:left="720"/>
      </w:pPr>
      <w:r>
        <w:t xml:space="preserve">Once the </w:t>
      </w:r>
      <w:r w:rsidR="00FC305F">
        <w:t xml:space="preserve">appropriate </w:t>
      </w:r>
      <w:r>
        <w:t>re</w:t>
      </w:r>
      <w:r w:rsidR="00FC305F">
        <w:t>d blood cells are selected,</w:t>
      </w:r>
      <w:r>
        <w:t xml:space="preserve"> verify the PRBC Requisition </w:t>
      </w:r>
      <w:r w:rsidR="00FC305F">
        <w:t xml:space="preserve">prior to performing compatibility testing. </w:t>
      </w:r>
      <w:r w:rsidR="00393850">
        <w:t xml:space="preserve"> </w:t>
      </w:r>
      <w:r w:rsidR="00FC305F">
        <w:t xml:space="preserve">Refer to 7540.BB.CC.502 PRBC Requisition for resulting. </w:t>
      </w:r>
    </w:p>
    <w:p w:rsidR="000B6FCD" w:rsidRDefault="000B6FCD" w:rsidP="003C2ADF">
      <w:pPr>
        <w:pStyle w:val="Heading2"/>
        <w:numPr>
          <w:ilvl w:val="1"/>
          <w:numId w:val="1"/>
        </w:numPr>
        <w:ind w:left="720"/>
      </w:pPr>
      <w:r>
        <w:t xml:space="preserve">An immediate spin crossmatch is required for detecting ABO incompatibility in addition to the IAT crossmatch used to detect </w:t>
      </w:r>
      <w:r w:rsidR="00BD0E9B">
        <w:t>alloantibody incompatibility.</w:t>
      </w:r>
      <w:r w:rsidR="00953BDF">
        <w:t xml:space="preserve">  Refer to 7540.BB</w:t>
      </w:r>
      <w:r w:rsidR="000E29D2">
        <w:t>.</w:t>
      </w:r>
      <w:r w:rsidR="00953BDF">
        <w:t>CC.144 Immediate Spin (IS) Crossmatch.</w:t>
      </w:r>
    </w:p>
    <w:p w:rsidR="00AD477D" w:rsidRDefault="00AD477D" w:rsidP="003C2ADF">
      <w:pPr>
        <w:pStyle w:val="Heading2"/>
        <w:numPr>
          <w:ilvl w:val="1"/>
          <w:numId w:val="1"/>
        </w:numPr>
        <w:ind w:left="720"/>
      </w:pPr>
      <w:r>
        <w:t xml:space="preserve">In </w:t>
      </w:r>
      <w:r w:rsidR="00E20E23">
        <w:t>Cerner, open</w:t>
      </w:r>
      <w:r>
        <w:t xml:space="preserve"> the Result Entry application </w:t>
      </w:r>
      <w:r w:rsidR="00E20E23">
        <w:t xml:space="preserve">and </w:t>
      </w:r>
      <w:r>
        <w:t>scan the patient specimen</w:t>
      </w:r>
    </w:p>
    <w:p w:rsidR="00E20E23" w:rsidRDefault="00E20E23" w:rsidP="00E20E23">
      <w:pPr>
        <w:pStyle w:val="Heading2"/>
        <w:numPr>
          <w:ilvl w:val="0"/>
          <w:numId w:val="0"/>
        </w:numPr>
        <w:ind w:left="720"/>
      </w:pPr>
      <w:r>
        <w:rPr>
          <w:noProof/>
        </w:rPr>
        <w:drawing>
          <wp:inline distT="0" distB="0" distL="0" distR="0" wp14:anchorId="17D90144" wp14:editId="7B124C57">
            <wp:extent cx="3619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1950" cy="361950"/>
                    </a:xfrm>
                    <a:prstGeom prst="rect">
                      <a:avLst/>
                    </a:prstGeom>
                  </pic:spPr>
                </pic:pic>
              </a:graphicData>
            </a:graphic>
          </wp:inline>
        </w:drawing>
      </w:r>
    </w:p>
    <w:p w:rsidR="00442012" w:rsidRDefault="00E52481" w:rsidP="003C2ADF">
      <w:pPr>
        <w:pStyle w:val="Heading2"/>
        <w:numPr>
          <w:ilvl w:val="1"/>
          <w:numId w:val="1"/>
        </w:numPr>
        <w:ind w:left="720"/>
      </w:pPr>
      <w:r>
        <w:t>On the Alt XM procedure line, s</w:t>
      </w:r>
      <w:r w:rsidR="008E5A20">
        <w:t xml:space="preserve">can the </w:t>
      </w:r>
      <w:r w:rsidR="00016179">
        <w:t>donor identification number</w:t>
      </w:r>
      <w:r w:rsidR="00336230">
        <w:t>(s)</w:t>
      </w:r>
      <w:r w:rsidR="00016179">
        <w:t xml:space="preserve"> (DIN)</w:t>
      </w:r>
      <w:r>
        <w:t xml:space="preserve"> in the white box.</w:t>
      </w:r>
      <w:r w:rsidR="00336230">
        <w:t xml:space="preserve">  </w:t>
      </w:r>
    </w:p>
    <w:p w:rsidR="00FE3AE1" w:rsidRDefault="00336230" w:rsidP="00442012">
      <w:pPr>
        <w:pStyle w:val="Heading2"/>
        <w:numPr>
          <w:ilvl w:val="0"/>
          <w:numId w:val="0"/>
        </w:numPr>
        <w:ind w:left="720"/>
      </w:pPr>
      <w:r>
        <w:rPr>
          <w:noProof/>
        </w:rPr>
        <w:drawing>
          <wp:inline distT="0" distB="0" distL="0" distR="0" wp14:anchorId="4EE1B96A" wp14:editId="57948EB9">
            <wp:extent cx="3724275" cy="52387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24275" cy="523875"/>
                    </a:xfrm>
                    <a:prstGeom prst="rect">
                      <a:avLst/>
                    </a:prstGeom>
                    <a:ln>
                      <a:solidFill>
                        <a:schemeClr val="tx1"/>
                      </a:solidFill>
                    </a:ln>
                  </pic:spPr>
                </pic:pic>
              </a:graphicData>
            </a:graphic>
          </wp:inline>
        </w:drawing>
      </w:r>
    </w:p>
    <w:p w:rsidR="00D5406B" w:rsidRDefault="00D5406B" w:rsidP="00D5406B">
      <w:pPr>
        <w:pStyle w:val="Heading3"/>
      </w:pPr>
      <w:r>
        <w:t>If more than one component is in inventory</w:t>
      </w:r>
      <w:r w:rsidR="004D22B0">
        <w:t xml:space="preserve"> with the same DIN</w:t>
      </w:r>
      <w:r>
        <w:t xml:space="preserve">, then a </w:t>
      </w:r>
      <w:r w:rsidR="004D22B0">
        <w:t>Select Blood Product window will appear.  Scan the standard product code (SPC) for product selection.</w:t>
      </w:r>
    </w:p>
    <w:p w:rsidR="004D22B0" w:rsidRDefault="004D22B0" w:rsidP="006D1B57">
      <w:pPr>
        <w:pStyle w:val="Heading3"/>
        <w:numPr>
          <w:ilvl w:val="0"/>
          <w:numId w:val="0"/>
        </w:numPr>
        <w:ind w:left="1080"/>
      </w:pPr>
      <w:r>
        <w:rPr>
          <w:noProof/>
        </w:rPr>
        <w:drawing>
          <wp:inline distT="0" distB="0" distL="0" distR="0" wp14:anchorId="55711046" wp14:editId="6D8A2BB0">
            <wp:extent cx="5215946" cy="539582"/>
            <wp:effectExtent l="19050" t="19050" r="22860" b="13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Lst>
                    </a:blip>
                    <a:srcRect b="80603"/>
                    <a:stretch/>
                  </pic:blipFill>
                  <pic:spPr bwMode="auto">
                    <a:xfrm>
                      <a:off x="0" y="0"/>
                      <a:ext cx="5267261" cy="54489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5527A9" w:rsidRDefault="005527A9" w:rsidP="003C2ADF">
      <w:pPr>
        <w:pStyle w:val="Heading2"/>
        <w:numPr>
          <w:ilvl w:val="1"/>
          <w:numId w:val="1"/>
        </w:numPr>
        <w:ind w:left="720"/>
      </w:pPr>
      <w:r>
        <w:lastRenderedPageBreak/>
        <w:t>Enter the blood bank ID on the specimen in the BBID field.</w:t>
      </w:r>
    </w:p>
    <w:p w:rsidR="00393850" w:rsidRDefault="00393850" w:rsidP="003C2ADF">
      <w:pPr>
        <w:pStyle w:val="Heading2"/>
        <w:numPr>
          <w:ilvl w:val="1"/>
          <w:numId w:val="1"/>
        </w:numPr>
        <w:ind w:left="720"/>
      </w:pPr>
      <w:r>
        <w:t xml:space="preserve">Remove one segment from each red blood cell unit and place it in a glass test tube labeled with the </w:t>
      </w:r>
      <w:r w:rsidR="00016179">
        <w:t>DIN</w:t>
      </w:r>
      <w:r w:rsidR="00D31A2E">
        <w:t>.</w:t>
      </w:r>
    </w:p>
    <w:p w:rsidR="00D31A2E" w:rsidRDefault="00D31A2E" w:rsidP="003C2ADF">
      <w:pPr>
        <w:pStyle w:val="Heading2"/>
        <w:numPr>
          <w:ilvl w:val="1"/>
          <w:numId w:val="1"/>
        </w:numPr>
        <w:ind w:left="720"/>
      </w:pPr>
      <w:r>
        <w:t xml:space="preserve">Dispense at least two drops of </w:t>
      </w:r>
      <w:r w:rsidR="005B7503">
        <w:t xml:space="preserve">donor </w:t>
      </w:r>
      <w:r>
        <w:t>r</w:t>
      </w:r>
      <w:r w:rsidR="007000F4">
        <w:t>ed blood cells from the segment into the labeled glass test tube.</w:t>
      </w:r>
    </w:p>
    <w:p w:rsidR="004F0D8F" w:rsidRDefault="004F0D8F" w:rsidP="003C2ADF">
      <w:pPr>
        <w:pStyle w:val="Heading2"/>
        <w:numPr>
          <w:ilvl w:val="1"/>
          <w:numId w:val="1"/>
        </w:numPr>
        <w:ind w:left="720"/>
      </w:pPr>
      <w:r>
        <w:t>Wash the donor red blood cells at least once in isotonic saline.</w:t>
      </w:r>
    </w:p>
    <w:p w:rsidR="006D1B57" w:rsidRDefault="006D1B57" w:rsidP="003C2ADF">
      <w:pPr>
        <w:pStyle w:val="Heading2"/>
        <w:numPr>
          <w:ilvl w:val="1"/>
          <w:numId w:val="1"/>
        </w:numPr>
        <w:ind w:left="720"/>
      </w:pPr>
      <w:r>
        <w:t>Prepare a 3%</w:t>
      </w:r>
      <w:r w:rsidR="00C271A9">
        <w:t>-5%</w:t>
      </w:r>
      <w:r>
        <w:t xml:space="preserve"> and a 0.8% </w:t>
      </w:r>
      <w:r w:rsidR="00E66739">
        <w:t>donor red blood cell suspension</w:t>
      </w:r>
      <w:r>
        <w:t xml:space="preserve">. Refer to </w:t>
      </w:r>
      <w:r w:rsidR="00C02B63">
        <w:t xml:space="preserve">7540.BB.CC.101 3%-5% Red Cell Suspension Preparation and </w:t>
      </w:r>
      <w:r w:rsidR="00E66739">
        <w:t>7540.BB.CC.100 0.8% Cell Suspension Preparation.</w:t>
      </w:r>
    </w:p>
    <w:p w:rsidR="00C271A9" w:rsidRDefault="00C271A9" w:rsidP="003C2ADF">
      <w:pPr>
        <w:pStyle w:val="Heading2"/>
        <w:numPr>
          <w:ilvl w:val="1"/>
          <w:numId w:val="1"/>
        </w:numPr>
        <w:ind w:left="720"/>
      </w:pPr>
      <w:r>
        <w:t>Perform an immediate spin crossmatch using the 3%-5% donor red blood cell suspension and</w:t>
      </w:r>
      <w:r w:rsidR="005527A9">
        <w:t xml:space="preserve"> immediately</w:t>
      </w:r>
      <w:r>
        <w:t xml:space="preserve"> record results.</w:t>
      </w:r>
      <w:r w:rsidR="005527A9">
        <w:t xml:space="preserve"> </w:t>
      </w:r>
      <w:r w:rsidR="00536C93">
        <w:t xml:space="preserve"> </w:t>
      </w:r>
      <w:r w:rsidR="005527A9">
        <w:t xml:space="preserve">Refer to </w:t>
      </w:r>
      <w:r w:rsidR="00536C93">
        <w:t>7540.BB.CC.144 Immediate Spin Crossmatch.</w:t>
      </w:r>
    </w:p>
    <w:p w:rsidR="001A6BFF" w:rsidRDefault="001A6BFF" w:rsidP="003C2ADF">
      <w:pPr>
        <w:pStyle w:val="Heading2"/>
        <w:numPr>
          <w:ilvl w:val="1"/>
          <w:numId w:val="1"/>
        </w:numPr>
        <w:ind w:left="720"/>
      </w:pPr>
      <w:r>
        <w:t>Dispense 1 mL of MTS Diluent 2 into a glass test tube labeled with the DIN and the concentration (0.8%).</w:t>
      </w:r>
    </w:p>
    <w:p w:rsidR="001A6BFF" w:rsidRDefault="001A6BFF" w:rsidP="001A6BFF">
      <w:pPr>
        <w:pStyle w:val="Heading3"/>
      </w:pPr>
      <w:r>
        <w:t>Visually inspect the Ortho MTS Diluent 2 for discoloration, turbidity, and signs of contamination prior to use.</w:t>
      </w:r>
    </w:p>
    <w:p w:rsidR="001A6BFF" w:rsidRDefault="005B7503" w:rsidP="003C2ADF">
      <w:pPr>
        <w:pStyle w:val="Heading2"/>
        <w:numPr>
          <w:ilvl w:val="1"/>
          <w:numId w:val="1"/>
        </w:numPr>
        <w:ind w:left="720"/>
      </w:pPr>
      <w:r>
        <w:t xml:space="preserve">Pipette 10 </w:t>
      </w:r>
      <w:r>
        <w:rPr>
          <w:rFonts w:cs="Arial"/>
        </w:rPr>
        <w:t>µ</w:t>
      </w:r>
      <w:r>
        <w:t>L of donor red blood cells into the MTS Diluent 2 and rinse the tip in the diluent.</w:t>
      </w:r>
    </w:p>
    <w:p w:rsidR="00954CCA" w:rsidRDefault="00954CCA" w:rsidP="003C2ADF">
      <w:pPr>
        <w:pStyle w:val="Heading2"/>
        <w:numPr>
          <w:ilvl w:val="1"/>
          <w:numId w:val="1"/>
        </w:numPr>
        <w:ind w:left="720"/>
      </w:pPr>
      <w:r>
        <w:t>Visually compare the prepared donor red blood cells to a known 0.8% concentration prior to dispense into an Anti-IgG gel card.</w:t>
      </w:r>
    </w:p>
    <w:p w:rsidR="000E0997" w:rsidRDefault="000B6FCD" w:rsidP="003C2ADF">
      <w:pPr>
        <w:pStyle w:val="Heading2"/>
        <w:numPr>
          <w:ilvl w:val="1"/>
          <w:numId w:val="1"/>
        </w:numPr>
        <w:ind w:left="720"/>
      </w:pPr>
      <w:r>
        <w:t xml:space="preserve">Label the appropriate number of </w:t>
      </w:r>
      <w:r w:rsidR="00510E6F">
        <w:t xml:space="preserve">MTS Anti-IgG </w:t>
      </w:r>
      <w:r w:rsidR="00CB3735">
        <w:t xml:space="preserve">gel </w:t>
      </w:r>
      <w:r w:rsidR="00510E6F">
        <w:t>card</w:t>
      </w:r>
      <w:r>
        <w:t xml:space="preserve"> wells </w:t>
      </w:r>
      <w:r w:rsidR="000E0997">
        <w:t xml:space="preserve">with the patient identification including at </w:t>
      </w:r>
      <w:r w:rsidR="00E67D89">
        <w:t xml:space="preserve">a </w:t>
      </w:r>
      <w:r w:rsidR="000E0997">
        <w:t>minimum:</w:t>
      </w:r>
    </w:p>
    <w:p w:rsidR="000E0997" w:rsidRDefault="000E0997" w:rsidP="00AF4A31">
      <w:pPr>
        <w:pStyle w:val="Heading3"/>
        <w:numPr>
          <w:ilvl w:val="0"/>
          <w:numId w:val="5"/>
        </w:numPr>
        <w:spacing w:after="0"/>
        <w:ind w:left="1440"/>
      </w:pPr>
      <w:r>
        <w:t>Patient name</w:t>
      </w:r>
    </w:p>
    <w:p w:rsidR="00B74555" w:rsidRDefault="000E0997" w:rsidP="00AF4A31">
      <w:pPr>
        <w:pStyle w:val="Heading3"/>
        <w:numPr>
          <w:ilvl w:val="0"/>
          <w:numId w:val="5"/>
        </w:numPr>
        <w:spacing w:before="0" w:after="0"/>
        <w:ind w:left="1440"/>
      </w:pPr>
      <w:r>
        <w:t>Accession number</w:t>
      </w:r>
    </w:p>
    <w:p w:rsidR="00590B16" w:rsidRDefault="00590B16" w:rsidP="00AF4A31">
      <w:pPr>
        <w:pStyle w:val="Heading3"/>
        <w:numPr>
          <w:ilvl w:val="0"/>
          <w:numId w:val="5"/>
        </w:numPr>
        <w:spacing w:before="0" w:after="0"/>
        <w:ind w:left="1440"/>
      </w:pPr>
      <w:r>
        <w:t>CLS initials</w:t>
      </w:r>
    </w:p>
    <w:p w:rsidR="00590B16" w:rsidRDefault="00590B16" w:rsidP="00AF4A31">
      <w:pPr>
        <w:pStyle w:val="Heading3"/>
        <w:numPr>
          <w:ilvl w:val="0"/>
          <w:numId w:val="5"/>
        </w:numPr>
        <w:spacing w:before="0" w:after="0"/>
        <w:ind w:left="1440"/>
      </w:pPr>
      <w:r>
        <w:t>Date</w:t>
      </w:r>
    </w:p>
    <w:p w:rsidR="00590B16" w:rsidRDefault="00590B16" w:rsidP="00AF4A31">
      <w:pPr>
        <w:pStyle w:val="Heading3"/>
        <w:numPr>
          <w:ilvl w:val="0"/>
          <w:numId w:val="5"/>
        </w:numPr>
        <w:spacing w:before="0" w:after="0"/>
        <w:ind w:left="1440"/>
      </w:pPr>
      <w:r>
        <w:t>Last four digits of DIN</w:t>
      </w:r>
    </w:p>
    <w:p w:rsidR="00954CCA" w:rsidRDefault="00954CCA" w:rsidP="00AF4A31">
      <w:pPr>
        <w:pStyle w:val="Heading3"/>
        <w:numPr>
          <w:ilvl w:val="0"/>
          <w:numId w:val="5"/>
        </w:numPr>
        <w:spacing w:before="0" w:after="0"/>
        <w:ind w:left="1440"/>
      </w:pPr>
      <w:r>
        <w:t>Note: A LIS accession label may be used.</w:t>
      </w:r>
    </w:p>
    <w:p w:rsidR="00590B16" w:rsidRDefault="009E5EE3" w:rsidP="009E5EE3">
      <w:pPr>
        <w:pStyle w:val="Heading3"/>
      </w:pPr>
      <w:r>
        <w:t>Visually inspect the MTS</w:t>
      </w:r>
      <w:r w:rsidR="00510E6F">
        <w:t xml:space="preserve"> Anti-IgG </w:t>
      </w:r>
      <w:r w:rsidR="00CB3735">
        <w:t xml:space="preserve">gel </w:t>
      </w:r>
      <w:r w:rsidR="00510E6F">
        <w:t xml:space="preserve">card </w:t>
      </w:r>
      <w:r w:rsidR="000F653B">
        <w:t xml:space="preserve">for a clear liquid layer on top of the opaque gel and </w:t>
      </w:r>
      <w:r w:rsidR="00510E6F">
        <w:t>for signs of drying, discoloration, bubbles, crystals, and opened or damaged seals.</w:t>
      </w:r>
    </w:p>
    <w:p w:rsidR="00313F50" w:rsidRDefault="00313F50" w:rsidP="009E5EE3">
      <w:pPr>
        <w:pStyle w:val="Heading3"/>
      </w:pPr>
      <w:r>
        <w:t xml:space="preserve">Remove the appropriate number of foil seals, </w:t>
      </w:r>
    </w:p>
    <w:p w:rsidR="00E902DC" w:rsidRDefault="00E902DC" w:rsidP="00E902DC">
      <w:pPr>
        <w:pStyle w:val="Heading4"/>
      </w:pPr>
      <w:r>
        <w:t>Foil should be removed within one hour prior to testing.</w:t>
      </w:r>
    </w:p>
    <w:p w:rsidR="00CB3735" w:rsidRDefault="00CB3735" w:rsidP="003C2ADF">
      <w:pPr>
        <w:pStyle w:val="Heading2"/>
        <w:numPr>
          <w:ilvl w:val="1"/>
          <w:numId w:val="1"/>
        </w:numPr>
        <w:ind w:left="720"/>
      </w:pPr>
      <w:r>
        <w:t xml:space="preserve">Dispense 50 </w:t>
      </w:r>
      <w:r>
        <w:rPr>
          <w:rFonts w:cs="Arial"/>
        </w:rPr>
        <w:t>µ</w:t>
      </w:r>
      <w:r>
        <w:t>L of the 0.8% donor red blood cells in the appropriately labeled gel well</w:t>
      </w:r>
      <w:r w:rsidR="001F12FE">
        <w:t xml:space="preserve"> ensuring not to touch the gel card</w:t>
      </w:r>
      <w:r>
        <w:t>.</w:t>
      </w:r>
    </w:p>
    <w:p w:rsidR="001F12FE" w:rsidRDefault="00CB3735" w:rsidP="003C2ADF">
      <w:pPr>
        <w:pStyle w:val="Heading2"/>
        <w:numPr>
          <w:ilvl w:val="1"/>
          <w:numId w:val="1"/>
        </w:numPr>
        <w:ind w:left="720"/>
      </w:pPr>
      <w:r>
        <w:t xml:space="preserve">Dispense 25 </w:t>
      </w:r>
      <w:r>
        <w:rPr>
          <w:rFonts w:cs="Arial"/>
        </w:rPr>
        <w:t>µ</w:t>
      </w:r>
      <w:r>
        <w:t>L of the patient’</w:t>
      </w:r>
      <w:r w:rsidR="00347897">
        <w:t>s plasma into the corresponding wells</w:t>
      </w:r>
      <w:r w:rsidR="001F12FE">
        <w:t xml:space="preserve"> ensuring not to touch the gel card.</w:t>
      </w:r>
    </w:p>
    <w:p w:rsidR="00CB3735" w:rsidRDefault="001F12FE" w:rsidP="003C2ADF">
      <w:pPr>
        <w:pStyle w:val="Heading2"/>
        <w:numPr>
          <w:ilvl w:val="1"/>
          <w:numId w:val="1"/>
        </w:numPr>
        <w:ind w:left="720"/>
      </w:pPr>
      <w:r>
        <w:t>Incubate the MTS Anti-IgG gel card</w:t>
      </w:r>
      <w:r w:rsidR="00B27BD6">
        <w:t>s</w:t>
      </w:r>
      <w:r>
        <w:t xml:space="preserve"> </w:t>
      </w:r>
      <w:r w:rsidR="006C15A5">
        <w:t xml:space="preserve">at 37 </w:t>
      </w:r>
      <w:r w:rsidR="006C15A5">
        <w:rPr>
          <w:rFonts w:cs="Arial"/>
        </w:rPr>
        <w:t xml:space="preserve">± </w:t>
      </w:r>
      <w:r w:rsidR="006C15A5">
        <w:t>2</w:t>
      </w:r>
      <w:r w:rsidR="006C15A5">
        <w:sym w:font="Symbol" w:char="F0B0"/>
      </w:r>
      <w:r w:rsidR="006C15A5">
        <w:t xml:space="preserve">C </w:t>
      </w:r>
      <w:r>
        <w:t xml:space="preserve">for </w:t>
      </w:r>
      <w:r w:rsidR="006C15A5">
        <w:t>15 minutes</w:t>
      </w:r>
      <w:r w:rsidR="00347897">
        <w:t>.</w:t>
      </w:r>
      <w:r w:rsidR="006C15A5">
        <w:t xml:space="preserve">  Incubation time can be extended up until 40 minutes.</w:t>
      </w:r>
    </w:p>
    <w:p w:rsidR="00FE3AE1" w:rsidRDefault="00FE3AE1" w:rsidP="003C2ADF">
      <w:pPr>
        <w:pStyle w:val="Heading2"/>
        <w:numPr>
          <w:ilvl w:val="1"/>
          <w:numId w:val="1"/>
        </w:numPr>
        <w:ind w:left="720"/>
      </w:pPr>
      <w:r>
        <w:t>Centri</w:t>
      </w:r>
      <w:r w:rsidR="00BD757C">
        <w:t>fuge the MTS Anti-IgG gel card</w:t>
      </w:r>
      <w:r w:rsidR="00B27BD6">
        <w:t>s</w:t>
      </w:r>
      <w:r w:rsidR="00BD757C">
        <w:t xml:space="preserve"> in the </w:t>
      </w:r>
      <w:proofErr w:type="gramStart"/>
      <w:r w:rsidR="00BD757C">
        <w:t>Ortho</w:t>
      </w:r>
      <w:proofErr w:type="gramEnd"/>
      <w:r w:rsidR="00BD757C">
        <w:t xml:space="preserve"> centrifuge for 10 minutes.</w:t>
      </w:r>
    </w:p>
    <w:p w:rsidR="00BD757C" w:rsidRDefault="00BD757C" w:rsidP="00BD757C">
      <w:pPr>
        <w:pStyle w:val="Heading3"/>
      </w:pPr>
      <w:r>
        <w:t xml:space="preserve">Ensure the centrifuge RPM’s are greater than </w:t>
      </w:r>
      <w:r w:rsidR="00B27BD6">
        <w:t>800 prior to walking away.</w:t>
      </w:r>
    </w:p>
    <w:p w:rsidR="000A6F00" w:rsidRDefault="00B27BD6" w:rsidP="003C2ADF">
      <w:pPr>
        <w:pStyle w:val="Heading2"/>
        <w:numPr>
          <w:ilvl w:val="1"/>
          <w:numId w:val="1"/>
        </w:numPr>
        <w:ind w:left="720"/>
      </w:pPr>
      <w:r>
        <w:lastRenderedPageBreak/>
        <w:t xml:space="preserve">Remove the MTS Anti-IgG gel cards from the centrifuge and </w:t>
      </w:r>
      <w:r w:rsidR="007E485C">
        <w:t>macroscopically read the front and back of each microtube and record the reactions</w:t>
      </w:r>
      <w:r w:rsidR="003129DD">
        <w:t xml:space="preserve"> in the Gel field in the LIS</w:t>
      </w:r>
      <w:r w:rsidR="007E485C">
        <w:t xml:space="preserve">.  Refer to </w:t>
      </w:r>
      <w:r w:rsidR="00A97745">
        <w:t>7540.BB.CC.106 Reading and Grading Gel Card Reactions</w:t>
      </w:r>
      <w:r w:rsidR="00C47267">
        <w:t xml:space="preserve"> for interpretation.</w:t>
      </w:r>
    </w:p>
    <w:p w:rsidR="009C2F61" w:rsidRDefault="00F02061" w:rsidP="003C2ADF">
      <w:pPr>
        <w:pStyle w:val="Heading2"/>
        <w:numPr>
          <w:ilvl w:val="1"/>
          <w:numId w:val="1"/>
        </w:numPr>
        <w:ind w:left="720"/>
      </w:pPr>
      <w:r>
        <w:t>Verify the results and respond to the Crossmatch Product window.</w:t>
      </w:r>
    </w:p>
    <w:p w:rsidR="00B4254E" w:rsidRDefault="001D3A39" w:rsidP="004D5CC8">
      <w:pPr>
        <w:pStyle w:val="Heading2"/>
        <w:numPr>
          <w:ilvl w:val="1"/>
          <w:numId w:val="1"/>
        </w:numPr>
        <w:tabs>
          <w:tab w:val="clear" w:pos="7320"/>
          <w:tab w:val="left" w:pos="720"/>
        </w:tabs>
        <w:ind w:left="144" w:firstLine="144"/>
      </w:pPr>
      <w:r>
        <w:t>Attach the crossmatch tag to the corresponding donor red blood cell.</w:t>
      </w:r>
    </w:p>
    <w:p w:rsidR="006D5E32" w:rsidRPr="006D5E32" w:rsidRDefault="002F0DE6" w:rsidP="006D5E32">
      <w:pPr>
        <w:pStyle w:val="Heading1"/>
      </w:pPr>
      <w:r>
        <w:t>Interpretation of Results</w:t>
      </w:r>
      <w:r w:rsidR="00C23BAF">
        <w:t xml:space="preserve"> and reporting</w:t>
      </w:r>
      <w:r>
        <w:t>:</w:t>
      </w:r>
    </w:p>
    <w:p w:rsidR="006D5E32" w:rsidRDefault="006D5E32" w:rsidP="00CB0654">
      <w:pPr>
        <w:pStyle w:val="Heading2"/>
        <w:keepNext/>
        <w:numPr>
          <w:ilvl w:val="1"/>
          <w:numId w:val="1"/>
        </w:numPr>
        <w:ind w:left="720"/>
      </w:pPr>
      <w:r>
        <w:t>Resulting options:</w:t>
      </w:r>
    </w:p>
    <w:p w:rsidR="00CB0654" w:rsidRDefault="00CB0654" w:rsidP="00CB0654">
      <w:pPr>
        <w:pStyle w:val="Heading2"/>
        <w:numPr>
          <w:ilvl w:val="0"/>
          <w:numId w:val="0"/>
        </w:numPr>
        <w:ind w:left="720"/>
      </w:pPr>
      <w:r>
        <w:rPr>
          <w:noProof/>
        </w:rPr>
        <w:drawing>
          <wp:inline distT="0" distB="0" distL="0" distR="0" wp14:anchorId="00479F59" wp14:editId="56B8C145">
            <wp:extent cx="1095375" cy="92392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95375" cy="923925"/>
                    </a:xfrm>
                    <a:prstGeom prst="rect">
                      <a:avLst/>
                    </a:prstGeom>
                    <a:ln>
                      <a:solidFill>
                        <a:schemeClr val="tx1"/>
                      </a:solidFill>
                    </a:ln>
                  </pic:spPr>
                </pic:pic>
              </a:graphicData>
            </a:graphic>
          </wp:inline>
        </w:drawing>
      </w:r>
    </w:p>
    <w:p w:rsidR="001A5F76" w:rsidRDefault="00EA69ED" w:rsidP="003C2ADF">
      <w:pPr>
        <w:pStyle w:val="Heading2"/>
        <w:numPr>
          <w:ilvl w:val="1"/>
          <w:numId w:val="1"/>
        </w:numPr>
        <w:ind w:left="720"/>
      </w:pPr>
      <w:r>
        <w:t>Compatible:</w:t>
      </w:r>
      <w:r w:rsidR="006D5E32">
        <w:t xml:space="preserve"> No hemolysis or agglutination in the immediate spin or gel phases</w:t>
      </w:r>
      <w:r w:rsidR="003129DD">
        <w:t xml:space="preserve"> and is acceptable for transfusion</w:t>
      </w:r>
      <w:r w:rsidR="006D5E32">
        <w:t>.</w:t>
      </w:r>
    </w:p>
    <w:p w:rsidR="003129DD" w:rsidRDefault="003129DD" w:rsidP="003129DD">
      <w:pPr>
        <w:pStyle w:val="Heading3"/>
      </w:pPr>
      <w:r>
        <w:t>When a patient has a clinically significant antibody, all donor red blood cells must be negative for the antigen and no agglutination or hemolysis may be present.</w:t>
      </w:r>
    </w:p>
    <w:p w:rsidR="003129DD" w:rsidRDefault="00EA69ED" w:rsidP="003C2ADF">
      <w:pPr>
        <w:pStyle w:val="Heading2"/>
        <w:numPr>
          <w:ilvl w:val="1"/>
          <w:numId w:val="1"/>
        </w:numPr>
        <w:ind w:left="720"/>
      </w:pPr>
      <w:r>
        <w:t>Incompatible:</w:t>
      </w:r>
      <w:r w:rsidR="003129DD">
        <w:t xml:space="preserve"> </w:t>
      </w:r>
      <w:r w:rsidR="007E1EEF">
        <w:t>Hemolysis or agglutination in the immediate spin or gel phases and is unacceptable for transfusion unless approval is obtained by the laboratory medical director or on call pathologist.  Approval must be documented prior to release of the blood product.</w:t>
      </w:r>
    </w:p>
    <w:p w:rsidR="007E1EEF" w:rsidRDefault="00EA69ED" w:rsidP="003C2ADF">
      <w:pPr>
        <w:pStyle w:val="Heading2"/>
        <w:numPr>
          <w:ilvl w:val="1"/>
          <w:numId w:val="1"/>
        </w:numPr>
        <w:ind w:left="720"/>
      </w:pPr>
      <w:r>
        <w:t>Least Incompatible: If</w:t>
      </w:r>
      <w:r w:rsidR="00C414DF">
        <w:t xml:space="preserve"> a patient has a positive direct antiglobulin test (DAT), then the crossmatch is interpreted as least incompatible.</w:t>
      </w:r>
      <w:r>
        <w:t xml:space="preserve"> </w:t>
      </w:r>
      <w:r w:rsidR="00C414DF">
        <w:t xml:space="preserve"> </w:t>
      </w:r>
      <w:r w:rsidR="00DE1027">
        <w:t xml:space="preserve">False negative results may occur in the IAT crossmatch if the patient has a positive DAT. </w:t>
      </w:r>
    </w:p>
    <w:p w:rsidR="001B1434" w:rsidRDefault="001B1434" w:rsidP="001B1434">
      <w:pPr>
        <w:pStyle w:val="Heading3"/>
      </w:pPr>
      <w:r>
        <w:t>Least Incompatible transfusions must be approved by the laboratory medical director or on call pathologist.  Approval must be documented prior to release of the blood product.</w:t>
      </w:r>
    </w:p>
    <w:p w:rsidR="00A17CF6" w:rsidRDefault="00A17CF6" w:rsidP="00A17CF6">
      <w:pPr>
        <w:pStyle w:val="Heading3"/>
      </w:pPr>
      <w:r>
        <w:t xml:space="preserve">To result a Least Incompatible interpretation the </w:t>
      </w:r>
      <w:r w:rsidR="00822D77">
        <w:t>IS or Gel field must include a reaction.  If the observed reaction is negative for both phases, then enter (w+) in the Gel field and enter a result comment including the observed reactions.</w:t>
      </w:r>
    </w:p>
    <w:p w:rsidR="004432F4" w:rsidRDefault="00A44F05" w:rsidP="00A17CF6">
      <w:pPr>
        <w:pStyle w:val="Heading3"/>
      </w:pPr>
      <w:r>
        <w:t>The following</w:t>
      </w:r>
      <w:r w:rsidR="002908A2">
        <w:t xml:space="preserve"> exception window will populate:</w:t>
      </w:r>
    </w:p>
    <w:p w:rsidR="002908A2" w:rsidRDefault="002908A2" w:rsidP="002908A2">
      <w:pPr>
        <w:pStyle w:val="Heading3"/>
        <w:numPr>
          <w:ilvl w:val="0"/>
          <w:numId w:val="0"/>
        </w:numPr>
        <w:ind w:left="1080"/>
      </w:pPr>
      <w:r>
        <w:rPr>
          <w:noProof/>
        </w:rPr>
        <w:drawing>
          <wp:inline distT="0" distB="0" distL="0" distR="0" wp14:anchorId="122F87D2" wp14:editId="21515AD5">
            <wp:extent cx="4110487" cy="1089820"/>
            <wp:effectExtent l="19050" t="19050" r="2349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13552" cy="1090633"/>
                    </a:xfrm>
                    <a:prstGeom prst="rect">
                      <a:avLst/>
                    </a:prstGeom>
                    <a:ln>
                      <a:solidFill>
                        <a:schemeClr val="tx1"/>
                      </a:solidFill>
                    </a:ln>
                  </pic:spPr>
                </pic:pic>
              </a:graphicData>
            </a:graphic>
          </wp:inline>
        </w:drawing>
      </w:r>
    </w:p>
    <w:p w:rsidR="002908A2" w:rsidRDefault="00CF5136" w:rsidP="00AE6417">
      <w:pPr>
        <w:pStyle w:val="Heading3"/>
        <w:keepNext/>
      </w:pPr>
      <w:r>
        <w:lastRenderedPageBreak/>
        <w:t>Select the No button and se</w:t>
      </w:r>
      <w:r w:rsidR="001B1434">
        <w:t xml:space="preserve">lect </w:t>
      </w:r>
      <w:proofErr w:type="gramStart"/>
      <w:r w:rsidR="001B1434">
        <w:t>Yes</w:t>
      </w:r>
      <w:proofErr w:type="gramEnd"/>
      <w:r w:rsidR="001B1434">
        <w:t xml:space="preserve"> to Override with the appropriate reason.</w:t>
      </w:r>
    </w:p>
    <w:p w:rsidR="001B1434" w:rsidRDefault="001B1434" w:rsidP="001B1434">
      <w:pPr>
        <w:pStyle w:val="Heading3"/>
        <w:numPr>
          <w:ilvl w:val="0"/>
          <w:numId w:val="0"/>
        </w:numPr>
        <w:ind w:left="1080"/>
      </w:pPr>
      <w:r>
        <w:rPr>
          <w:noProof/>
        </w:rPr>
        <w:drawing>
          <wp:inline distT="0" distB="0" distL="0" distR="0" wp14:anchorId="00B56927" wp14:editId="4A8FB3CA">
            <wp:extent cx="3459193" cy="1255575"/>
            <wp:effectExtent l="19050" t="19050" r="27305" b="209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57575" cy="1254988"/>
                    </a:xfrm>
                    <a:prstGeom prst="rect">
                      <a:avLst/>
                    </a:prstGeom>
                    <a:ln>
                      <a:solidFill>
                        <a:schemeClr val="tx1"/>
                      </a:solidFill>
                    </a:ln>
                  </pic:spPr>
                </pic:pic>
              </a:graphicData>
            </a:graphic>
          </wp:inline>
        </w:drawing>
      </w:r>
    </w:p>
    <w:p w:rsidR="008A07C2" w:rsidRDefault="008A07C2" w:rsidP="008A07C2">
      <w:pPr>
        <w:pStyle w:val="Heading3"/>
      </w:pPr>
      <w:r>
        <w:t xml:space="preserve">Notify the ordering provider that least incompatible blood products are available. </w:t>
      </w:r>
    </w:p>
    <w:p w:rsidR="00C23BAF" w:rsidRPr="001A5F76" w:rsidRDefault="00C23BAF" w:rsidP="003C2ADF">
      <w:pPr>
        <w:pStyle w:val="Heading2"/>
        <w:numPr>
          <w:ilvl w:val="1"/>
          <w:numId w:val="1"/>
        </w:numPr>
        <w:ind w:left="720"/>
      </w:pPr>
      <w:r>
        <w:t>Err and See Comment should only be used when performing result corrections.</w:t>
      </w:r>
    </w:p>
    <w:p w:rsidR="002F0DE6" w:rsidRDefault="002F0DE6" w:rsidP="005D5BB2">
      <w:pPr>
        <w:pStyle w:val="Heading1"/>
      </w:pPr>
      <w:r w:rsidRPr="005D5BB2">
        <w:t>Limitations of Procedure:</w:t>
      </w:r>
    </w:p>
    <w:p w:rsidR="001A5F76" w:rsidRDefault="00F640B4" w:rsidP="003C2ADF">
      <w:pPr>
        <w:pStyle w:val="Heading2"/>
        <w:numPr>
          <w:ilvl w:val="1"/>
          <w:numId w:val="1"/>
        </w:numPr>
        <w:ind w:left="720"/>
      </w:pPr>
      <w:r>
        <w:t xml:space="preserve">Hemolyzed specimens should not be used.  However, if there is no alternative due to </w:t>
      </w:r>
      <w:r w:rsidR="0040775F">
        <w:t>an emergency situation</w:t>
      </w:r>
      <w:r w:rsidR="00810DF5">
        <w:t xml:space="preserve"> or a patient that </w:t>
      </w:r>
      <w:r w:rsidR="00855726">
        <w:t xml:space="preserve">is currently </w:t>
      </w:r>
      <w:r w:rsidR="002E5F37">
        <w:t>experiencing hemolytic anemia</w:t>
      </w:r>
      <w:r w:rsidR="00975A6B">
        <w:t>,</w:t>
      </w:r>
      <w:r w:rsidR="002E5F37">
        <w:t xml:space="preserve"> then </w:t>
      </w:r>
      <w:r w:rsidR="00FE39A2">
        <w:t xml:space="preserve">run a control in parallel with the IAT gel crossmatch. </w:t>
      </w:r>
    </w:p>
    <w:p w:rsidR="00FE39A2" w:rsidRDefault="00A365B1" w:rsidP="00FE39A2">
      <w:pPr>
        <w:pStyle w:val="Heading3"/>
      </w:pPr>
      <w:r>
        <w:t>Label two MTS Anti-IgG gel card wells.  One for the patient plasma and one for a negative donor control.</w:t>
      </w:r>
    </w:p>
    <w:p w:rsidR="00A365B1" w:rsidRDefault="00A365B1" w:rsidP="00FE39A2">
      <w:pPr>
        <w:pStyle w:val="Heading3"/>
      </w:pPr>
      <w:r>
        <w:t xml:space="preserve">In the patient plasma well pipette </w:t>
      </w:r>
      <w:r w:rsidR="00CF57A3">
        <w:t xml:space="preserve">75 </w:t>
      </w:r>
      <w:r w:rsidR="00CF57A3">
        <w:rPr>
          <w:rFonts w:cs="Arial"/>
        </w:rPr>
        <w:t>µ</w:t>
      </w:r>
      <w:r w:rsidR="00CF57A3">
        <w:t>L of patient plasma.</w:t>
      </w:r>
    </w:p>
    <w:p w:rsidR="00CF57A3" w:rsidRDefault="00CF57A3" w:rsidP="00FE39A2">
      <w:pPr>
        <w:pStyle w:val="Heading3"/>
      </w:pPr>
      <w:r>
        <w:t xml:space="preserve">In the negative donor control well pipette 50 </w:t>
      </w:r>
      <w:r>
        <w:rPr>
          <w:rFonts w:cs="Arial"/>
        </w:rPr>
        <w:t>µ</w:t>
      </w:r>
      <w:r>
        <w:t xml:space="preserve">L of the 0.8% donor red blood cells and 25 </w:t>
      </w:r>
      <w:r>
        <w:rPr>
          <w:rFonts w:cs="Arial"/>
        </w:rPr>
        <w:t>µ</w:t>
      </w:r>
      <w:r>
        <w:t>L of MTS Diluent 2.</w:t>
      </w:r>
    </w:p>
    <w:p w:rsidR="00CF57A3" w:rsidRDefault="00CF57A3" w:rsidP="00FE39A2">
      <w:pPr>
        <w:pStyle w:val="Heading3"/>
      </w:pPr>
      <w:r>
        <w:t xml:space="preserve">Compare the color of the patient plasma well with the color of the </w:t>
      </w:r>
      <w:r w:rsidR="0084537D">
        <w:t>MTS Anti-IgG gel crossmatch well to determine if there has been an increase in visual hemolysis.</w:t>
      </w:r>
    </w:p>
    <w:p w:rsidR="0084537D" w:rsidRDefault="0084537D" w:rsidP="00FE39A2">
      <w:pPr>
        <w:pStyle w:val="Heading3"/>
      </w:pPr>
      <w:r>
        <w:t>Compare the red blood cell button of the negative donor control well with the size of the cell button in the MTS Anti-IgG gel crossmatch well to determine if donor red blood cells have been lysed.</w:t>
      </w:r>
    </w:p>
    <w:p w:rsidR="00204611" w:rsidRDefault="00204611" w:rsidP="00FE39A2">
      <w:pPr>
        <w:pStyle w:val="Heading3"/>
      </w:pPr>
      <w:r>
        <w:t>Enter a blood bank result comment indicating the degree of hemolysis in the specimen and if additional hemolysis was noted using the patient plasma and donor red blood cell controls.</w:t>
      </w:r>
    </w:p>
    <w:p w:rsidR="00204611" w:rsidRDefault="00B74169" w:rsidP="006F5DF6">
      <w:pPr>
        <w:pStyle w:val="Heading2"/>
        <w:numPr>
          <w:ilvl w:val="1"/>
          <w:numId w:val="1"/>
        </w:numPr>
        <w:ind w:left="720"/>
      </w:pPr>
      <w:r>
        <w:t xml:space="preserve">A negative antibody screen does not guarantee that the recipient’s plasma does not have a clinically significant antibody.  A negative antibody screen implies </w:t>
      </w:r>
      <w:r w:rsidR="00815C54">
        <w:t>that clinically significant antibodies are not detectabl</w:t>
      </w:r>
      <w:r w:rsidR="00E03E24">
        <w:t>e with the reagents and methodologies used.  A compatible IAT crossmatch does not guarantee expected donor red cell survival.</w:t>
      </w:r>
    </w:p>
    <w:p w:rsidR="002C466B" w:rsidRDefault="002C466B" w:rsidP="006F5DF6">
      <w:pPr>
        <w:pStyle w:val="Heading2"/>
        <w:numPr>
          <w:ilvl w:val="1"/>
          <w:numId w:val="1"/>
        </w:numPr>
        <w:ind w:left="720"/>
      </w:pPr>
      <w:r>
        <w:t xml:space="preserve">If an IAT crossmatch unexpectedly results in a positive reaction, then refer to Appendix 17-3 Causes of Positive </w:t>
      </w:r>
      <w:r w:rsidR="00210541">
        <w:t>Pre-transfusion</w:t>
      </w:r>
      <w:r>
        <w:t xml:space="preserve"> </w:t>
      </w:r>
      <w:r w:rsidR="007E5D16">
        <w:t>Test Results in the AABB Technical Manual.</w:t>
      </w:r>
    </w:p>
    <w:p w:rsidR="00693E77" w:rsidRDefault="00031CE4" w:rsidP="006F5DF6">
      <w:pPr>
        <w:pStyle w:val="Heading2"/>
        <w:numPr>
          <w:ilvl w:val="1"/>
          <w:numId w:val="1"/>
        </w:numPr>
        <w:ind w:left="720"/>
      </w:pPr>
      <w:r>
        <w:t>If a recipient has an antibody to a clinically significant antibod</w:t>
      </w:r>
      <w:r w:rsidR="00BE76BF">
        <w:t xml:space="preserve">y and antisera is unavailable at the donor center, then the IAT crossmatch </w:t>
      </w:r>
      <w:r w:rsidR="00851288">
        <w:t>must be used to determine compatibility.  Approval must be obtained from the laboratory medical director or pathologist and approval must be documented.</w:t>
      </w:r>
    </w:p>
    <w:p w:rsidR="002F0DE6" w:rsidRDefault="002F0DE6" w:rsidP="005D5BB2">
      <w:pPr>
        <w:pStyle w:val="Heading1"/>
      </w:pPr>
      <w:r w:rsidRPr="005D5BB2">
        <w:t>Definitions:</w:t>
      </w:r>
    </w:p>
    <w:p w:rsidR="00BF2094" w:rsidRDefault="00BF2094" w:rsidP="003C2ADF">
      <w:pPr>
        <w:pStyle w:val="Heading2"/>
        <w:numPr>
          <w:ilvl w:val="1"/>
          <w:numId w:val="1"/>
        </w:numPr>
        <w:ind w:left="720"/>
      </w:pPr>
      <w:r>
        <w:t xml:space="preserve">Immediate Spin (IS) Crossmatch: Serological method used to determine ABO incompatibility between donor red cells and recipient plasma. </w:t>
      </w:r>
    </w:p>
    <w:p w:rsidR="00BF2094" w:rsidRDefault="00043999" w:rsidP="006F5DF6">
      <w:pPr>
        <w:pStyle w:val="Heading2"/>
        <w:numPr>
          <w:ilvl w:val="1"/>
          <w:numId w:val="1"/>
        </w:numPr>
        <w:ind w:left="720"/>
      </w:pPr>
      <w:r>
        <w:t>Indirect Antiglobulin Test (IAT)</w:t>
      </w:r>
      <w:r w:rsidR="00BF2094">
        <w:t xml:space="preserve"> Crossmatch: Procedure that uses the indirect antiglobulin test (IAT), which includes incubation at 37</w:t>
      </w:r>
      <w:r w:rsidR="00BF2094">
        <w:rPr>
          <w:rFonts w:cs="Arial"/>
        </w:rPr>
        <w:t>°</w:t>
      </w:r>
      <w:r w:rsidR="00BF2094">
        <w:t xml:space="preserve">C and the addition of antihuman globulin to determine the compatibility between donor red cells and recipient plasma.  The IAT </w:t>
      </w:r>
      <w:r w:rsidR="00BF2094">
        <w:lastRenderedPageBreak/>
        <w:t>methodology is utilized when the recipient has been previously or is currently immunized.</w:t>
      </w:r>
    </w:p>
    <w:p w:rsidR="00BF2094" w:rsidRDefault="00BF2094" w:rsidP="006F5DF6">
      <w:pPr>
        <w:pStyle w:val="Heading2"/>
        <w:numPr>
          <w:ilvl w:val="1"/>
          <w:numId w:val="1"/>
        </w:numPr>
        <w:ind w:left="720"/>
        <w:rPr>
          <w:szCs w:val="22"/>
        </w:rPr>
      </w:pPr>
      <w:r w:rsidRPr="006F5DF6">
        <w:t>Clinically</w:t>
      </w:r>
      <w:r>
        <w:rPr>
          <w:szCs w:val="22"/>
        </w:rPr>
        <w:t xml:space="preserve"> significant red cell antibodies: antibodies frequently associated with hemolytic disease of the fetus and newborn, hemolytic transfusion reactions, or a decreased survival of transfused red cells.</w:t>
      </w:r>
    </w:p>
    <w:p w:rsidR="00BF2094" w:rsidRDefault="00BF2094" w:rsidP="00BF2094">
      <w:pPr>
        <w:pStyle w:val="BodyText"/>
        <w:tabs>
          <w:tab w:val="clear" w:pos="7320"/>
          <w:tab w:val="left" w:pos="1260"/>
        </w:tabs>
        <w:ind w:left="720"/>
        <w:rPr>
          <w:szCs w:val="22"/>
        </w:rPr>
      </w:pPr>
      <w:r>
        <w:rPr>
          <w:szCs w:val="22"/>
        </w:rPr>
        <w:t xml:space="preserve">Examples: </w:t>
      </w:r>
      <w:r>
        <w:t>Anti-D, Anti-C, Anti-E, Anti-c, Anti-e, Anti-K, Anti-Fy</w:t>
      </w:r>
      <w:r w:rsidRPr="0064441D">
        <w:rPr>
          <w:vertAlign w:val="superscript"/>
        </w:rPr>
        <w:t>a</w:t>
      </w:r>
      <w:r>
        <w:t>, Anti-Fy</w:t>
      </w:r>
      <w:r w:rsidRPr="0064441D">
        <w:rPr>
          <w:vertAlign w:val="superscript"/>
        </w:rPr>
        <w:t>b</w:t>
      </w:r>
      <w:r>
        <w:t>, Anti-Jk</w:t>
      </w:r>
      <w:r w:rsidRPr="0064441D">
        <w:rPr>
          <w:vertAlign w:val="superscript"/>
        </w:rPr>
        <w:t>a</w:t>
      </w:r>
      <w:r>
        <w:t>, Anti-Jk</w:t>
      </w:r>
      <w:r w:rsidRPr="0064441D">
        <w:rPr>
          <w:vertAlign w:val="superscript"/>
        </w:rPr>
        <w:t>b</w:t>
      </w:r>
      <w:r>
        <w:t>, Anti-S, Anti-s</w:t>
      </w:r>
    </w:p>
    <w:p w:rsidR="00BF2094" w:rsidRDefault="00BF2094" w:rsidP="006F5DF6">
      <w:pPr>
        <w:pStyle w:val="Heading2"/>
        <w:numPr>
          <w:ilvl w:val="1"/>
          <w:numId w:val="1"/>
        </w:numPr>
        <w:ind w:left="720"/>
        <w:rPr>
          <w:szCs w:val="22"/>
        </w:rPr>
      </w:pPr>
      <w:r w:rsidRPr="006F5DF6">
        <w:t>Clinically</w:t>
      </w:r>
      <w:r>
        <w:rPr>
          <w:szCs w:val="22"/>
        </w:rPr>
        <w:t xml:space="preserve"> insignificant red cell antibodies: antibodies not frequently associated with hemolytic disease of the fetus and newborn, hemolytic transfusion reactions, or a decreased survival of transfused red cells.</w:t>
      </w:r>
    </w:p>
    <w:p w:rsidR="00BF2094" w:rsidRPr="00E87BA2" w:rsidRDefault="00BF2094" w:rsidP="00BF2094">
      <w:pPr>
        <w:pStyle w:val="BodyText"/>
        <w:tabs>
          <w:tab w:val="clear" w:pos="7320"/>
          <w:tab w:val="left" w:pos="1260"/>
        </w:tabs>
        <w:ind w:left="720"/>
        <w:rPr>
          <w:szCs w:val="22"/>
        </w:rPr>
      </w:pPr>
      <w:r>
        <w:rPr>
          <w:szCs w:val="22"/>
        </w:rPr>
        <w:t xml:space="preserve">Examples: </w:t>
      </w:r>
      <w:r>
        <w:t>Anti-Le</w:t>
      </w:r>
      <w:r w:rsidRPr="0064441D">
        <w:rPr>
          <w:vertAlign w:val="superscript"/>
        </w:rPr>
        <w:t>a</w:t>
      </w:r>
      <w:r>
        <w:t>, Anti-Le</w:t>
      </w:r>
      <w:r w:rsidRPr="0064441D">
        <w:rPr>
          <w:vertAlign w:val="superscript"/>
        </w:rPr>
        <w:t>b</w:t>
      </w:r>
      <w:r>
        <w:t>, Anti-M, Anti-N, Anti-P</w:t>
      </w:r>
      <w:r w:rsidRPr="0064441D">
        <w:rPr>
          <w:vertAlign w:val="subscript"/>
        </w:rPr>
        <w:t>1</w:t>
      </w:r>
      <w:r>
        <w:t>, Anti-I, Anti-i</w:t>
      </w:r>
    </w:p>
    <w:p w:rsidR="002F0DE6" w:rsidRDefault="002F0DE6" w:rsidP="005D5BB2">
      <w:pPr>
        <w:pStyle w:val="Heading1"/>
      </w:pPr>
      <w:r w:rsidRPr="005D5BB2">
        <w:t>References:</w:t>
      </w:r>
    </w:p>
    <w:p w:rsidR="001B410D" w:rsidRDefault="001B410D" w:rsidP="006F5DF6">
      <w:pPr>
        <w:pStyle w:val="Heading2"/>
        <w:numPr>
          <w:ilvl w:val="1"/>
          <w:numId w:val="1"/>
        </w:numPr>
        <w:ind w:left="720"/>
      </w:pPr>
      <w:r w:rsidRPr="005B4B18">
        <w:t xml:space="preserve">Fung, M.K. (Current Edition). </w:t>
      </w:r>
      <w:r w:rsidRPr="001264E4">
        <w:rPr>
          <w:i/>
        </w:rPr>
        <w:t>Technical Manual</w:t>
      </w:r>
      <w:proofErr w:type="gramStart"/>
      <w:r w:rsidRPr="005B4B18">
        <w:t xml:space="preserve">. </w:t>
      </w:r>
      <w:proofErr w:type="gramEnd"/>
      <w:r w:rsidRPr="005B4B18">
        <w:t>Bethesda, MD: AABB.</w:t>
      </w:r>
    </w:p>
    <w:p w:rsidR="001A5F76" w:rsidRDefault="001B410D" w:rsidP="00210541">
      <w:pPr>
        <w:pStyle w:val="Heading2"/>
        <w:numPr>
          <w:ilvl w:val="1"/>
          <w:numId w:val="1"/>
        </w:numPr>
        <w:ind w:left="720"/>
      </w:pPr>
      <w:r w:rsidRPr="006F5DF6">
        <w:t>Standards</w:t>
      </w:r>
      <w:r w:rsidRPr="001264E4">
        <w:rPr>
          <w:i/>
        </w:rPr>
        <w:t xml:space="preserve"> for Blood Banks and Transfusion Services</w:t>
      </w:r>
      <w:r w:rsidRPr="005B4B18">
        <w:t xml:space="preserve"> (Current Edition)</w:t>
      </w:r>
      <w:proofErr w:type="gramStart"/>
      <w:r w:rsidRPr="005B4B18">
        <w:t xml:space="preserve">. </w:t>
      </w:r>
      <w:proofErr w:type="gramEnd"/>
      <w:r w:rsidRPr="005B4B18">
        <w:t xml:space="preserve">Bethesda, MD: </w:t>
      </w:r>
      <w:proofErr w:type="spellStart"/>
      <w:r w:rsidRPr="005B4B18">
        <w:t>AABB</w:t>
      </w:r>
      <w:proofErr w:type="spellEnd"/>
      <w:r w:rsidRPr="005B4B18">
        <w:t>.</w:t>
      </w:r>
    </w:p>
    <w:p w:rsidR="00AF2F5C" w:rsidRDefault="00F924B4" w:rsidP="00210541">
      <w:pPr>
        <w:pStyle w:val="Heading2"/>
        <w:numPr>
          <w:ilvl w:val="1"/>
          <w:numId w:val="1"/>
        </w:numPr>
        <w:ind w:left="720"/>
      </w:pPr>
      <w:r>
        <w:t>Micro Typing Systems, Inc. (Current Revision)</w:t>
      </w:r>
      <w:proofErr w:type="gramStart"/>
      <w:r>
        <w:t xml:space="preserve">. </w:t>
      </w:r>
      <w:r>
        <w:rPr>
          <w:i/>
        </w:rPr>
        <w:t xml:space="preserve">Anti-Human Globulin Anti-IgG (Rabbit) MTS Anti-IgG Card </w:t>
      </w:r>
      <w:r>
        <w:t>[Manufacturer’s Insert.]</w:t>
      </w:r>
      <w:proofErr w:type="gramEnd"/>
      <w:r>
        <w:t xml:space="preserve"> </w:t>
      </w:r>
      <w:r w:rsidR="002444A6">
        <w:t>Pompano Beach, FL.</w:t>
      </w:r>
    </w:p>
    <w:p w:rsidR="002444A6" w:rsidRPr="001A5F76" w:rsidRDefault="002444A6" w:rsidP="002444A6">
      <w:pPr>
        <w:pStyle w:val="Heading2"/>
        <w:numPr>
          <w:ilvl w:val="1"/>
          <w:numId w:val="1"/>
        </w:numPr>
        <w:ind w:left="720"/>
      </w:pPr>
      <w:r>
        <w:t>Micro Typing Systems, Inc. (Current Revision)</w:t>
      </w:r>
      <w:r>
        <w:t xml:space="preserve"> </w:t>
      </w:r>
      <w:r>
        <w:rPr>
          <w:i/>
        </w:rPr>
        <w:t>Red Blood Cell Diluent MTS Diluent 2</w:t>
      </w:r>
      <w:proofErr w:type="gramStart"/>
      <w:r>
        <w:t xml:space="preserve">. </w:t>
      </w:r>
      <w:proofErr w:type="gramEnd"/>
      <w:r>
        <w:t>[Manufacturer’s Insert.</w:t>
      </w:r>
      <w:proofErr w:type="gramStart"/>
      <w:r>
        <w:t xml:space="preserve">] </w:t>
      </w:r>
      <w:proofErr w:type="gramEnd"/>
      <w:r>
        <w:t>Pompano Beach, FL.</w:t>
      </w:r>
      <w:bookmarkStart w:id="0" w:name="_GoBack"/>
      <w:bookmarkEnd w:id="0"/>
    </w:p>
    <w:p w:rsidR="002F0DE6" w:rsidRDefault="002F0DE6" w:rsidP="005D5BB2">
      <w:pPr>
        <w:pStyle w:val="Heading1"/>
      </w:pPr>
      <w:r w:rsidRPr="005D5BB2">
        <w:t>Related</w:t>
      </w:r>
      <w:r>
        <w:t xml:space="preserve"> Documents:</w:t>
      </w:r>
    </w:p>
    <w:p w:rsidR="001A5F76" w:rsidRDefault="00790A92" w:rsidP="006F5DF6">
      <w:pPr>
        <w:pStyle w:val="Heading2"/>
        <w:numPr>
          <w:ilvl w:val="1"/>
          <w:numId w:val="1"/>
        </w:numPr>
        <w:ind w:left="720"/>
      </w:pPr>
      <w:r>
        <w:t>Blood Bank Identification and Collection of Blood Specimen</w:t>
      </w:r>
    </w:p>
    <w:p w:rsidR="00790A92" w:rsidRDefault="00790A92" w:rsidP="006F5DF6">
      <w:pPr>
        <w:pStyle w:val="Heading2"/>
        <w:numPr>
          <w:ilvl w:val="1"/>
          <w:numId w:val="1"/>
        </w:numPr>
        <w:ind w:left="720"/>
      </w:pPr>
      <w:r>
        <w:t>7540</w:t>
      </w:r>
      <w:proofErr w:type="gramStart"/>
      <w:r>
        <w:t>.BB.CC.121</w:t>
      </w:r>
      <w:proofErr w:type="gramEnd"/>
      <w:r>
        <w:t xml:space="preserve"> Evaluating Patient Samples and Request Forms</w:t>
      </w:r>
    </w:p>
    <w:p w:rsidR="008564C5" w:rsidRDefault="008564C5" w:rsidP="006F5DF6">
      <w:pPr>
        <w:pStyle w:val="Heading2"/>
        <w:numPr>
          <w:ilvl w:val="1"/>
          <w:numId w:val="1"/>
        </w:numPr>
        <w:ind w:left="720"/>
      </w:pPr>
      <w:r>
        <w:t>7540</w:t>
      </w:r>
      <w:proofErr w:type="gramStart"/>
      <w:r>
        <w:t>.BB.CC.104</w:t>
      </w:r>
      <w:proofErr w:type="gramEnd"/>
      <w:r>
        <w:t xml:space="preserve"> Evaluating Requests for Special Products – CMV Negative, Irradiated, or HGB S Negative</w:t>
      </w:r>
    </w:p>
    <w:p w:rsidR="00E61736" w:rsidRDefault="00E61736" w:rsidP="006F5DF6">
      <w:pPr>
        <w:pStyle w:val="Heading2"/>
        <w:numPr>
          <w:ilvl w:val="1"/>
          <w:numId w:val="1"/>
        </w:numPr>
        <w:ind w:left="720"/>
      </w:pPr>
      <w:r>
        <w:t>7540</w:t>
      </w:r>
      <w:proofErr w:type="gramStart"/>
      <w:r>
        <w:t>.BB.CC.142</w:t>
      </w:r>
      <w:proofErr w:type="gramEnd"/>
      <w:r>
        <w:t xml:space="preserve"> Selection of Type of Crossmatch</w:t>
      </w:r>
    </w:p>
    <w:p w:rsidR="00790A92" w:rsidRDefault="0089073C" w:rsidP="006F5DF6">
      <w:pPr>
        <w:pStyle w:val="Heading2"/>
        <w:numPr>
          <w:ilvl w:val="1"/>
          <w:numId w:val="1"/>
        </w:numPr>
        <w:ind w:left="720"/>
      </w:pPr>
      <w:r>
        <w:t>7540</w:t>
      </w:r>
      <w:proofErr w:type="gramStart"/>
      <w:r>
        <w:t>.BB.CC.201</w:t>
      </w:r>
      <w:proofErr w:type="gramEnd"/>
      <w:r>
        <w:t xml:space="preserve"> Reagent Quality Control- Daily</w:t>
      </w:r>
    </w:p>
    <w:p w:rsidR="000F75DF" w:rsidRDefault="000F75DF" w:rsidP="006F5DF6">
      <w:pPr>
        <w:pStyle w:val="Heading2"/>
        <w:numPr>
          <w:ilvl w:val="1"/>
          <w:numId w:val="1"/>
        </w:numPr>
        <w:ind w:left="720"/>
      </w:pPr>
      <w:r>
        <w:t>7540</w:t>
      </w:r>
      <w:proofErr w:type="gramStart"/>
      <w:r>
        <w:t>.BB.CC.103</w:t>
      </w:r>
      <w:proofErr w:type="gramEnd"/>
      <w:r>
        <w:t xml:space="preserve"> Checking a Patient History</w:t>
      </w:r>
    </w:p>
    <w:p w:rsidR="00F16324" w:rsidRDefault="00F16324" w:rsidP="006F5DF6">
      <w:pPr>
        <w:pStyle w:val="Heading2"/>
        <w:numPr>
          <w:ilvl w:val="1"/>
          <w:numId w:val="1"/>
        </w:numPr>
        <w:ind w:left="720"/>
      </w:pPr>
      <w:r>
        <w:t>7540</w:t>
      </w:r>
      <w:proofErr w:type="gramStart"/>
      <w:r>
        <w:t>.BB.CC.119</w:t>
      </w:r>
      <w:proofErr w:type="gramEnd"/>
      <w:r>
        <w:t xml:space="preserve"> Antigen Typing</w:t>
      </w:r>
    </w:p>
    <w:p w:rsidR="00A10390" w:rsidRDefault="00A10390" w:rsidP="006F5DF6">
      <w:pPr>
        <w:pStyle w:val="Heading2"/>
        <w:numPr>
          <w:ilvl w:val="1"/>
          <w:numId w:val="1"/>
        </w:numPr>
        <w:ind w:left="720"/>
      </w:pPr>
      <w:r>
        <w:t>7540</w:t>
      </w:r>
      <w:proofErr w:type="gramStart"/>
      <w:r>
        <w:t>.BB.CC.502</w:t>
      </w:r>
      <w:proofErr w:type="gramEnd"/>
      <w:r>
        <w:t xml:space="preserve"> PRBC Requisition</w:t>
      </w:r>
    </w:p>
    <w:p w:rsidR="00A10390" w:rsidRDefault="00A10390" w:rsidP="006F5DF6">
      <w:pPr>
        <w:pStyle w:val="Heading2"/>
        <w:numPr>
          <w:ilvl w:val="1"/>
          <w:numId w:val="1"/>
        </w:numPr>
        <w:ind w:left="720"/>
      </w:pPr>
      <w:r>
        <w:t>7540</w:t>
      </w:r>
      <w:proofErr w:type="gramStart"/>
      <w:r>
        <w:t>.BB</w:t>
      </w:r>
      <w:r w:rsidR="000E29D2">
        <w:t>.</w:t>
      </w:r>
      <w:r>
        <w:t>CC.144</w:t>
      </w:r>
      <w:proofErr w:type="gramEnd"/>
      <w:r>
        <w:t xml:space="preserve"> Immediate Spin (IS) Crossmatch</w:t>
      </w:r>
    </w:p>
    <w:p w:rsidR="00C271A9" w:rsidRDefault="00C271A9" w:rsidP="006F5DF6">
      <w:pPr>
        <w:pStyle w:val="Heading2"/>
        <w:numPr>
          <w:ilvl w:val="1"/>
          <w:numId w:val="1"/>
        </w:numPr>
        <w:ind w:left="720"/>
      </w:pPr>
      <w:r>
        <w:t>7540</w:t>
      </w:r>
      <w:proofErr w:type="gramStart"/>
      <w:r>
        <w:t>.BB.CC.101</w:t>
      </w:r>
      <w:proofErr w:type="gramEnd"/>
      <w:r>
        <w:t xml:space="preserve"> 3%-5% Red Cell Suspension Preparation</w:t>
      </w:r>
    </w:p>
    <w:p w:rsidR="00C271A9" w:rsidRDefault="00C271A9" w:rsidP="006F5DF6">
      <w:pPr>
        <w:pStyle w:val="Heading2"/>
        <w:numPr>
          <w:ilvl w:val="1"/>
          <w:numId w:val="1"/>
        </w:numPr>
        <w:ind w:left="720"/>
      </w:pPr>
      <w:r>
        <w:t>7540</w:t>
      </w:r>
      <w:proofErr w:type="gramStart"/>
      <w:r>
        <w:t>.BB.CC.100</w:t>
      </w:r>
      <w:proofErr w:type="gramEnd"/>
      <w:r>
        <w:t xml:space="preserve"> 0.8% Cell Suspension Preparation</w:t>
      </w:r>
    </w:p>
    <w:p w:rsidR="008571F5" w:rsidRPr="008571F5" w:rsidRDefault="00C47267" w:rsidP="006F5DF6">
      <w:pPr>
        <w:pStyle w:val="Heading2"/>
        <w:numPr>
          <w:ilvl w:val="1"/>
          <w:numId w:val="1"/>
        </w:numPr>
        <w:ind w:left="720"/>
      </w:pPr>
      <w:r>
        <w:t>7540</w:t>
      </w:r>
      <w:proofErr w:type="gramStart"/>
      <w:r>
        <w:t>.BB.CC.106</w:t>
      </w:r>
      <w:proofErr w:type="gramEnd"/>
      <w:r>
        <w:t xml:space="preserve"> Reading and Grading Gel Card Reactions</w:t>
      </w:r>
    </w:p>
    <w:sectPr w:rsidR="008571F5" w:rsidRPr="008571F5" w:rsidSect="00BB326A">
      <w:headerReference w:type="default" r:id="rId16"/>
      <w:footerReference w:type="default" r:id="rId17"/>
      <w:pgSz w:w="12240" w:h="15840"/>
      <w:pgMar w:top="1152" w:right="1440" w:bottom="1152"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7B8" w:rsidRDefault="005177B8" w:rsidP="00BC345C">
      <w:r>
        <w:separator/>
      </w:r>
    </w:p>
  </w:endnote>
  <w:endnote w:type="continuationSeparator" w:id="0">
    <w:p w:rsidR="005177B8" w:rsidRDefault="005177B8" w:rsidP="00BC345C">
      <w:r>
        <w:continuationSeparator/>
      </w:r>
    </w:p>
  </w:endnote>
  <w:endnote w:type="continuationNotice" w:id="1">
    <w:p w:rsidR="005177B8" w:rsidRDefault="005177B8"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E2" w:rsidRDefault="00D21D8A" w:rsidP="00BC345C">
    <w:sdt>
      <w:sdtPr>
        <w:alias w:val="Type Title in Field on Right"/>
        <w:tag w:val="Type Title in Field on Right"/>
        <w:id w:val="-437055373"/>
        <w:lock w:val="sdtContentLocked"/>
        <w:text/>
      </w:sdtPr>
      <w:sdtEndPr/>
      <w:sdtContent>
        <w:r w:rsidR="0097274F" w:rsidRPr="00F524F0">
          <w:t>Subject:</w:t>
        </w:r>
      </w:sdtContent>
    </w:sdt>
    <w:r w:rsidR="0097274F">
      <w:t xml:space="preserve"> </w:t>
    </w:r>
    <w:sdt>
      <w:sdtPr>
        <w:alias w:val="Title goes here"/>
        <w:tag w:val="Title goes here"/>
        <w:id w:val="1607532503"/>
        <w:lock w:val="sdtLocked"/>
        <w:text/>
      </w:sdtPr>
      <w:sdtEndPr/>
      <w:sdtContent>
        <w:r w:rsidR="00C2595E">
          <w:t>7540</w:t>
        </w:r>
        <w:proofErr w:type="gramStart"/>
        <w:r w:rsidR="00C2595E">
          <w:t>.BB.CC.146</w:t>
        </w:r>
        <w:proofErr w:type="gramEnd"/>
        <w:r w:rsidR="00C2595E">
          <w:t xml:space="preserve"> Manual Gel Indirect Antiglobulin Testing Crossmatch Procedure</w:t>
        </w:r>
      </w:sdtContent>
    </w:sdt>
    <w:r w:rsidR="00781F33">
      <w:ptab w:relativeTo="margin" w:alignment="right" w:leader="none"/>
    </w:r>
  </w:p>
  <w:p w:rsidR="00781F33" w:rsidRDefault="00D21D8A" w:rsidP="006A57F8">
    <w:pPr>
      <w:tabs>
        <w:tab w:val="clear" w:pos="7320"/>
        <w:tab w:val="left" w:pos="7380"/>
      </w:tabs>
    </w:pPr>
    <w:sdt>
      <w:sdtPr>
        <w:alias w:val="Use dropdown on right"/>
        <w:tag w:val="Use dropdown on right"/>
        <w:id w:val="-1771005620"/>
        <w:lock w:val="sdtContentLocked"/>
        <w:showingPlcHdr/>
        <w:text/>
      </w:sdtPr>
      <w:sdtEndPr/>
      <w:sdtContent>
        <w:r w:rsidR="00683CE2">
          <w:t>Date Reviewed/Revised/E</w:t>
        </w:r>
        <w:r w:rsidR="00683CE2" w:rsidRPr="00683CE2">
          <w:t>ffective:</w:t>
        </w:r>
      </w:sdtContent>
    </w:sdt>
    <w:r w:rsidR="00683CE2" w:rsidRPr="002D5692">
      <w:rPr>
        <w:b/>
      </w:rPr>
      <w:t xml:space="preserve"> </w:t>
    </w:r>
    <w:sdt>
      <w:sdtPr>
        <w:alias w:val="Date reviewed now; Site Admin choose approval date later"/>
        <w:tag w:val="Date reviewed now; Site Admin choose approval date later"/>
        <w:id w:val="1594821432"/>
        <w:lock w:val="sdtLocked"/>
        <w:date w:fullDate="2020-02-28T00:00:00Z">
          <w:dateFormat w:val="MM/yy"/>
          <w:lid w:val="en-US"/>
          <w:storeMappedDataAs w:val="dateTime"/>
          <w:calendar w:val="gregorian"/>
        </w:date>
      </w:sdtPr>
      <w:sdtEndPr/>
      <w:sdtContent>
        <w:r w:rsidR="00C2595E">
          <w:t>02/20</w:t>
        </w:r>
      </w:sdtContent>
    </w:sdt>
    <w:r w:rsidR="006A57F8">
      <w:tab/>
    </w:r>
    <w:r w:rsidR="006A57F8">
      <w:tab/>
    </w:r>
    <w:r w:rsidR="006A57F8" w:rsidRPr="00D66174">
      <w:t xml:space="preserve">Page </w:t>
    </w:r>
    <w:r w:rsidR="006A57F8" w:rsidRPr="00D66174">
      <w:fldChar w:fldCharType="begin"/>
    </w:r>
    <w:r w:rsidR="006A57F8" w:rsidRPr="00D66174">
      <w:instrText xml:space="preserve"> PAGE  \* Arabic  \* MERGEFORMAT </w:instrText>
    </w:r>
    <w:r w:rsidR="006A57F8" w:rsidRPr="00D66174">
      <w:fldChar w:fldCharType="separate"/>
    </w:r>
    <w:r w:rsidR="002444A6">
      <w:rPr>
        <w:noProof/>
      </w:rPr>
      <w:t>7</w:t>
    </w:r>
    <w:r w:rsidR="006A57F8" w:rsidRPr="00D66174">
      <w:fldChar w:fldCharType="end"/>
    </w:r>
    <w:r w:rsidR="006A57F8" w:rsidRPr="00D66174">
      <w:t xml:space="preserve"> of </w:t>
    </w:r>
    <w:r>
      <w:fldChar w:fldCharType="begin"/>
    </w:r>
    <w:r>
      <w:instrText xml:space="preserve"> NUMPAGES  \* Arabic  \* MERGEFORMAT </w:instrText>
    </w:r>
    <w:r>
      <w:fldChar w:fldCharType="separate"/>
    </w:r>
    <w:r w:rsidR="002444A6">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7B8" w:rsidRDefault="005177B8" w:rsidP="00BC345C">
      <w:r>
        <w:separator/>
      </w:r>
    </w:p>
  </w:footnote>
  <w:footnote w:type="continuationSeparator" w:id="0">
    <w:p w:rsidR="005177B8" w:rsidRDefault="005177B8" w:rsidP="00BC345C">
      <w:r>
        <w:continuationSeparator/>
      </w:r>
    </w:p>
  </w:footnote>
  <w:footnote w:type="continuationNotice" w:id="1">
    <w:p w:rsidR="005177B8" w:rsidRDefault="005177B8" w:rsidP="00BC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84" w:rsidRDefault="006E1E84" w:rsidP="006E1E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8619D"/>
    <w:multiLevelType w:val="hybridMultilevel"/>
    <w:tmpl w:val="23CEE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9D31689"/>
    <w:multiLevelType w:val="hybridMultilevel"/>
    <w:tmpl w:val="6028533E"/>
    <w:lvl w:ilvl="0" w:tplc="A9A0E9FE">
      <w:numFmt w:val="bullet"/>
      <w:lvlText w:val=""/>
      <w:lvlJc w:val="left"/>
      <w:pPr>
        <w:ind w:left="720" w:hanging="360"/>
      </w:pPr>
      <w:rPr>
        <w:rFonts w:ascii="Symbol" w:eastAsia="Times New Roman" w:hAnsi="Symbol" w:cs="Arial" w:hint="default"/>
      </w:rPr>
    </w:lvl>
    <w:lvl w:ilvl="1" w:tplc="56266BD8">
      <w:start w:val="1"/>
      <w:numFmt w:val="bullet"/>
      <w:lvlText w:val="o"/>
      <w:lvlJc w:val="left"/>
      <w:pPr>
        <w:ind w:left="1440" w:hanging="360"/>
      </w:pPr>
      <w:rPr>
        <w:rFonts w:ascii="Courier New" w:hAnsi="Courier New" w:cs="Courier New" w:hint="default"/>
      </w:rPr>
    </w:lvl>
    <w:lvl w:ilvl="2" w:tplc="D26E3EB6">
      <w:start w:val="1"/>
      <w:numFmt w:val="bullet"/>
      <w:lvlText w:val=""/>
      <w:lvlJc w:val="left"/>
      <w:pPr>
        <w:ind w:left="2160" w:hanging="360"/>
      </w:pPr>
      <w:rPr>
        <w:rFonts w:ascii="Wingdings" w:hAnsi="Wingdings" w:hint="default"/>
      </w:rPr>
    </w:lvl>
    <w:lvl w:ilvl="3" w:tplc="5E8822C8">
      <w:start w:val="1"/>
      <w:numFmt w:val="bullet"/>
      <w:lvlText w:val=""/>
      <w:lvlJc w:val="left"/>
      <w:pPr>
        <w:ind w:left="2880" w:hanging="360"/>
      </w:pPr>
      <w:rPr>
        <w:rFonts w:ascii="Symbol" w:hAnsi="Symbol" w:hint="default"/>
      </w:rPr>
    </w:lvl>
    <w:lvl w:ilvl="4" w:tplc="C9E26B54">
      <w:start w:val="1"/>
      <w:numFmt w:val="bullet"/>
      <w:lvlText w:val="o"/>
      <w:lvlJc w:val="left"/>
      <w:pPr>
        <w:ind w:left="3600" w:hanging="360"/>
      </w:pPr>
      <w:rPr>
        <w:rFonts w:ascii="Courier New" w:hAnsi="Courier New" w:cs="Courier New" w:hint="default"/>
      </w:rPr>
    </w:lvl>
    <w:lvl w:ilvl="5" w:tplc="D1785FCA">
      <w:start w:val="1"/>
      <w:numFmt w:val="bullet"/>
      <w:lvlText w:val=""/>
      <w:lvlJc w:val="left"/>
      <w:pPr>
        <w:ind w:left="4320" w:hanging="360"/>
      </w:pPr>
      <w:rPr>
        <w:rFonts w:ascii="Wingdings" w:hAnsi="Wingdings" w:hint="default"/>
      </w:rPr>
    </w:lvl>
    <w:lvl w:ilvl="6" w:tplc="510A839A">
      <w:start w:val="1"/>
      <w:numFmt w:val="bullet"/>
      <w:lvlText w:val=""/>
      <w:lvlJc w:val="left"/>
      <w:pPr>
        <w:ind w:left="5040" w:hanging="360"/>
      </w:pPr>
      <w:rPr>
        <w:rFonts w:ascii="Symbol" w:hAnsi="Symbol" w:hint="default"/>
      </w:rPr>
    </w:lvl>
    <w:lvl w:ilvl="7" w:tplc="2B2C9988">
      <w:start w:val="1"/>
      <w:numFmt w:val="bullet"/>
      <w:lvlText w:val="o"/>
      <w:lvlJc w:val="left"/>
      <w:pPr>
        <w:ind w:left="5760" w:hanging="360"/>
      </w:pPr>
      <w:rPr>
        <w:rFonts w:ascii="Courier New" w:hAnsi="Courier New" w:cs="Courier New" w:hint="default"/>
      </w:rPr>
    </w:lvl>
    <w:lvl w:ilvl="8" w:tplc="8BF8413C">
      <w:start w:val="1"/>
      <w:numFmt w:val="bullet"/>
      <w:lvlText w:val=""/>
      <w:lvlJc w:val="left"/>
      <w:pPr>
        <w:ind w:left="6480" w:hanging="360"/>
      </w:pPr>
      <w:rPr>
        <w:rFonts w:ascii="Wingdings" w:hAnsi="Wingdings" w:hint="default"/>
      </w:rPr>
    </w:lvl>
  </w:abstractNum>
  <w:abstractNum w:abstractNumId="2">
    <w:nsid w:val="41C7410F"/>
    <w:multiLevelType w:val="multilevel"/>
    <w:tmpl w:val="5B7C1C14"/>
    <w:lvl w:ilvl="0">
      <w:start w:val="1"/>
      <w:numFmt w:val="upperRoman"/>
      <w:pStyle w:val="Heading1"/>
      <w:lvlText w:val="%1."/>
      <w:lvlJc w:val="left"/>
      <w:pPr>
        <w:ind w:left="360" w:hanging="504"/>
      </w:pPr>
      <w:rPr>
        <w:rFonts w:ascii="Arial" w:hAnsi="Arial" w:hint="default"/>
        <w:b/>
        <w:i w:val="0"/>
        <w:sz w:val="22"/>
      </w:rPr>
    </w:lvl>
    <w:lvl w:ilvl="1">
      <w:start w:val="1"/>
      <w:numFmt w:val="upperLetter"/>
      <w:pStyle w:val="Heading2"/>
      <w:lvlText w:val="%2."/>
      <w:lvlJc w:val="left"/>
      <w:pPr>
        <w:ind w:left="900" w:hanging="360"/>
      </w:pPr>
      <w:rPr>
        <w:rFonts w:ascii="Arial" w:hAnsi="Arial" w:hint="default"/>
        <w:sz w:val="22"/>
      </w:rPr>
    </w:lvl>
    <w:lvl w:ilvl="2">
      <w:start w:val="1"/>
      <w:numFmt w:val="decimal"/>
      <w:pStyle w:val="Heading3"/>
      <w:lvlText w:val="%3."/>
      <w:lvlJc w:val="left"/>
      <w:pPr>
        <w:ind w:left="1080" w:hanging="360"/>
      </w:pPr>
      <w:rPr>
        <w:rFonts w:ascii="Arial" w:hAnsi="Arial" w:hint="default"/>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3">
    <w:nsid w:val="73246E30"/>
    <w:multiLevelType w:val="hybridMultilevel"/>
    <w:tmpl w:val="D57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3"/>
  </w:num>
  <w:num w:numId="5">
    <w:abstractNumId w:val="0"/>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defaultTabStop w:val="720"/>
  <w:doNotShadeFormData/>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B8"/>
    <w:rsid w:val="00001E32"/>
    <w:rsid w:val="00004BD1"/>
    <w:rsid w:val="00016179"/>
    <w:rsid w:val="000217D9"/>
    <w:rsid w:val="0002329F"/>
    <w:rsid w:val="000234E1"/>
    <w:rsid w:val="00024F5F"/>
    <w:rsid w:val="0002767C"/>
    <w:rsid w:val="00027AF5"/>
    <w:rsid w:val="00031CE4"/>
    <w:rsid w:val="00032FC5"/>
    <w:rsid w:val="00033322"/>
    <w:rsid w:val="00043999"/>
    <w:rsid w:val="00043DCD"/>
    <w:rsid w:val="00044F22"/>
    <w:rsid w:val="000470F9"/>
    <w:rsid w:val="0005026E"/>
    <w:rsid w:val="00051C5D"/>
    <w:rsid w:val="00052673"/>
    <w:rsid w:val="00060BD2"/>
    <w:rsid w:val="000613E7"/>
    <w:rsid w:val="00062A7E"/>
    <w:rsid w:val="00065F9F"/>
    <w:rsid w:val="000678A8"/>
    <w:rsid w:val="00070994"/>
    <w:rsid w:val="00071A90"/>
    <w:rsid w:val="00071D16"/>
    <w:rsid w:val="0007422A"/>
    <w:rsid w:val="00075AFD"/>
    <w:rsid w:val="00076A75"/>
    <w:rsid w:val="00077A7D"/>
    <w:rsid w:val="00081ED6"/>
    <w:rsid w:val="00086066"/>
    <w:rsid w:val="000900A7"/>
    <w:rsid w:val="00092806"/>
    <w:rsid w:val="00093461"/>
    <w:rsid w:val="00094370"/>
    <w:rsid w:val="000A1C4E"/>
    <w:rsid w:val="000A2C3A"/>
    <w:rsid w:val="000A4FCF"/>
    <w:rsid w:val="000A65EE"/>
    <w:rsid w:val="000A6F00"/>
    <w:rsid w:val="000B10C5"/>
    <w:rsid w:val="000B1A10"/>
    <w:rsid w:val="000B1A8E"/>
    <w:rsid w:val="000B1DCA"/>
    <w:rsid w:val="000B2630"/>
    <w:rsid w:val="000B3805"/>
    <w:rsid w:val="000B67ED"/>
    <w:rsid w:val="000B6FCD"/>
    <w:rsid w:val="000B7992"/>
    <w:rsid w:val="000C17D7"/>
    <w:rsid w:val="000C4E8A"/>
    <w:rsid w:val="000C5D57"/>
    <w:rsid w:val="000C680F"/>
    <w:rsid w:val="000C7585"/>
    <w:rsid w:val="000C76AC"/>
    <w:rsid w:val="000C7EFD"/>
    <w:rsid w:val="000D0094"/>
    <w:rsid w:val="000D2B0F"/>
    <w:rsid w:val="000D4471"/>
    <w:rsid w:val="000E0904"/>
    <w:rsid w:val="000E0997"/>
    <w:rsid w:val="000E29D2"/>
    <w:rsid w:val="000E31C9"/>
    <w:rsid w:val="000E65AE"/>
    <w:rsid w:val="000E74C1"/>
    <w:rsid w:val="000F0169"/>
    <w:rsid w:val="000F2EDF"/>
    <w:rsid w:val="000F653B"/>
    <w:rsid w:val="000F75DF"/>
    <w:rsid w:val="00101BC0"/>
    <w:rsid w:val="00104D92"/>
    <w:rsid w:val="00115085"/>
    <w:rsid w:val="0011719F"/>
    <w:rsid w:val="001175E1"/>
    <w:rsid w:val="00120A32"/>
    <w:rsid w:val="00121FF4"/>
    <w:rsid w:val="0012247B"/>
    <w:rsid w:val="0012386C"/>
    <w:rsid w:val="00126604"/>
    <w:rsid w:val="00126C09"/>
    <w:rsid w:val="0012756F"/>
    <w:rsid w:val="00131FB5"/>
    <w:rsid w:val="001332BF"/>
    <w:rsid w:val="00135698"/>
    <w:rsid w:val="0013595E"/>
    <w:rsid w:val="00145501"/>
    <w:rsid w:val="00145992"/>
    <w:rsid w:val="0015118F"/>
    <w:rsid w:val="001521E8"/>
    <w:rsid w:val="00152A68"/>
    <w:rsid w:val="00152DD9"/>
    <w:rsid w:val="0015530D"/>
    <w:rsid w:val="001557FD"/>
    <w:rsid w:val="001637A7"/>
    <w:rsid w:val="001639FA"/>
    <w:rsid w:val="0016787E"/>
    <w:rsid w:val="00171135"/>
    <w:rsid w:val="001732D9"/>
    <w:rsid w:val="00180C4C"/>
    <w:rsid w:val="00183120"/>
    <w:rsid w:val="001838C1"/>
    <w:rsid w:val="001856C2"/>
    <w:rsid w:val="001859EC"/>
    <w:rsid w:val="00187B64"/>
    <w:rsid w:val="00191965"/>
    <w:rsid w:val="00193532"/>
    <w:rsid w:val="001941B8"/>
    <w:rsid w:val="00196B2F"/>
    <w:rsid w:val="00196F03"/>
    <w:rsid w:val="00197B24"/>
    <w:rsid w:val="001A0286"/>
    <w:rsid w:val="001A2352"/>
    <w:rsid w:val="001A4C8F"/>
    <w:rsid w:val="001A5F76"/>
    <w:rsid w:val="001A6BFF"/>
    <w:rsid w:val="001A7CEC"/>
    <w:rsid w:val="001B1434"/>
    <w:rsid w:val="001B3971"/>
    <w:rsid w:val="001B410D"/>
    <w:rsid w:val="001C0868"/>
    <w:rsid w:val="001C0C98"/>
    <w:rsid w:val="001C2FB8"/>
    <w:rsid w:val="001C3A49"/>
    <w:rsid w:val="001C4DBC"/>
    <w:rsid w:val="001C5689"/>
    <w:rsid w:val="001C6B0D"/>
    <w:rsid w:val="001D20D7"/>
    <w:rsid w:val="001D376A"/>
    <w:rsid w:val="001D3A39"/>
    <w:rsid w:val="001E161C"/>
    <w:rsid w:val="001E2220"/>
    <w:rsid w:val="001E4C73"/>
    <w:rsid w:val="001F12FE"/>
    <w:rsid w:val="001F23A1"/>
    <w:rsid w:val="001F313E"/>
    <w:rsid w:val="001F3C76"/>
    <w:rsid w:val="00200312"/>
    <w:rsid w:val="002015A3"/>
    <w:rsid w:val="002036A5"/>
    <w:rsid w:val="002042DB"/>
    <w:rsid w:val="00204611"/>
    <w:rsid w:val="00205AD6"/>
    <w:rsid w:val="002074DD"/>
    <w:rsid w:val="00210541"/>
    <w:rsid w:val="002108A7"/>
    <w:rsid w:val="00210C83"/>
    <w:rsid w:val="00210E01"/>
    <w:rsid w:val="00212322"/>
    <w:rsid w:val="0021361E"/>
    <w:rsid w:val="00220CD3"/>
    <w:rsid w:val="002218AC"/>
    <w:rsid w:val="0022337E"/>
    <w:rsid w:val="00223B17"/>
    <w:rsid w:val="0022412F"/>
    <w:rsid w:val="00224E23"/>
    <w:rsid w:val="00230A57"/>
    <w:rsid w:val="00231A32"/>
    <w:rsid w:val="002325DC"/>
    <w:rsid w:val="00240480"/>
    <w:rsid w:val="002429B8"/>
    <w:rsid w:val="00243946"/>
    <w:rsid w:val="00244121"/>
    <w:rsid w:val="002444A6"/>
    <w:rsid w:val="002454BE"/>
    <w:rsid w:val="002467EE"/>
    <w:rsid w:val="00251550"/>
    <w:rsid w:val="00254ADB"/>
    <w:rsid w:val="00265569"/>
    <w:rsid w:val="00270C51"/>
    <w:rsid w:val="00272050"/>
    <w:rsid w:val="002721A3"/>
    <w:rsid w:val="00272FCF"/>
    <w:rsid w:val="00280848"/>
    <w:rsid w:val="00280E6E"/>
    <w:rsid w:val="00290456"/>
    <w:rsid w:val="002904E6"/>
    <w:rsid w:val="002908A2"/>
    <w:rsid w:val="00290B39"/>
    <w:rsid w:val="0029108B"/>
    <w:rsid w:val="002A1160"/>
    <w:rsid w:val="002A38F7"/>
    <w:rsid w:val="002A6FCC"/>
    <w:rsid w:val="002B24EC"/>
    <w:rsid w:val="002B30CF"/>
    <w:rsid w:val="002B4931"/>
    <w:rsid w:val="002B50EE"/>
    <w:rsid w:val="002B5D7A"/>
    <w:rsid w:val="002B7A6D"/>
    <w:rsid w:val="002C17AC"/>
    <w:rsid w:val="002C3075"/>
    <w:rsid w:val="002C466B"/>
    <w:rsid w:val="002D1605"/>
    <w:rsid w:val="002D2341"/>
    <w:rsid w:val="002D5692"/>
    <w:rsid w:val="002D652A"/>
    <w:rsid w:val="002E0775"/>
    <w:rsid w:val="002E0F9B"/>
    <w:rsid w:val="002E3B3E"/>
    <w:rsid w:val="002E507A"/>
    <w:rsid w:val="002E532F"/>
    <w:rsid w:val="002E5BD5"/>
    <w:rsid w:val="002E5F37"/>
    <w:rsid w:val="002E7A4E"/>
    <w:rsid w:val="002F0CB1"/>
    <w:rsid w:val="002F0DE6"/>
    <w:rsid w:val="002F251A"/>
    <w:rsid w:val="002F28B6"/>
    <w:rsid w:val="00300401"/>
    <w:rsid w:val="00300BAA"/>
    <w:rsid w:val="00300EA6"/>
    <w:rsid w:val="003022D3"/>
    <w:rsid w:val="003027CB"/>
    <w:rsid w:val="00306DD8"/>
    <w:rsid w:val="00310775"/>
    <w:rsid w:val="003123F7"/>
    <w:rsid w:val="003129DD"/>
    <w:rsid w:val="00312B90"/>
    <w:rsid w:val="00313F50"/>
    <w:rsid w:val="003146B8"/>
    <w:rsid w:val="00315464"/>
    <w:rsid w:val="00321685"/>
    <w:rsid w:val="00321A50"/>
    <w:rsid w:val="00321D5F"/>
    <w:rsid w:val="003249F6"/>
    <w:rsid w:val="00324DB3"/>
    <w:rsid w:val="0032585D"/>
    <w:rsid w:val="00326BF3"/>
    <w:rsid w:val="003274D9"/>
    <w:rsid w:val="00331F07"/>
    <w:rsid w:val="00332693"/>
    <w:rsid w:val="0033410F"/>
    <w:rsid w:val="00336230"/>
    <w:rsid w:val="003366F5"/>
    <w:rsid w:val="00345CDE"/>
    <w:rsid w:val="00347897"/>
    <w:rsid w:val="00350E08"/>
    <w:rsid w:val="00351DE0"/>
    <w:rsid w:val="0035282C"/>
    <w:rsid w:val="003617EB"/>
    <w:rsid w:val="003619CA"/>
    <w:rsid w:val="003660FC"/>
    <w:rsid w:val="003732C8"/>
    <w:rsid w:val="003741D4"/>
    <w:rsid w:val="0037538B"/>
    <w:rsid w:val="003754B2"/>
    <w:rsid w:val="003836F7"/>
    <w:rsid w:val="0038505E"/>
    <w:rsid w:val="00387652"/>
    <w:rsid w:val="00390380"/>
    <w:rsid w:val="00391085"/>
    <w:rsid w:val="00392463"/>
    <w:rsid w:val="003928FF"/>
    <w:rsid w:val="003932D4"/>
    <w:rsid w:val="00393850"/>
    <w:rsid w:val="003A1105"/>
    <w:rsid w:val="003A7FD1"/>
    <w:rsid w:val="003B20FB"/>
    <w:rsid w:val="003B37DF"/>
    <w:rsid w:val="003C0859"/>
    <w:rsid w:val="003C2ADF"/>
    <w:rsid w:val="003C3EBC"/>
    <w:rsid w:val="003C4C2F"/>
    <w:rsid w:val="003C679D"/>
    <w:rsid w:val="003D0E0E"/>
    <w:rsid w:val="003D2689"/>
    <w:rsid w:val="003D3D26"/>
    <w:rsid w:val="003E0D0D"/>
    <w:rsid w:val="003E10B4"/>
    <w:rsid w:val="003E1A0E"/>
    <w:rsid w:val="003E35BB"/>
    <w:rsid w:val="003F11F2"/>
    <w:rsid w:val="003F49E6"/>
    <w:rsid w:val="003F5C20"/>
    <w:rsid w:val="00400678"/>
    <w:rsid w:val="00401D56"/>
    <w:rsid w:val="00402A95"/>
    <w:rsid w:val="00404EF9"/>
    <w:rsid w:val="004071C5"/>
    <w:rsid w:val="0040775F"/>
    <w:rsid w:val="00410935"/>
    <w:rsid w:val="00415776"/>
    <w:rsid w:val="00416AAB"/>
    <w:rsid w:val="00417676"/>
    <w:rsid w:val="0042016E"/>
    <w:rsid w:val="00421584"/>
    <w:rsid w:val="0042396B"/>
    <w:rsid w:val="004243FA"/>
    <w:rsid w:val="00425608"/>
    <w:rsid w:val="004342AA"/>
    <w:rsid w:val="0043714B"/>
    <w:rsid w:val="00440AAE"/>
    <w:rsid w:val="00442012"/>
    <w:rsid w:val="004432F4"/>
    <w:rsid w:val="00443989"/>
    <w:rsid w:val="00454874"/>
    <w:rsid w:val="004637A1"/>
    <w:rsid w:val="00467296"/>
    <w:rsid w:val="004678A5"/>
    <w:rsid w:val="00470D3E"/>
    <w:rsid w:val="00470E1E"/>
    <w:rsid w:val="00471D80"/>
    <w:rsid w:val="00472704"/>
    <w:rsid w:val="00474978"/>
    <w:rsid w:val="004778C7"/>
    <w:rsid w:val="00482189"/>
    <w:rsid w:val="004843E9"/>
    <w:rsid w:val="00485537"/>
    <w:rsid w:val="00485F3D"/>
    <w:rsid w:val="00487D63"/>
    <w:rsid w:val="00492DD8"/>
    <w:rsid w:val="00494298"/>
    <w:rsid w:val="004A7085"/>
    <w:rsid w:val="004A7533"/>
    <w:rsid w:val="004A7CE3"/>
    <w:rsid w:val="004B0B7D"/>
    <w:rsid w:val="004B157B"/>
    <w:rsid w:val="004B1C04"/>
    <w:rsid w:val="004B3A82"/>
    <w:rsid w:val="004C04B8"/>
    <w:rsid w:val="004C5BA2"/>
    <w:rsid w:val="004C7EF5"/>
    <w:rsid w:val="004D0137"/>
    <w:rsid w:val="004D2113"/>
    <w:rsid w:val="004D22B0"/>
    <w:rsid w:val="004D415F"/>
    <w:rsid w:val="004D5CC8"/>
    <w:rsid w:val="004E0CA6"/>
    <w:rsid w:val="004E4954"/>
    <w:rsid w:val="004F0D8F"/>
    <w:rsid w:val="004F1174"/>
    <w:rsid w:val="004F2E2B"/>
    <w:rsid w:val="004F3220"/>
    <w:rsid w:val="004F3E61"/>
    <w:rsid w:val="004F4DF8"/>
    <w:rsid w:val="004F54A7"/>
    <w:rsid w:val="004F61BD"/>
    <w:rsid w:val="004F65F1"/>
    <w:rsid w:val="004F75B1"/>
    <w:rsid w:val="005058E8"/>
    <w:rsid w:val="00507E1C"/>
    <w:rsid w:val="005103CE"/>
    <w:rsid w:val="00510E6F"/>
    <w:rsid w:val="00511A28"/>
    <w:rsid w:val="00515423"/>
    <w:rsid w:val="0051689F"/>
    <w:rsid w:val="005177B8"/>
    <w:rsid w:val="005213F5"/>
    <w:rsid w:val="005234A3"/>
    <w:rsid w:val="0052378A"/>
    <w:rsid w:val="00530B1B"/>
    <w:rsid w:val="00530D48"/>
    <w:rsid w:val="00536519"/>
    <w:rsid w:val="00536795"/>
    <w:rsid w:val="00536C93"/>
    <w:rsid w:val="00537CC2"/>
    <w:rsid w:val="00541159"/>
    <w:rsid w:val="0054269B"/>
    <w:rsid w:val="00542E7D"/>
    <w:rsid w:val="00544385"/>
    <w:rsid w:val="0054643C"/>
    <w:rsid w:val="00547D72"/>
    <w:rsid w:val="00550DDE"/>
    <w:rsid w:val="00551D1D"/>
    <w:rsid w:val="0055225A"/>
    <w:rsid w:val="005522C4"/>
    <w:rsid w:val="005527A9"/>
    <w:rsid w:val="00552B05"/>
    <w:rsid w:val="005548E5"/>
    <w:rsid w:val="00557091"/>
    <w:rsid w:val="0056000B"/>
    <w:rsid w:val="005607EE"/>
    <w:rsid w:val="00561466"/>
    <w:rsid w:val="00561C0F"/>
    <w:rsid w:val="00561E4A"/>
    <w:rsid w:val="00570F8F"/>
    <w:rsid w:val="00571A6C"/>
    <w:rsid w:val="00572E04"/>
    <w:rsid w:val="005808C4"/>
    <w:rsid w:val="00581E59"/>
    <w:rsid w:val="005847C3"/>
    <w:rsid w:val="005874B6"/>
    <w:rsid w:val="0058751F"/>
    <w:rsid w:val="00587F92"/>
    <w:rsid w:val="00590B06"/>
    <w:rsid w:val="00590B16"/>
    <w:rsid w:val="00590CA6"/>
    <w:rsid w:val="00595249"/>
    <w:rsid w:val="00597202"/>
    <w:rsid w:val="005A0DB8"/>
    <w:rsid w:val="005A110B"/>
    <w:rsid w:val="005A4B9D"/>
    <w:rsid w:val="005A5F70"/>
    <w:rsid w:val="005B5D1D"/>
    <w:rsid w:val="005B7503"/>
    <w:rsid w:val="005B7A7B"/>
    <w:rsid w:val="005B7FC8"/>
    <w:rsid w:val="005C336B"/>
    <w:rsid w:val="005C5811"/>
    <w:rsid w:val="005C7465"/>
    <w:rsid w:val="005C7944"/>
    <w:rsid w:val="005D104B"/>
    <w:rsid w:val="005D2437"/>
    <w:rsid w:val="005D27A5"/>
    <w:rsid w:val="005D5BB2"/>
    <w:rsid w:val="005E09D3"/>
    <w:rsid w:val="005E37C5"/>
    <w:rsid w:val="005E4B78"/>
    <w:rsid w:val="005E6FB6"/>
    <w:rsid w:val="005F4426"/>
    <w:rsid w:val="005F45CB"/>
    <w:rsid w:val="005F7413"/>
    <w:rsid w:val="006026DA"/>
    <w:rsid w:val="00610243"/>
    <w:rsid w:val="00610401"/>
    <w:rsid w:val="006124C5"/>
    <w:rsid w:val="00612B25"/>
    <w:rsid w:val="00616EDA"/>
    <w:rsid w:val="006200A0"/>
    <w:rsid w:val="00626F11"/>
    <w:rsid w:val="00630757"/>
    <w:rsid w:val="00630AC0"/>
    <w:rsid w:val="006329D0"/>
    <w:rsid w:val="0063776A"/>
    <w:rsid w:val="00642C65"/>
    <w:rsid w:val="006474BE"/>
    <w:rsid w:val="00654306"/>
    <w:rsid w:val="0066245E"/>
    <w:rsid w:val="00664667"/>
    <w:rsid w:val="00666956"/>
    <w:rsid w:val="00667460"/>
    <w:rsid w:val="00667578"/>
    <w:rsid w:val="00672FD5"/>
    <w:rsid w:val="006744BA"/>
    <w:rsid w:val="00674CE0"/>
    <w:rsid w:val="006758AC"/>
    <w:rsid w:val="006763EE"/>
    <w:rsid w:val="00677B90"/>
    <w:rsid w:val="00683CE2"/>
    <w:rsid w:val="00692926"/>
    <w:rsid w:val="00693807"/>
    <w:rsid w:val="00693E77"/>
    <w:rsid w:val="006A1283"/>
    <w:rsid w:val="006A19E1"/>
    <w:rsid w:val="006A3FC5"/>
    <w:rsid w:val="006A57F8"/>
    <w:rsid w:val="006A62B5"/>
    <w:rsid w:val="006A766E"/>
    <w:rsid w:val="006B0274"/>
    <w:rsid w:val="006B0B05"/>
    <w:rsid w:val="006B1EE3"/>
    <w:rsid w:val="006B397C"/>
    <w:rsid w:val="006B6924"/>
    <w:rsid w:val="006B77F2"/>
    <w:rsid w:val="006B7986"/>
    <w:rsid w:val="006C0853"/>
    <w:rsid w:val="006C1397"/>
    <w:rsid w:val="006C15A5"/>
    <w:rsid w:val="006C5D4D"/>
    <w:rsid w:val="006C67F9"/>
    <w:rsid w:val="006D1B57"/>
    <w:rsid w:val="006D5E32"/>
    <w:rsid w:val="006E1E84"/>
    <w:rsid w:val="006E2CC7"/>
    <w:rsid w:val="006E5480"/>
    <w:rsid w:val="006F1B30"/>
    <w:rsid w:val="006F2713"/>
    <w:rsid w:val="006F5DF6"/>
    <w:rsid w:val="007000F4"/>
    <w:rsid w:val="0070505C"/>
    <w:rsid w:val="00705970"/>
    <w:rsid w:val="007107A8"/>
    <w:rsid w:val="007142AB"/>
    <w:rsid w:val="00721898"/>
    <w:rsid w:val="00721C90"/>
    <w:rsid w:val="00721D2D"/>
    <w:rsid w:val="0072230A"/>
    <w:rsid w:val="00724497"/>
    <w:rsid w:val="00731743"/>
    <w:rsid w:val="007345ED"/>
    <w:rsid w:val="00735AA3"/>
    <w:rsid w:val="0073646C"/>
    <w:rsid w:val="0073688D"/>
    <w:rsid w:val="00740C7E"/>
    <w:rsid w:val="00742C42"/>
    <w:rsid w:val="00743ABC"/>
    <w:rsid w:val="007457C8"/>
    <w:rsid w:val="00745E3C"/>
    <w:rsid w:val="00750A28"/>
    <w:rsid w:val="00750B07"/>
    <w:rsid w:val="00751302"/>
    <w:rsid w:val="00753458"/>
    <w:rsid w:val="00754663"/>
    <w:rsid w:val="00754865"/>
    <w:rsid w:val="00756E19"/>
    <w:rsid w:val="00761ED6"/>
    <w:rsid w:val="00763A46"/>
    <w:rsid w:val="00770160"/>
    <w:rsid w:val="00771BF4"/>
    <w:rsid w:val="00773F20"/>
    <w:rsid w:val="00775235"/>
    <w:rsid w:val="00775440"/>
    <w:rsid w:val="0077744A"/>
    <w:rsid w:val="00781F33"/>
    <w:rsid w:val="007837CB"/>
    <w:rsid w:val="00784CB1"/>
    <w:rsid w:val="00785D86"/>
    <w:rsid w:val="00786BAA"/>
    <w:rsid w:val="00790A92"/>
    <w:rsid w:val="00792390"/>
    <w:rsid w:val="007975A1"/>
    <w:rsid w:val="007A2057"/>
    <w:rsid w:val="007A571A"/>
    <w:rsid w:val="007A5A17"/>
    <w:rsid w:val="007A7201"/>
    <w:rsid w:val="007B0E66"/>
    <w:rsid w:val="007B3317"/>
    <w:rsid w:val="007B35B4"/>
    <w:rsid w:val="007B4876"/>
    <w:rsid w:val="007B6E89"/>
    <w:rsid w:val="007C1686"/>
    <w:rsid w:val="007C4792"/>
    <w:rsid w:val="007C77B9"/>
    <w:rsid w:val="007D093E"/>
    <w:rsid w:val="007D1CAF"/>
    <w:rsid w:val="007D5B21"/>
    <w:rsid w:val="007E1D27"/>
    <w:rsid w:val="007E1EEF"/>
    <w:rsid w:val="007E46D4"/>
    <w:rsid w:val="007E485C"/>
    <w:rsid w:val="007E5D16"/>
    <w:rsid w:val="007E7C00"/>
    <w:rsid w:val="007F0A78"/>
    <w:rsid w:val="007F2E9C"/>
    <w:rsid w:val="007F6E4F"/>
    <w:rsid w:val="00801CAF"/>
    <w:rsid w:val="00803395"/>
    <w:rsid w:val="00807845"/>
    <w:rsid w:val="00810DF5"/>
    <w:rsid w:val="00811915"/>
    <w:rsid w:val="00813A7B"/>
    <w:rsid w:val="00815C54"/>
    <w:rsid w:val="00816295"/>
    <w:rsid w:val="00822D77"/>
    <w:rsid w:val="00824217"/>
    <w:rsid w:val="00825354"/>
    <w:rsid w:val="008266BC"/>
    <w:rsid w:val="00830EA1"/>
    <w:rsid w:val="0083380B"/>
    <w:rsid w:val="008346F6"/>
    <w:rsid w:val="008418A1"/>
    <w:rsid w:val="008419CC"/>
    <w:rsid w:val="0084537D"/>
    <w:rsid w:val="00847276"/>
    <w:rsid w:val="00851288"/>
    <w:rsid w:val="00852239"/>
    <w:rsid w:val="00852C6C"/>
    <w:rsid w:val="00855726"/>
    <w:rsid w:val="008564C5"/>
    <w:rsid w:val="008571F5"/>
    <w:rsid w:val="00861D4E"/>
    <w:rsid w:val="008661FF"/>
    <w:rsid w:val="00871139"/>
    <w:rsid w:val="0087347C"/>
    <w:rsid w:val="00875CBB"/>
    <w:rsid w:val="00882820"/>
    <w:rsid w:val="0088637A"/>
    <w:rsid w:val="008865DA"/>
    <w:rsid w:val="00887210"/>
    <w:rsid w:val="0089073C"/>
    <w:rsid w:val="00896BE3"/>
    <w:rsid w:val="00896E1A"/>
    <w:rsid w:val="008A07C2"/>
    <w:rsid w:val="008A2568"/>
    <w:rsid w:val="008A3CD4"/>
    <w:rsid w:val="008B5DF2"/>
    <w:rsid w:val="008C2775"/>
    <w:rsid w:val="008C2BCA"/>
    <w:rsid w:val="008C71F0"/>
    <w:rsid w:val="008C7454"/>
    <w:rsid w:val="008D2B1D"/>
    <w:rsid w:val="008D2CEE"/>
    <w:rsid w:val="008D30B9"/>
    <w:rsid w:val="008D4356"/>
    <w:rsid w:val="008D4DF5"/>
    <w:rsid w:val="008D5776"/>
    <w:rsid w:val="008D5CF8"/>
    <w:rsid w:val="008E1213"/>
    <w:rsid w:val="008E371F"/>
    <w:rsid w:val="008E5A20"/>
    <w:rsid w:val="008F182F"/>
    <w:rsid w:val="008F2BCA"/>
    <w:rsid w:val="008F381E"/>
    <w:rsid w:val="008F5CEC"/>
    <w:rsid w:val="008F7DC2"/>
    <w:rsid w:val="00900B17"/>
    <w:rsid w:val="0090532B"/>
    <w:rsid w:val="00910715"/>
    <w:rsid w:val="0091082C"/>
    <w:rsid w:val="009172F9"/>
    <w:rsid w:val="0091799A"/>
    <w:rsid w:val="00917DBF"/>
    <w:rsid w:val="009237B9"/>
    <w:rsid w:val="00926945"/>
    <w:rsid w:val="00930E21"/>
    <w:rsid w:val="00934625"/>
    <w:rsid w:val="0093465B"/>
    <w:rsid w:val="00934A78"/>
    <w:rsid w:val="009359FE"/>
    <w:rsid w:val="00937110"/>
    <w:rsid w:val="00942E7F"/>
    <w:rsid w:val="00944D52"/>
    <w:rsid w:val="009450EF"/>
    <w:rsid w:val="00953A92"/>
    <w:rsid w:val="00953BDF"/>
    <w:rsid w:val="00954CCA"/>
    <w:rsid w:val="009552A4"/>
    <w:rsid w:val="00955F8B"/>
    <w:rsid w:val="0095737C"/>
    <w:rsid w:val="0096077B"/>
    <w:rsid w:val="009611D3"/>
    <w:rsid w:val="00962939"/>
    <w:rsid w:val="00966938"/>
    <w:rsid w:val="00972331"/>
    <w:rsid w:val="0097274F"/>
    <w:rsid w:val="00973244"/>
    <w:rsid w:val="00975A6B"/>
    <w:rsid w:val="009820F3"/>
    <w:rsid w:val="00985A8B"/>
    <w:rsid w:val="0099143F"/>
    <w:rsid w:val="00991E3B"/>
    <w:rsid w:val="00995A1F"/>
    <w:rsid w:val="00996235"/>
    <w:rsid w:val="009A176F"/>
    <w:rsid w:val="009A2623"/>
    <w:rsid w:val="009A28B6"/>
    <w:rsid w:val="009A2A82"/>
    <w:rsid w:val="009A2E64"/>
    <w:rsid w:val="009A31C1"/>
    <w:rsid w:val="009B0930"/>
    <w:rsid w:val="009B1F2D"/>
    <w:rsid w:val="009B3919"/>
    <w:rsid w:val="009B59BB"/>
    <w:rsid w:val="009B7BF7"/>
    <w:rsid w:val="009C251E"/>
    <w:rsid w:val="009C2EDB"/>
    <w:rsid w:val="009C2F61"/>
    <w:rsid w:val="009C44D8"/>
    <w:rsid w:val="009C4D7B"/>
    <w:rsid w:val="009D479E"/>
    <w:rsid w:val="009E1F0E"/>
    <w:rsid w:val="009E2BD6"/>
    <w:rsid w:val="009E352D"/>
    <w:rsid w:val="009E5EE3"/>
    <w:rsid w:val="009F074D"/>
    <w:rsid w:val="009F1A62"/>
    <w:rsid w:val="009F27A1"/>
    <w:rsid w:val="009F7DBD"/>
    <w:rsid w:val="00A01DD0"/>
    <w:rsid w:val="00A0214C"/>
    <w:rsid w:val="00A04EC6"/>
    <w:rsid w:val="00A05727"/>
    <w:rsid w:val="00A10390"/>
    <w:rsid w:val="00A1147C"/>
    <w:rsid w:val="00A141CD"/>
    <w:rsid w:val="00A14627"/>
    <w:rsid w:val="00A15222"/>
    <w:rsid w:val="00A15897"/>
    <w:rsid w:val="00A175B7"/>
    <w:rsid w:val="00A17CF6"/>
    <w:rsid w:val="00A20397"/>
    <w:rsid w:val="00A20486"/>
    <w:rsid w:val="00A2132F"/>
    <w:rsid w:val="00A2374A"/>
    <w:rsid w:val="00A247B0"/>
    <w:rsid w:val="00A27E02"/>
    <w:rsid w:val="00A307F1"/>
    <w:rsid w:val="00A31E2F"/>
    <w:rsid w:val="00A32E4D"/>
    <w:rsid w:val="00A33BC6"/>
    <w:rsid w:val="00A33D24"/>
    <w:rsid w:val="00A365B1"/>
    <w:rsid w:val="00A418A2"/>
    <w:rsid w:val="00A42C41"/>
    <w:rsid w:val="00A441DC"/>
    <w:rsid w:val="00A445CE"/>
    <w:rsid w:val="00A44F05"/>
    <w:rsid w:val="00A46EB1"/>
    <w:rsid w:val="00A47345"/>
    <w:rsid w:val="00A537D4"/>
    <w:rsid w:val="00A53FAE"/>
    <w:rsid w:val="00A54A92"/>
    <w:rsid w:val="00A63E5D"/>
    <w:rsid w:val="00A85C77"/>
    <w:rsid w:val="00A924E3"/>
    <w:rsid w:val="00A94BEB"/>
    <w:rsid w:val="00A9666F"/>
    <w:rsid w:val="00A97745"/>
    <w:rsid w:val="00A97BEC"/>
    <w:rsid w:val="00AB0E4E"/>
    <w:rsid w:val="00AB3E86"/>
    <w:rsid w:val="00AB51AB"/>
    <w:rsid w:val="00AC1A7F"/>
    <w:rsid w:val="00AC2EDF"/>
    <w:rsid w:val="00AC6F91"/>
    <w:rsid w:val="00AD2484"/>
    <w:rsid w:val="00AD35B6"/>
    <w:rsid w:val="00AD35DF"/>
    <w:rsid w:val="00AD35F4"/>
    <w:rsid w:val="00AD477D"/>
    <w:rsid w:val="00AD76E7"/>
    <w:rsid w:val="00AD7DD2"/>
    <w:rsid w:val="00AE1618"/>
    <w:rsid w:val="00AE43F6"/>
    <w:rsid w:val="00AE47EF"/>
    <w:rsid w:val="00AE6417"/>
    <w:rsid w:val="00AE6564"/>
    <w:rsid w:val="00AE6FE9"/>
    <w:rsid w:val="00AF2B05"/>
    <w:rsid w:val="00AF2F5C"/>
    <w:rsid w:val="00AF32C4"/>
    <w:rsid w:val="00AF3B99"/>
    <w:rsid w:val="00AF4A31"/>
    <w:rsid w:val="00AF7C3A"/>
    <w:rsid w:val="00B01BF3"/>
    <w:rsid w:val="00B03F81"/>
    <w:rsid w:val="00B05AA8"/>
    <w:rsid w:val="00B07110"/>
    <w:rsid w:val="00B143F7"/>
    <w:rsid w:val="00B17355"/>
    <w:rsid w:val="00B17D9F"/>
    <w:rsid w:val="00B21238"/>
    <w:rsid w:val="00B216C3"/>
    <w:rsid w:val="00B227A0"/>
    <w:rsid w:val="00B22A5C"/>
    <w:rsid w:val="00B24462"/>
    <w:rsid w:val="00B27BD6"/>
    <w:rsid w:val="00B31711"/>
    <w:rsid w:val="00B318DE"/>
    <w:rsid w:val="00B31C2B"/>
    <w:rsid w:val="00B37940"/>
    <w:rsid w:val="00B40250"/>
    <w:rsid w:val="00B40650"/>
    <w:rsid w:val="00B4254E"/>
    <w:rsid w:val="00B52D07"/>
    <w:rsid w:val="00B553DA"/>
    <w:rsid w:val="00B55483"/>
    <w:rsid w:val="00B56C79"/>
    <w:rsid w:val="00B57BDC"/>
    <w:rsid w:val="00B66677"/>
    <w:rsid w:val="00B74169"/>
    <w:rsid w:val="00B74555"/>
    <w:rsid w:val="00B7505D"/>
    <w:rsid w:val="00B752F9"/>
    <w:rsid w:val="00B75812"/>
    <w:rsid w:val="00B769EF"/>
    <w:rsid w:val="00B77137"/>
    <w:rsid w:val="00B82CA3"/>
    <w:rsid w:val="00B8476A"/>
    <w:rsid w:val="00B910C0"/>
    <w:rsid w:val="00B928C5"/>
    <w:rsid w:val="00B93201"/>
    <w:rsid w:val="00B93272"/>
    <w:rsid w:val="00B942CE"/>
    <w:rsid w:val="00B95548"/>
    <w:rsid w:val="00B95CA5"/>
    <w:rsid w:val="00B975A2"/>
    <w:rsid w:val="00BA2BDB"/>
    <w:rsid w:val="00BA2CAF"/>
    <w:rsid w:val="00BA4E31"/>
    <w:rsid w:val="00BA7034"/>
    <w:rsid w:val="00BA71C2"/>
    <w:rsid w:val="00BA7B6E"/>
    <w:rsid w:val="00BB326A"/>
    <w:rsid w:val="00BB4C82"/>
    <w:rsid w:val="00BB645D"/>
    <w:rsid w:val="00BC1F96"/>
    <w:rsid w:val="00BC229F"/>
    <w:rsid w:val="00BC345C"/>
    <w:rsid w:val="00BC45D9"/>
    <w:rsid w:val="00BC53B4"/>
    <w:rsid w:val="00BC612B"/>
    <w:rsid w:val="00BD0DC1"/>
    <w:rsid w:val="00BD0E9B"/>
    <w:rsid w:val="00BD15CE"/>
    <w:rsid w:val="00BD26B7"/>
    <w:rsid w:val="00BD443E"/>
    <w:rsid w:val="00BD503C"/>
    <w:rsid w:val="00BD757C"/>
    <w:rsid w:val="00BE33DD"/>
    <w:rsid w:val="00BE6008"/>
    <w:rsid w:val="00BE610F"/>
    <w:rsid w:val="00BE76BF"/>
    <w:rsid w:val="00BE7AF5"/>
    <w:rsid w:val="00BF2094"/>
    <w:rsid w:val="00BF297A"/>
    <w:rsid w:val="00BF388E"/>
    <w:rsid w:val="00BF396A"/>
    <w:rsid w:val="00BF5981"/>
    <w:rsid w:val="00BF658B"/>
    <w:rsid w:val="00C009FB"/>
    <w:rsid w:val="00C02B63"/>
    <w:rsid w:val="00C0636C"/>
    <w:rsid w:val="00C0682B"/>
    <w:rsid w:val="00C07757"/>
    <w:rsid w:val="00C11899"/>
    <w:rsid w:val="00C11928"/>
    <w:rsid w:val="00C12975"/>
    <w:rsid w:val="00C13C73"/>
    <w:rsid w:val="00C204C3"/>
    <w:rsid w:val="00C229AD"/>
    <w:rsid w:val="00C23BAF"/>
    <w:rsid w:val="00C24F3A"/>
    <w:rsid w:val="00C2595E"/>
    <w:rsid w:val="00C25EF4"/>
    <w:rsid w:val="00C271A9"/>
    <w:rsid w:val="00C30277"/>
    <w:rsid w:val="00C308DD"/>
    <w:rsid w:val="00C31193"/>
    <w:rsid w:val="00C341FD"/>
    <w:rsid w:val="00C34782"/>
    <w:rsid w:val="00C34F82"/>
    <w:rsid w:val="00C36935"/>
    <w:rsid w:val="00C414DF"/>
    <w:rsid w:val="00C47267"/>
    <w:rsid w:val="00C51FB7"/>
    <w:rsid w:val="00C53BC3"/>
    <w:rsid w:val="00C54A78"/>
    <w:rsid w:val="00C55429"/>
    <w:rsid w:val="00C57B13"/>
    <w:rsid w:val="00C64FFE"/>
    <w:rsid w:val="00C70248"/>
    <w:rsid w:val="00C71D93"/>
    <w:rsid w:val="00C732B7"/>
    <w:rsid w:val="00C870C7"/>
    <w:rsid w:val="00C87308"/>
    <w:rsid w:val="00C90462"/>
    <w:rsid w:val="00C9239B"/>
    <w:rsid w:val="00C93C1F"/>
    <w:rsid w:val="00C9462C"/>
    <w:rsid w:val="00C95DA5"/>
    <w:rsid w:val="00CA4C3F"/>
    <w:rsid w:val="00CA6045"/>
    <w:rsid w:val="00CA7660"/>
    <w:rsid w:val="00CB0654"/>
    <w:rsid w:val="00CB0685"/>
    <w:rsid w:val="00CB2368"/>
    <w:rsid w:val="00CB3735"/>
    <w:rsid w:val="00CB4787"/>
    <w:rsid w:val="00CB48B3"/>
    <w:rsid w:val="00CB69E2"/>
    <w:rsid w:val="00CB7402"/>
    <w:rsid w:val="00CC13C2"/>
    <w:rsid w:val="00CD0A3C"/>
    <w:rsid w:val="00CD5062"/>
    <w:rsid w:val="00CD534E"/>
    <w:rsid w:val="00CD7AB7"/>
    <w:rsid w:val="00CE4BE2"/>
    <w:rsid w:val="00CF0AB7"/>
    <w:rsid w:val="00CF359D"/>
    <w:rsid w:val="00CF5136"/>
    <w:rsid w:val="00CF5236"/>
    <w:rsid w:val="00CF57A3"/>
    <w:rsid w:val="00D027CE"/>
    <w:rsid w:val="00D061EE"/>
    <w:rsid w:val="00D0637F"/>
    <w:rsid w:val="00D14030"/>
    <w:rsid w:val="00D149DF"/>
    <w:rsid w:val="00D157E9"/>
    <w:rsid w:val="00D17770"/>
    <w:rsid w:val="00D1786A"/>
    <w:rsid w:val="00D17F00"/>
    <w:rsid w:val="00D17F07"/>
    <w:rsid w:val="00D21D8A"/>
    <w:rsid w:val="00D2626C"/>
    <w:rsid w:val="00D27B31"/>
    <w:rsid w:val="00D31279"/>
    <w:rsid w:val="00D31A2E"/>
    <w:rsid w:val="00D34927"/>
    <w:rsid w:val="00D363BE"/>
    <w:rsid w:val="00D40827"/>
    <w:rsid w:val="00D40BFF"/>
    <w:rsid w:val="00D41868"/>
    <w:rsid w:val="00D43729"/>
    <w:rsid w:val="00D443C6"/>
    <w:rsid w:val="00D46BE6"/>
    <w:rsid w:val="00D506D2"/>
    <w:rsid w:val="00D51433"/>
    <w:rsid w:val="00D523A5"/>
    <w:rsid w:val="00D53F76"/>
    <w:rsid w:val="00D5406B"/>
    <w:rsid w:val="00D560A7"/>
    <w:rsid w:val="00D605DB"/>
    <w:rsid w:val="00D60CFE"/>
    <w:rsid w:val="00D62949"/>
    <w:rsid w:val="00D64D5B"/>
    <w:rsid w:val="00D670EF"/>
    <w:rsid w:val="00D67AFD"/>
    <w:rsid w:val="00D70752"/>
    <w:rsid w:val="00D70D58"/>
    <w:rsid w:val="00D71435"/>
    <w:rsid w:val="00D745BF"/>
    <w:rsid w:val="00D833EF"/>
    <w:rsid w:val="00D85019"/>
    <w:rsid w:val="00D85816"/>
    <w:rsid w:val="00D85FE4"/>
    <w:rsid w:val="00D8667A"/>
    <w:rsid w:val="00D87796"/>
    <w:rsid w:val="00D90B0C"/>
    <w:rsid w:val="00D9312B"/>
    <w:rsid w:val="00D94EF2"/>
    <w:rsid w:val="00D9679C"/>
    <w:rsid w:val="00D96AAA"/>
    <w:rsid w:val="00DA1F1B"/>
    <w:rsid w:val="00DA4FAD"/>
    <w:rsid w:val="00DA7582"/>
    <w:rsid w:val="00DA7C66"/>
    <w:rsid w:val="00DB0E51"/>
    <w:rsid w:val="00DB5624"/>
    <w:rsid w:val="00DB5C15"/>
    <w:rsid w:val="00DB6940"/>
    <w:rsid w:val="00DB7966"/>
    <w:rsid w:val="00DC0D3A"/>
    <w:rsid w:val="00DC2804"/>
    <w:rsid w:val="00DC558C"/>
    <w:rsid w:val="00DD0EC5"/>
    <w:rsid w:val="00DD294C"/>
    <w:rsid w:val="00DE0F45"/>
    <w:rsid w:val="00DE1027"/>
    <w:rsid w:val="00DE2B2F"/>
    <w:rsid w:val="00DE5D8A"/>
    <w:rsid w:val="00DF0BA7"/>
    <w:rsid w:val="00DF5845"/>
    <w:rsid w:val="00E01359"/>
    <w:rsid w:val="00E01D7F"/>
    <w:rsid w:val="00E02039"/>
    <w:rsid w:val="00E03053"/>
    <w:rsid w:val="00E03E24"/>
    <w:rsid w:val="00E046B0"/>
    <w:rsid w:val="00E119F5"/>
    <w:rsid w:val="00E16CBC"/>
    <w:rsid w:val="00E20E23"/>
    <w:rsid w:val="00E2427F"/>
    <w:rsid w:val="00E26290"/>
    <w:rsid w:val="00E30AB8"/>
    <w:rsid w:val="00E31404"/>
    <w:rsid w:val="00E31B4A"/>
    <w:rsid w:val="00E33E29"/>
    <w:rsid w:val="00E360AC"/>
    <w:rsid w:val="00E4193A"/>
    <w:rsid w:val="00E43BB0"/>
    <w:rsid w:val="00E46580"/>
    <w:rsid w:val="00E467B4"/>
    <w:rsid w:val="00E52481"/>
    <w:rsid w:val="00E5421B"/>
    <w:rsid w:val="00E54802"/>
    <w:rsid w:val="00E55E43"/>
    <w:rsid w:val="00E5648C"/>
    <w:rsid w:val="00E571D8"/>
    <w:rsid w:val="00E60700"/>
    <w:rsid w:val="00E615CD"/>
    <w:rsid w:val="00E61736"/>
    <w:rsid w:val="00E62CE7"/>
    <w:rsid w:val="00E64605"/>
    <w:rsid w:val="00E66739"/>
    <w:rsid w:val="00E670D9"/>
    <w:rsid w:val="00E67D89"/>
    <w:rsid w:val="00E70B55"/>
    <w:rsid w:val="00E7129B"/>
    <w:rsid w:val="00E713DE"/>
    <w:rsid w:val="00E74A27"/>
    <w:rsid w:val="00E7517A"/>
    <w:rsid w:val="00E75A21"/>
    <w:rsid w:val="00E77C02"/>
    <w:rsid w:val="00E800D2"/>
    <w:rsid w:val="00E81850"/>
    <w:rsid w:val="00E85120"/>
    <w:rsid w:val="00E902DC"/>
    <w:rsid w:val="00E9085C"/>
    <w:rsid w:val="00E91B2A"/>
    <w:rsid w:val="00E963CB"/>
    <w:rsid w:val="00E964A7"/>
    <w:rsid w:val="00EA02B3"/>
    <w:rsid w:val="00EA19D4"/>
    <w:rsid w:val="00EA1FA8"/>
    <w:rsid w:val="00EA5CC7"/>
    <w:rsid w:val="00EA69ED"/>
    <w:rsid w:val="00EA6C44"/>
    <w:rsid w:val="00EB0863"/>
    <w:rsid w:val="00EB227F"/>
    <w:rsid w:val="00EB2ADD"/>
    <w:rsid w:val="00EB34D2"/>
    <w:rsid w:val="00EB6A7A"/>
    <w:rsid w:val="00EC0F4E"/>
    <w:rsid w:val="00EC19D5"/>
    <w:rsid w:val="00EC476F"/>
    <w:rsid w:val="00EC5CF0"/>
    <w:rsid w:val="00EC6D3B"/>
    <w:rsid w:val="00EC7FB2"/>
    <w:rsid w:val="00ED2727"/>
    <w:rsid w:val="00ED29A8"/>
    <w:rsid w:val="00ED41E6"/>
    <w:rsid w:val="00ED49D0"/>
    <w:rsid w:val="00ED6BBD"/>
    <w:rsid w:val="00ED7514"/>
    <w:rsid w:val="00EE0226"/>
    <w:rsid w:val="00EE04DD"/>
    <w:rsid w:val="00EE302F"/>
    <w:rsid w:val="00EE4BE1"/>
    <w:rsid w:val="00EE52E7"/>
    <w:rsid w:val="00EE778E"/>
    <w:rsid w:val="00EF1B30"/>
    <w:rsid w:val="00EF2ADD"/>
    <w:rsid w:val="00EF2BCA"/>
    <w:rsid w:val="00EF2C91"/>
    <w:rsid w:val="00EF492D"/>
    <w:rsid w:val="00F005CE"/>
    <w:rsid w:val="00F007EC"/>
    <w:rsid w:val="00F02061"/>
    <w:rsid w:val="00F02560"/>
    <w:rsid w:val="00F0430F"/>
    <w:rsid w:val="00F06917"/>
    <w:rsid w:val="00F0799C"/>
    <w:rsid w:val="00F107A0"/>
    <w:rsid w:val="00F10D21"/>
    <w:rsid w:val="00F1429C"/>
    <w:rsid w:val="00F16324"/>
    <w:rsid w:val="00F2349D"/>
    <w:rsid w:val="00F255A6"/>
    <w:rsid w:val="00F268F0"/>
    <w:rsid w:val="00F31B54"/>
    <w:rsid w:val="00F31F6B"/>
    <w:rsid w:val="00F34251"/>
    <w:rsid w:val="00F364D0"/>
    <w:rsid w:val="00F40836"/>
    <w:rsid w:val="00F420FE"/>
    <w:rsid w:val="00F44131"/>
    <w:rsid w:val="00F454B3"/>
    <w:rsid w:val="00F45FA3"/>
    <w:rsid w:val="00F53341"/>
    <w:rsid w:val="00F54F98"/>
    <w:rsid w:val="00F550E6"/>
    <w:rsid w:val="00F56031"/>
    <w:rsid w:val="00F57A8D"/>
    <w:rsid w:val="00F6119B"/>
    <w:rsid w:val="00F640B4"/>
    <w:rsid w:val="00F64A25"/>
    <w:rsid w:val="00F653CC"/>
    <w:rsid w:val="00F7468E"/>
    <w:rsid w:val="00F759C6"/>
    <w:rsid w:val="00F762D0"/>
    <w:rsid w:val="00F80925"/>
    <w:rsid w:val="00F8124D"/>
    <w:rsid w:val="00F8335B"/>
    <w:rsid w:val="00F85D51"/>
    <w:rsid w:val="00F87136"/>
    <w:rsid w:val="00F90D90"/>
    <w:rsid w:val="00F924B4"/>
    <w:rsid w:val="00F93C15"/>
    <w:rsid w:val="00F95321"/>
    <w:rsid w:val="00F953D8"/>
    <w:rsid w:val="00FA01D6"/>
    <w:rsid w:val="00FA08F1"/>
    <w:rsid w:val="00FA368F"/>
    <w:rsid w:val="00FA39EE"/>
    <w:rsid w:val="00FB3BB1"/>
    <w:rsid w:val="00FB424C"/>
    <w:rsid w:val="00FB4854"/>
    <w:rsid w:val="00FC0090"/>
    <w:rsid w:val="00FC24FA"/>
    <w:rsid w:val="00FC2626"/>
    <w:rsid w:val="00FC2A70"/>
    <w:rsid w:val="00FC305F"/>
    <w:rsid w:val="00FC3395"/>
    <w:rsid w:val="00FD3F08"/>
    <w:rsid w:val="00FD59EE"/>
    <w:rsid w:val="00FD7948"/>
    <w:rsid w:val="00FE04B6"/>
    <w:rsid w:val="00FE1575"/>
    <w:rsid w:val="00FE2CFA"/>
    <w:rsid w:val="00FE2EFB"/>
    <w:rsid w:val="00FE39A2"/>
    <w:rsid w:val="00FE3AE1"/>
    <w:rsid w:val="00FE57B0"/>
    <w:rsid w:val="00FE63E7"/>
    <w:rsid w:val="00FE656B"/>
    <w:rsid w:val="00FF0A0C"/>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02F"/>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EE302F"/>
    <w:pPr>
      <w:numPr>
        <w:numId w:val="2"/>
      </w:numPr>
      <w:tabs>
        <w:tab w:val="clear" w:pos="7320"/>
      </w:tabs>
      <w:spacing w:before="120" w:after="120"/>
      <w:outlineLvl w:val="0"/>
    </w:pPr>
    <w:rPr>
      <w:b/>
      <w:caps/>
    </w:rPr>
  </w:style>
  <w:style w:type="paragraph" w:styleId="Heading2">
    <w:name w:val="heading 2"/>
    <w:basedOn w:val="Normal"/>
    <w:link w:val="Heading2Char"/>
    <w:uiPriority w:val="2"/>
    <w:qFormat/>
    <w:rsid w:val="00EE302F"/>
    <w:pPr>
      <w:numPr>
        <w:ilvl w:val="1"/>
        <w:numId w:val="2"/>
      </w:numPr>
      <w:spacing w:before="120" w:after="120"/>
      <w:outlineLvl w:val="1"/>
    </w:pPr>
  </w:style>
  <w:style w:type="paragraph" w:styleId="Heading3">
    <w:name w:val="heading 3"/>
    <w:basedOn w:val="Normal"/>
    <w:link w:val="Heading3Char"/>
    <w:uiPriority w:val="4"/>
    <w:qFormat/>
    <w:rsid w:val="00EE302F"/>
    <w:pPr>
      <w:numPr>
        <w:ilvl w:val="2"/>
        <w:numId w:val="2"/>
      </w:numPr>
      <w:spacing w:before="120" w:after="120"/>
      <w:outlineLvl w:val="2"/>
    </w:pPr>
  </w:style>
  <w:style w:type="paragraph" w:styleId="Heading4">
    <w:name w:val="heading 4"/>
    <w:basedOn w:val="Normal"/>
    <w:link w:val="Heading4Char"/>
    <w:uiPriority w:val="6"/>
    <w:qFormat/>
    <w:rsid w:val="00EE302F"/>
    <w:pPr>
      <w:numPr>
        <w:ilvl w:val="3"/>
        <w:numId w:val="2"/>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EE302F"/>
    <w:pPr>
      <w:numPr>
        <w:ilvl w:val="4"/>
        <w:numId w:val="2"/>
      </w:numPr>
      <w:spacing w:before="120" w:after="120"/>
      <w:outlineLvl w:val="4"/>
    </w:pPr>
    <w:rPr>
      <w:rFonts w:eastAsiaTheme="majorEastAsia" w:cstheme="majorBidi"/>
    </w:rPr>
  </w:style>
  <w:style w:type="paragraph" w:styleId="Heading6">
    <w:name w:val="heading 6"/>
    <w:basedOn w:val="Normal"/>
    <w:link w:val="Heading6Char"/>
    <w:uiPriority w:val="10"/>
    <w:qFormat/>
    <w:rsid w:val="00EE302F"/>
    <w:pPr>
      <w:numPr>
        <w:ilvl w:val="5"/>
        <w:numId w:val="2"/>
      </w:numPr>
      <w:spacing w:before="120" w:after="120"/>
      <w:outlineLvl w:val="5"/>
    </w:pPr>
    <w:rPr>
      <w:rFonts w:eastAsiaTheme="majorEastAsia" w:cstheme="majorBidi"/>
    </w:rPr>
  </w:style>
  <w:style w:type="paragraph" w:styleId="Heading7">
    <w:name w:val="heading 7"/>
    <w:basedOn w:val="Normal"/>
    <w:link w:val="Heading7Char"/>
    <w:uiPriority w:val="12"/>
    <w:qFormat/>
    <w:rsid w:val="00EE302F"/>
    <w:pPr>
      <w:numPr>
        <w:ilvl w:val="6"/>
        <w:numId w:val="2"/>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2"/>
      </w:numPr>
      <w:spacing w:after="120"/>
      <w:outlineLvl w:val="7"/>
    </w:pPr>
    <w:rPr>
      <w:rFonts w:eastAsiaTheme="majorEastAsia" w:cstheme="majorBidi"/>
      <w:szCs w:val="21"/>
    </w:rPr>
  </w:style>
  <w:style w:type="paragraph" w:styleId="Heading9">
    <w:name w:val="heading 9"/>
    <w:basedOn w:val="Normal"/>
    <w:link w:val="Heading9Char"/>
    <w:uiPriority w:val="16"/>
    <w:qFormat/>
    <w:rsid w:val="00EE302F"/>
    <w:pPr>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02F"/>
    <w:rPr>
      <w:rFonts w:ascii="Arial" w:eastAsia="Times New Roman" w:hAnsi="Arial" w:cs="Times New Roman"/>
      <w:b/>
      <w:caps/>
      <w:szCs w:val="24"/>
    </w:rPr>
  </w:style>
  <w:style w:type="paragraph" w:styleId="Header">
    <w:name w:val="header"/>
    <w:basedOn w:val="Normal"/>
    <w:link w:val="HeaderChar"/>
    <w:semiHidden/>
    <w:qFormat/>
    <w:rsid w:val="00EE302F"/>
    <w:pPr>
      <w:tabs>
        <w:tab w:val="center" w:pos="4680"/>
        <w:tab w:val="right" w:pos="9360"/>
      </w:tabs>
    </w:pPr>
  </w:style>
  <w:style w:type="character" w:customStyle="1" w:styleId="HeaderChar">
    <w:name w:val="Header Char"/>
    <w:basedOn w:val="DefaultParagraphFont"/>
    <w:link w:val="Header"/>
    <w:semiHidden/>
    <w:rsid w:val="00EE302F"/>
    <w:rPr>
      <w:rFonts w:ascii="Arial" w:eastAsia="Times New Roman" w:hAnsi="Arial" w:cs="Times New Roman"/>
      <w:szCs w:val="24"/>
    </w:rPr>
  </w:style>
  <w:style w:type="paragraph" w:styleId="Title">
    <w:name w:val="Title"/>
    <w:basedOn w:val="Normal"/>
    <w:link w:val="TitleChar"/>
    <w:qFormat/>
    <w:rsid w:val="004843E9"/>
    <w:pPr>
      <w:tabs>
        <w:tab w:val="clear" w:pos="7320"/>
      </w:tabs>
      <w:ind w:left="0"/>
      <w:jc w:val="center"/>
    </w:pPr>
    <w:rPr>
      <w:b/>
    </w:rPr>
  </w:style>
  <w:style w:type="character" w:customStyle="1" w:styleId="TitleChar">
    <w:name w:val="Title Char"/>
    <w:basedOn w:val="DefaultParagraphFont"/>
    <w:link w:val="Title"/>
    <w:rsid w:val="004843E9"/>
    <w:rPr>
      <w:rFonts w:ascii="Arial" w:eastAsia="Times New Roman" w:hAnsi="Arial" w:cs="Times New Roman"/>
      <w:b/>
      <w:szCs w:val="24"/>
    </w:rPr>
  </w:style>
  <w:style w:type="paragraph" w:styleId="ListParagraph">
    <w:name w:val="List Paragraph"/>
    <w:basedOn w:val="Normal"/>
    <w:uiPriority w:val="34"/>
    <w:qFormat/>
    <w:rsid w:val="00EE302F"/>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EE302F"/>
    <w:rPr>
      <w:rFonts w:ascii="Arial" w:eastAsia="Times New Roman" w:hAnsi="Arial" w:cs="Times New Roman"/>
      <w:szCs w:val="24"/>
    </w:rPr>
  </w:style>
  <w:style w:type="character" w:customStyle="1" w:styleId="Heading3Char">
    <w:name w:val="Heading 3 Char"/>
    <w:basedOn w:val="DefaultParagraphFont"/>
    <w:link w:val="Heading3"/>
    <w:uiPriority w:val="4"/>
    <w:rsid w:val="00EE302F"/>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EE302F"/>
    <w:rPr>
      <w:b/>
      <w:bCs/>
    </w:rPr>
  </w:style>
  <w:style w:type="character" w:customStyle="1" w:styleId="Heading4Char">
    <w:name w:val="Heading 4 Char"/>
    <w:basedOn w:val="DefaultParagraphFont"/>
    <w:link w:val="Heading4"/>
    <w:uiPriority w:val="6"/>
    <w:rsid w:val="00EE302F"/>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EE302F"/>
    <w:rPr>
      <w:rFonts w:ascii="Arial" w:eastAsiaTheme="majorEastAsia" w:hAnsi="Arial" w:cstheme="majorBidi"/>
      <w:szCs w:val="24"/>
    </w:rPr>
  </w:style>
  <w:style w:type="character" w:customStyle="1" w:styleId="Heading5Char">
    <w:name w:val="Heading 5 Char"/>
    <w:basedOn w:val="DefaultParagraphFont"/>
    <w:link w:val="Heading5"/>
    <w:uiPriority w:val="8"/>
    <w:rsid w:val="00EE302F"/>
    <w:rPr>
      <w:rFonts w:ascii="Arial" w:eastAsiaTheme="majorEastAsia" w:hAnsi="Arial" w:cstheme="majorBidi"/>
      <w:szCs w:val="24"/>
    </w:rPr>
  </w:style>
  <w:style w:type="character" w:customStyle="1" w:styleId="Heading7Char">
    <w:name w:val="Heading 7 Char"/>
    <w:basedOn w:val="DefaultParagraphFont"/>
    <w:link w:val="Heading7"/>
    <w:uiPriority w:val="12"/>
    <w:rsid w:val="00EE302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404EF9"/>
    <w:pPr>
      <w:ind w:left="720"/>
    </w:pPr>
  </w:style>
  <w:style w:type="character" w:customStyle="1" w:styleId="BodyText2Char">
    <w:name w:val="Body Text 2 Char"/>
    <w:basedOn w:val="DefaultParagraphFont"/>
    <w:link w:val="BodyText2"/>
    <w:uiPriority w:val="3"/>
    <w:rsid w:val="003F11F2"/>
    <w:rPr>
      <w:rFonts w:ascii="Arial" w:eastAsia="Times New Roman" w:hAnsi="Arial" w:cs="Times New Roman"/>
      <w:szCs w:val="24"/>
    </w:rPr>
  </w:style>
  <w:style w:type="paragraph" w:styleId="BodyText3">
    <w:name w:val="Body Text 3"/>
    <w:basedOn w:val="Normal"/>
    <w:link w:val="BodyText3Char"/>
    <w:uiPriority w:val="5"/>
    <w:rsid w:val="00404EF9"/>
    <w:pPr>
      <w:spacing w:after="120"/>
      <w:ind w:left="1080"/>
    </w:pPr>
    <w:rPr>
      <w:szCs w:val="16"/>
    </w:rPr>
  </w:style>
  <w:style w:type="character" w:customStyle="1" w:styleId="BodyText3Char">
    <w:name w:val="Body Text 3 Char"/>
    <w:basedOn w:val="DefaultParagraphFont"/>
    <w:link w:val="BodyText3"/>
    <w:uiPriority w:val="5"/>
    <w:rsid w:val="00404EF9"/>
    <w:rPr>
      <w:rFonts w:ascii="Arial" w:eastAsia="Times New Roman" w:hAnsi="Arial" w:cs="Times New Roman"/>
      <w:szCs w:val="16"/>
    </w:rPr>
  </w:style>
  <w:style w:type="paragraph" w:customStyle="1" w:styleId="BodyText4">
    <w:name w:val="Body Text 4"/>
    <w:basedOn w:val="Normal"/>
    <w:uiPriority w:val="7"/>
    <w:qFormat/>
    <w:rsid w:val="00EE302F"/>
    <w:pPr>
      <w:spacing w:after="120"/>
      <w:ind w:left="1440"/>
    </w:pPr>
  </w:style>
  <w:style w:type="paragraph" w:customStyle="1" w:styleId="BodyText5">
    <w:name w:val="Body Text 5"/>
    <w:basedOn w:val="Normal"/>
    <w:uiPriority w:val="9"/>
    <w:qFormat/>
    <w:rsid w:val="00EE302F"/>
    <w:pPr>
      <w:spacing w:after="120"/>
      <w:ind w:left="1800"/>
    </w:pPr>
  </w:style>
  <w:style w:type="paragraph" w:customStyle="1" w:styleId="BodyText6">
    <w:name w:val="Body Text 6"/>
    <w:basedOn w:val="Normal"/>
    <w:uiPriority w:val="11"/>
    <w:qFormat/>
    <w:rsid w:val="00EE302F"/>
    <w:pPr>
      <w:spacing w:after="120"/>
      <w:ind w:left="2160"/>
    </w:pPr>
  </w:style>
  <w:style w:type="paragraph" w:customStyle="1" w:styleId="BodyText7">
    <w:name w:val="Body Text 7"/>
    <w:basedOn w:val="Heading7"/>
    <w:uiPriority w:val="13"/>
    <w:qFormat/>
    <w:rsid w:val="00EE302F"/>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EE302F"/>
    <w:rPr>
      <w:rFonts w:ascii="Arial" w:eastAsia="Times New Roman" w:hAnsi="Arial" w:cs="Times New Roman"/>
      <w:szCs w:val="24"/>
    </w:rPr>
  </w:style>
  <w:style w:type="character" w:styleId="SubtleReference">
    <w:name w:val="Subtle Reference"/>
    <w:basedOn w:val="DefaultParagraphFont"/>
    <w:uiPriority w:val="31"/>
    <w:semiHidden/>
    <w:qFormat/>
    <w:rsid w:val="00EE302F"/>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EE302F"/>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EE302F"/>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table" w:customStyle="1" w:styleId="TableGrid1">
    <w:name w:val="Table Grid1"/>
    <w:basedOn w:val="TableNormal"/>
    <w:next w:val="TableGrid"/>
    <w:rsid w:val="00400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7B8"/>
    <w:rPr>
      <w:rFonts w:ascii="Tahoma" w:hAnsi="Tahoma" w:cs="Tahoma"/>
      <w:sz w:val="16"/>
      <w:szCs w:val="16"/>
    </w:rPr>
  </w:style>
  <w:style w:type="character" w:customStyle="1" w:styleId="BalloonTextChar">
    <w:name w:val="Balloon Text Char"/>
    <w:basedOn w:val="DefaultParagraphFont"/>
    <w:link w:val="BalloonText"/>
    <w:uiPriority w:val="99"/>
    <w:semiHidden/>
    <w:rsid w:val="005177B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02F"/>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EE302F"/>
    <w:pPr>
      <w:numPr>
        <w:numId w:val="2"/>
      </w:numPr>
      <w:tabs>
        <w:tab w:val="clear" w:pos="7320"/>
      </w:tabs>
      <w:spacing w:before="120" w:after="120"/>
      <w:outlineLvl w:val="0"/>
    </w:pPr>
    <w:rPr>
      <w:b/>
      <w:caps/>
    </w:rPr>
  </w:style>
  <w:style w:type="paragraph" w:styleId="Heading2">
    <w:name w:val="heading 2"/>
    <w:basedOn w:val="Normal"/>
    <w:link w:val="Heading2Char"/>
    <w:uiPriority w:val="2"/>
    <w:qFormat/>
    <w:rsid w:val="00EE302F"/>
    <w:pPr>
      <w:numPr>
        <w:ilvl w:val="1"/>
        <w:numId w:val="2"/>
      </w:numPr>
      <w:spacing w:before="120" w:after="120"/>
      <w:outlineLvl w:val="1"/>
    </w:pPr>
  </w:style>
  <w:style w:type="paragraph" w:styleId="Heading3">
    <w:name w:val="heading 3"/>
    <w:basedOn w:val="Normal"/>
    <w:link w:val="Heading3Char"/>
    <w:uiPriority w:val="4"/>
    <w:qFormat/>
    <w:rsid w:val="00EE302F"/>
    <w:pPr>
      <w:numPr>
        <w:ilvl w:val="2"/>
        <w:numId w:val="2"/>
      </w:numPr>
      <w:spacing w:before="120" w:after="120"/>
      <w:outlineLvl w:val="2"/>
    </w:pPr>
  </w:style>
  <w:style w:type="paragraph" w:styleId="Heading4">
    <w:name w:val="heading 4"/>
    <w:basedOn w:val="Normal"/>
    <w:link w:val="Heading4Char"/>
    <w:uiPriority w:val="6"/>
    <w:qFormat/>
    <w:rsid w:val="00EE302F"/>
    <w:pPr>
      <w:numPr>
        <w:ilvl w:val="3"/>
        <w:numId w:val="2"/>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EE302F"/>
    <w:pPr>
      <w:numPr>
        <w:ilvl w:val="4"/>
        <w:numId w:val="2"/>
      </w:numPr>
      <w:spacing w:before="120" w:after="120"/>
      <w:outlineLvl w:val="4"/>
    </w:pPr>
    <w:rPr>
      <w:rFonts w:eastAsiaTheme="majorEastAsia" w:cstheme="majorBidi"/>
    </w:rPr>
  </w:style>
  <w:style w:type="paragraph" w:styleId="Heading6">
    <w:name w:val="heading 6"/>
    <w:basedOn w:val="Normal"/>
    <w:link w:val="Heading6Char"/>
    <w:uiPriority w:val="10"/>
    <w:qFormat/>
    <w:rsid w:val="00EE302F"/>
    <w:pPr>
      <w:numPr>
        <w:ilvl w:val="5"/>
        <w:numId w:val="2"/>
      </w:numPr>
      <w:spacing w:before="120" w:after="120"/>
      <w:outlineLvl w:val="5"/>
    </w:pPr>
    <w:rPr>
      <w:rFonts w:eastAsiaTheme="majorEastAsia" w:cstheme="majorBidi"/>
    </w:rPr>
  </w:style>
  <w:style w:type="paragraph" w:styleId="Heading7">
    <w:name w:val="heading 7"/>
    <w:basedOn w:val="Normal"/>
    <w:link w:val="Heading7Char"/>
    <w:uiPriority w:val="12"/>
    <w:qFormat/>
    <w:rsid w:val="00EE302F"/>
    <w:pPr>
      <w:numPr>
        <w:ilvl w:val="6"/>
        <w:numId w:val="2"/>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2"/>
      </w:numPr>
      <w:spacing w:after="120"/>
      <w:outlineLvl w:val="7"/>
    </w:pPr>
    <w:rPr>
      <w:rFonts w:eastAsiaTheme="majorEastAsia" w:cstheme="majorBidi"/>
      <w:szCs w:val="21"/>
    </w:rPr>
  </w:style>
  <w:style w:type="paragraph" w:styleId="Heading9">
    <w:name w:val="heading 9"/>
    <w:basedOn w:val="Normal"/>
    <w:link w:val="Heading9Char"/>
    <w:uiPriority w:val="16"/>
    <w:qFormat/>
    <w:rsid w:val="00EE302F"/>
    <w:pPr>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02F"/>
    <w:rPr>
      <w:rFonts w:ascii="Arial" w:eastAsia="Times New Roman" w:hAnsi="Arial" w:cs="Times New Roman"/>
      <w:b/>
      <w:caps/>
      <w:szCs w:val="24"/>
    </w:rPr>
  </w:style>
  <w:style w:type="paragraph" w:styleId="Header">
    <w:name w:val="header"/>
    <w:basedOn w:val="Normal"/>
    <w:link w:val="HeaderChar"/>
    <w:semiHidden/>
    <w:qFormat/>
    <w:rsid w:val="00EE302F"/>
    <w:pPr>
      <w:tabs>
        <w:tab w:val="center" w:pos="4680"/>
        <w:tab w:val="right" w:pos="9360"/>
      </w:tabs>
    </w:pPr>
  </w:style>
  <w:style w:type="character" w:customStyle="1" w:styleId="HeaderChar">
    <w:name w:val="Header Char"/>
    <w:basedOn w:val="DefaultParagraphFont"/>
    <w:link w:val="Header"/>
    <w:semiHidden/>
    <w:rsid w:val="00EE302F"/>
    <w:rPr>
      <w:rFonts w:ascii="Arial" w:eastAsia="Times New Roman" w:hAnsi="Arial" w:cs="Times New Roman"/>
      <w:szCs w:val="24"/>
    </w:rPr>
  </w:style>
  <w:style w:type="paragraph" w:styleId="Title">
    <w:name w:val="Title"/>
    <w:basedOn w:val="Normal"/>
    <w:link w:val="TitleChar"/>
    <w:qFormat/>
    <w:rsid w:val="004843E9"/>
    <w:pPr>
      <w:tabs>
        <w:tab w:val="clear" w:pos="7320"/>
      </w:tabs>
      <w:ind w:left="0"/>
      <w:jc w:val="center"/>
    </w:pPr>
    <w:rPr>
      <w:b/>
    </w:rPr>
  </w:style>
  <w:style w:type="character" w:customStyle="1" w:styleId="TitleChar">
    <w:name w:val="Title Char"/>
    <w:basedOn w:val="DefaultParagraphFont"/>
    <w:link w:val="Title"/>
    <w:rsid w:val="004843E9"/>
    <w:rPr>
      <w:rFonts w:ascii="Arial" w:eastAsia="Times New Roman" w:hAnsi="Arial" w:cs="Times New Roman"/>
      <w:b/>
      <w:szCs w:val="24"/>
    </w:rPr>
  </w:style>
  <w:style w:type="paragraph" w:styleId="ListParagraph">
    <w:name w:val="List Paragraph"/>
    <w:basedOn w:val="Normal"/>
    <w:uiPriority w:val="34"/>
    <w:qFormat/>
    <w:rsid w:val="00EE302F"/>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EE302F"/>
    <w:rPr>
      <w:rFonts w:ascii="Arial" w:eastAsia="Times New Roman" w:hAnsi="Arial" w:cs="Times New Roman"/>
      <w:szCs w:val="24"/>
    </w:rPr>
  </w:style>
  <w:style w:type="character" w:customStyle="1" w:styleId="Heading3Char">
    <w:name w:val="Heading 3 Char"/>
    <w:basedOn w:val="DefaultParagraphFont"/>
    <w:link w:val="Heading3"/>
    <w:uiPriority w:val="4"/>
    <w:rsid w:val="00EE302F"/>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EE302F"/>
    <w:rPr>
      <w:b/>
      <w:bCs/>
    </w:rPr>
  </w:style>
  <w:style w:type="character" w:customStyle="1" w:styleId="Heading4Char">
    <w:name w:val="Heading 4 Char"/>
    <w:basedOn w:val="DefaultParagraphFont"/>
    <w:link w:val="Heading4"/>
    <w:uiPriority w:val="6"/>
    <w:rsid w:val="00EE302F"/>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EE302F"/>
    <w:rPr>
      <w:rFonts w:ascii="Arial" w:eastAsiaTheme="majorEastAsia" w:hAnsi="Arial" w:cstheme="majorBidi"/>
      <w:szCs w:val="24"/>
    </w:rPr>
  </w:style>
  <w:style w:type="character" w:customStyle="1" w:styleId="Heading5Char">
    <w:name w:val="Heading 5 Char"/>
    <w:basedOn w:val="DefaultParagraphFont"/>
    <w:link w:val="Heading5"/>
    <w:uiPriority w:val="8"/>
    <w:rsid w:val="00EE302F"/>
    <w:rPr>
      <w:rFonts w:ascii="Arial" w:eastAsiaTheme="majorEastAsia" w:hAnsi="Arial" w:cstheme="majorBidi"/>
      <w:szCs w:val="24"/>
    </w:rPr>
  </w:style>
  <w:style w:type="character" w:customStyle="1" w:styleId="Heading7Char">
    <w:name w:val="Heading 7 Char"/>
    <w:basedOn w:val="DefaultParagraphFont"/>
    <w:link w:val="Heading7"/>
    <w:uiPriority w:val="12"/>
    <w:rsid w:val="00EE302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404EF9"/>
    <w:pPr>
      <w:ind w:left="720"/>
    </w:pPr>
  </w:style>
  <w:style w:type="character" w:customStyle="1" w:styleId="BodyText2Char">
    <w:name w:val="Body Text 2 Char"/>
    <w:basedOn w:val="DefaultParagraphFont"/>
    <w:link w:val="BodyText2"/>
    <w:uiPriority w:val="3"/>
    <w:rsid w:val="003F11F2"/>
    <w:rPr>
      <w:rFonts w:ascii="Arial" w:eastAsia="Times New Roman" w:hAnsi="Arial" w:cs="Times New Roman"/>
      <w:szCs w:val="24"/>
    </w:rPr>
  </w:style>
  <w:style w:type="paragraph" w:styleId="BodyText3">
    <w:name w:val="Body Text 3"/>
    <w:basedOn w:val="Normal"/>
    <w:link w:val="BodyText3Char"/>
    <w:uiPriority w:val="5"/>
    <w:rsid w:val="00404EF9"/>
    <w:pPr>
      <w:spacing w:after="120"/>
      <w:ind w:left="1080"/>
    </w:pPr>
    <w:rPr>
      <w:szCs w:val="16"/>
    </w:rPr>
  </w:style>
  <w:style w:type="character" w:customStyle="1" w:styleId="BodyText3Char">
    <w:name w:val="Body Text 3 Char"/>
    <w:basedOn w:val="DefaultParagraphFont"/>
    <w:link w:val="BodyText3"/>
    <w:uiPriority w:val="5"/>
    <w:rsid w:val="00404EF9"/>
    <w:rPr>
      <w:rFonts w:ascii="Arial" w:eastAsia="Times New Roman" w:hAnsi="Arial" w:cs="Times New Roman"/>
      <w:szCs w:val="16"/>
    </w:rPr>
  </w:style>
  <w:style w:type="paragraph" w:customStyle="1" w:styleId="BodyText4">
    <w:name w:val="Body Text 4"/>
    <w:basedOn w:val="Normal"/>
    <w:uiPriority w:val="7"/>
    <w:qFormat/>
    <w:rsid w:val="00EE302F"/>
    <w:pPr>
      <w:spacing w:after="120"/>
      <w:ind w:left="1440"/>
    </w:pPr>
  </w:style>
  <w:style w:type="paragraph" w:customStyle="1" w:styleId="BodyText5">
    <w:name w:val="Body Text 5"/>
    <w:basedOn w:val="Normal"/>
    <w:uiPriority w:val="9"/>
    <w:qFormat/>
    <w:rsid w:val="00EE302F"/>
    <w:pPr>
      <w:spacing w:after="120"/>
      <w:ind w:left="1800"/>
    </w:pPr>
  </w:style>
  <w:style w:type="paragraph" w:customStyle="1" w:styleId="BodyText6">
    <w:name w:val="Body Text 6"/>
    <w:basedOn w:val="Normal"/>
    <w:uiPriority w:val="11"/>
    <w:qFormat/>
    <w:rsid w:val="00EE302F"/>
    <w:pPr>
      <w:spacing w:after="120"/>
      <w:ind w:left="2160"/>
    </w:pPr>
  </w:style>
  <w:style w:type="paragraph" w:customStyle="1" w:styleId="BodyText7">
    <w:name w:val="Body Text 7"/>
    <w:basedOn w:val="Heading7"/>
    <w:uiPriority w:val="13"/>
    <w:qFormat/>
    <w:rsid w:val="00EE302F"/>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EE302F"/>
    <w:rPr>
      <w:rFonts w:ascii="Arial" w:eastAsia="Times New Roman" w:hAnsi="Arial" w:cs="Times New Roman"/>
      <w:szCs w:val="24"/>
    </w:rPr>
  </w:style>
  <w:style w:type="character" w:styleId="SubtleReference">
    <w:name w:val="Subtle Reference"/>
    <w:basedOn w:val="DefaultParagraphFont"/>
    <w:uiPriority w:val="31"/>
    <w:semiHidden/>
    <w:qFormat/>
    <w:rsid w:val="00EE302F"/>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EE302F"/>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EE302F"/>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table" w:customStyle="1" w:styleId="TableGrid1">
    <w:name w:val="Table Grid1"/>
    <w:basedOn w:val="TableNormal"/>
    <w:next w:val="TableGrid"/>
    <w:rsid w:val="00400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7B8"/>
    <w:rPr>
      <w:rFonts w:ascii="Tahoma" w:hAnsi="Tahoma" w:cs="Tahoma"/>
      <w:sz w:val="16"/>
      <w:szCs w:val="16"/>
    </w:rPr>
  </w:style>
  <w:style w:type="character" w:customStyle="1" w:styleId="BalloonTextChar">
    <w:name w:val="Balloon Text Char"/>
    <w:basedOn w:val="DefaultParagraphFont"/>
    <w:link w:val="BalloonText"/>
    <w:uiPriority w:val="99"/>
    <w:semiHidden/>
    <w:rsid w:val="005177B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06617">
      <w:bodyDiv w:val="1"/>
      <w:marLeft w:val="0"/>
      <w:marRight w:val="0"/>
      <w:marTop w:val="0"/>
      <w:marBottom w:val="0"/>
      <w:divBdr>
        <w:top w:val="none" w:sz="0" w:space="0" w:color="auto"/>
        <w:left w:val="none" w:sz="0" w:space="0" w:color="auto"/>
        <w:bottom w:val="none" w:sz="0" w:space="0" w:color="auto"/>
        <w:right w:val="none" w:sz="0" w:space="0" w:color="auto"/>
      </w:divBdr>
    </w:div>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Lab\Policies%20and%20Procedures\Policy%20Manager%20Formatted%20Procedures\Laboratory%20Procedur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A1C9015F840BB9263D1A1DA3FB38C"/>
        <w:category>
          <w:name w:val="General"/>
          <w:gallery w:val="placeholder"/>
        </w:category>
        <w:types>
          <w:type w:val="bbPlcHdr"/>
        </w:types>
        <w:behaviors>
          <w:behavior w:val="content"/>
        </w:behaviors>
        <w:guid w:val="{3CF1BBFA-DCD3-4116-8309-D01D30F1A72D}"/>
      </w:docPartPr>
      <w:docPartBody>
        <w:p w:rsidR="003D1B06" w:rsidRDefault="003D1B06">
          <w:pPr>
            <w:pStyle w:val="6D4A1C9015F840BB9263D1A1DA3FB38C"/>
          </w:pPr>
          <w:r w:rsidRPr="007132AF">
            <w:rPr>
              <w:rStyle w:val="PlaceholderText"/>
            </w:rPr>
            <w:t>Click here to enter text.</w:t>
          </w:r>
        </w:p>
      </w:docPartBody>
    </w:docPart>
    <w:docPart>
      <w:docPartPr>
        <w:name w:val="C9F3ADBC56C6498C9C463B87BA6B9C33"/>
        <w:category>
          <w:name w:val="General"/>
          <w:gallery w:val="placeholder"/>
        </w:category>
        <w:types>
          <w:type w:val="bbPlcHdr"/>
        </w:types>
        <w:behaviors>
          <w:behavior w:val="content"/>
        </w:behaviors>
        <w:guid w:val="{B55503C8-ED25-4718-BF92-F1526443DD7B}"/>
      </w:docPartPr>
      <w:docPartBody>
        <w:p w:rsidR="003D1B06" w:rsidRDefault="003D1B06">
          <w:pPr>
            <w:pStyle w:val="C9F3ADBC56C6498C9C463B87BA6B9C33"/>
          </w:pPr>
          <w:r w:rsidRPr="002A1160">
            <w:t xml:space="preserve"> </w:t>
          </w:r>
        </w:p>
      </w:docPartBody>
    </w:docPart>
    <w:docPart>
      <w:docPartPr>
        <w:name w:val="270C0367E316429EA42CAC603935F63D"/>
        <w:category>
          <w:name w:val="General"/>
          <w:gallery w:val="placeholder"/>
        </w:category>
        <w:types>
          <w:type w:val="bbPlcHdr"/>
        </w:types>
        <w:behaviors>
          <w:behavior w:val="content"/>
        </w:behaviors>
        <w:guid w:val="{C5B50426-FFB5-4D63-9E7C-6B6188C47A24}"/>
      </w:docPartPr>
      <w:docPartBody>
        <w:p w:rsidR="003D1B06" w:rsidRDefault="003D1B06">
          <w:pPr>
            <w:pStyle w:val="270C0367E316429EA42CAC603935F63D"/>
          </w:pPr>
          <w:r w:rsidRPr="00871139">
            <w:rPr>
              <w:b/>
              <w:sz w:val="18"/>
            </w:rPr>
            <w:t>Central Coast Service Area North: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06"/>
    <w:rsid w:val="003D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4A1C9015F840BB9263D1A1DA3FB38C">
    <w:name w:val="6D4A1C9015F840BB9263D1A1DA3FB38C"/>
  </w:style>
  <w:style w:type="paragraph" w:customStyle="1" w:styleId="C9F3ADBC56C6498C9C463B87BA6B9C33">
    <w:name w:val="C9F3ADBC56C6498C9C463B87BA6B9C33"/>
  </w:style>
  <w:style w:type="paragraph" w:customStyle="1" w:styleId="270C0367E316429EA42CAC603935F63D">
    <w:name w:val="270C0367E316429EA42CAC603935F63D"/>
  </w:style>
  <w:style w:type="paragraph" w:customStyle="1" w:styleId="5BC78D2B29C74F4A949A0DCD024B4DEF">
    <w:name w:val="5BC78D2B29C74F4A949A0DCD024B4DEF"/>
  </w:style>
  <w:style w:type="paragraph" w:customStyle="1" w:styleId="D84ED82B64894B8F996BCD556800D1E0">
    <w:name w:val="D84ED82B64894B8F996BCD556800D1E0"/>
  </w:style>
  <w:style w:type="paragraph" w:customStyle="1" w:styleId="8707F88937144DA992A3070CD355FCC8">
    <w:name w:val="8707F88937144DA992A3070CD355FCC8"/>
  </w:style>
  <w:style w:type="paragraph" w:customStyle="1" w:styleId="EE2C954F77EA426EAF93514F2547DA12">
    <w:name w:val="EE2C954F77EA426EAF93514F2547DA12"/>
  </w:style>
  <w:style w:type="paragraph" w:customStyle="1" w:styleId="72D4A460A5B045FA80E558E6C25C4D0F">
    <w:name w:val="72D4A460A5B045FA80E558E6C25C4D0F"/>
  </w:style>
  <w:style w:type="paragraph" w:customStyle="1" w:styleId="2AF9FA3832444EADB0AB6EF3FB9A630E">
    <w:name w:val="2AF9FA3832444EADB0AB6EF3FB9A630E"/>
  </w:style>
  <w:style w:type="paragraph" w:customStyle="1" w:styleId="79C95F2D21654BC282400DA69666D488">
    <w:name w:val="79C95F2D21654BC282400DA69666D488"/>
  </w:style>
  <w:style w:type="paragraph" w:customStyle="1" w:styleId="C75AE70F60994C06A819B5D60F37B567">
    <w:name w:val="C75AE70F60994C06A819B5D60F37B567"/>
  </w:style>
  <w:style w:type="paragraph" w:customStyle="1" w:styleId="AD88A29F321B4B52AF148C5CC1F7F8E8">
    <w:name w:val="AD88A29F321B4B52AF148C5CC1F7F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4A1C9015F840BB9263D1A1DA3FB38C">
    <w:name w:val="6D4A1C9015F840BB9263D1A1DA3FB38C"/>
  </w:style>
  <w:style w:type="paragraph" w:customStyle="1" w:styleId="C9F3ADBC56C6498C9C463B87BA6B9C33">
    <w:name w:val="C9F3ADBC56C6498C9C463B87BA6B9C33"/>
  </w:style>
  <w:style w:type="paragraph" w:customStyle="1" w:styleId="270C0367E316429EA42CAC603935F63D">
    <w:name w:val="270C0367E316429EA42CAC603935F63D"/>
  </w:style>
  <w:style w:type="paragraph" w:customStyle="1" w:styleId="5BC78D2B29C74F4A949A0DCD024B4DEF">
    <w:name w:val="5BC78D2B29C74F4A949A0DCD024B4DEF"/>
  </w:style>
  <w:style w:type="paragraph" w:customStyle="1" w:styleId="D84ED82B64894B8F996BCD556800D1E0">
    <w:name w:val="D84ED82B64894B8F996BCD556800D1E0"/>
  </w:style>
  <w:style w:type="paragraph" w:customStyle="1" w:styleId="8707F88937144DA992A3070CD355FCC8">
    <w:name w:val="8707F88937144DA992A3070CD355FCC8"/>
  </w:style>
  <w:style w:type="paragraph" w:customStyle="1" w:styleId="EE2C954F77EA426EAF93514F2547DA12">
    <w:name w:val="EE2C954F77EA426EAF93514F2547DA12"/>
  </w:style>
  <w:style w:type="paragraph" w:customStyle="1" w:styleId="72D4A460A5B045FA80E558E6C25C4D0F">
    <w:name w:val="72D4A460A5B045FA80E558E6C25C4D0F"/>
  </w:style>
  <w:style w:type="paragraph" w:customStyle="1" w:styleId="2AF9FA3832444EADB0AB6EF3FB9A630E">
    <w:name w:val="2AF9FA3832444EADB0AB6EF3FB9A630E"/>
  </w:style>
  <w:style w:type="paragraph" w:customStyle="1" w:styleId="79C95F2D21654BC282400DA69666D488">
    <w:name w:val="79C95F2D21654BC282400DA69666D488"/>
  </w:style>
  <w:style w:type="paragraph" w:customStyle="1" w:styleId="C75AE70F60994C06A819B5D60F37B567">
    <w:name w:val="C75AE70F60994C06A819B5D60F37B567"/>
  </w:style>
  <w:style w:type="paragraph" w:customStyle="1" w:styleId="AD88A29F321B4B52AF148C5CC1F7F8E8">
    <w:name w:val="AD88A29F321B4B52AF148C5CC1F7F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35A1A-68A3-4F68-BB94-621487AE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Laboratory Procedure Template.dotx</Template>
  <TotalTime>0</TotalTime>
  <Pages>7</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2018-10-19T23:26:00Z</dcterms:created>
  <dcterms:modified xsi:type="dcterms:W3CDTF">2020-03-02T17:01:00Z</dcterms:modified>
</cp:coreProperties>
</file>