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D81351" w:rsidRPr="00C0676E" w:rsidTr="00C0676E">
        <w:tc>
          <w:tcPr>
            <w:tcW w:w="1795" w:type="dxa"/>
            <w:shd w:val="clear" w:color="auto" w:fill="FFFF00"/>
          </w:tcPr>
          <w:p w:rsidR="00D81351" w:rsidRPr="00160843" w:rsidRDefault="00D81351">
            <w:pPr>
              <w:rPr>
                <w:rFonts w:cstheme="minorHAnsi"/>
                <w:b/>
                <w:sz w:val="20"/>
                <w:szCs w:val="20"/>
              </w:rPr>
            </w:pPr>
            <w:r w:rsidRPr="00160843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7555" w:type="dxa"/>
            <w:shd w:val="clear" w:color="auto" w:fill="FFFF00"/>
          </w:tcPr>
          <w:p w:rsidR="00D81351" w:rsidRPr="00160843" w:rsidRDefault="00D81351">
            <w:pPr>
              <w:rPr>
                <w:rFonts w:cstheme="minorHAnsi"/>
                <w:b/>
                <w:sz w:val="20"/>
                <w:szCs w:val="20"/>
              </w:rPr>
            </w:pPr>
            <w:r w:rsidRPr="00160843">
              <w:rPr>
                <w:rFonts w:cstheme="minorHAnsi"/>
                <w:b/>
                <w:sz w:val="20"/>
                <w:szCs w:val="20"/>
              </w:rPr>
              <w:t>Review Information</w:t>
            </w:r>
          </w:p>
        </w:tc>
      </w:tr>
      <w:tr w:rsidR="00D81351" w:rsidRPr="00C0676E" w:rsidTr="00C0676E">
        <w:tc>
          <w:tcPr>
            <w:tcW w:w="1795" w:type="dxa"/>
          </w:tcPr>
          <w:p w:rsidR="00D81351" w:rsidRPr="00160843" w:rsidRDefault="00D81351">
            <w:pPr>
              <w:rPr>
                <w:rFonts w:cstheme="minorHAnsi"/>
                <w:b/>
                <w:sz w:val="20"/>
                <w:szCs w:val="20"/>
              </w:rPr>
            </w:pPr>
            <w:r w:rsidRPr="00160843">
              <w:rPr>
                <w:rFonts w:cstheme="minorHAnsi"/>
                <w:b/>
                <w:sz w:val="20"/>
                <w:szCs w:val="20"/>
              </w:rPr>
              <w:t>Why do we have to do this task?</w:t>
            </w:r>
          </w:p>
        </w:tc>
        <w:tc>
          <w:tcPr>
            <w:tcW w:w="7555" w:type="dxa"/>
          </w:tcPr>
          <w:p w:rsidR="00D81351" w:rsidRPr="00C0676E" w:rsidRDefault="001C7DF7">
            <w:pPr>
              <w:rPr>
                <w:rFonts w:cstheme="minorHAnsi"/>
                <w:sz w:val="20"/>
                <w:szCs w:val="20"/>
              </w:rPr>
            </w:pPr>
            <w:r w:rsidRPr="00C0676E">
              <w:rPr>
                <w:rFonts w:cstheme="minorHAnsi"/>
                <w:sz w:val="20"/>
                <w:szCs w:val="20"/>
              </w:rPr>
              <w:t>This is a CAP requirement</w:t>
            </w:r>
          </w:p>
          <w:p w:rsidR="00C0676E" w:rsidRPr="00C0676E" w:rsidRDefault="00C0676E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C0676E">
              <w:rPr>
                <w:rFonts w:cstheme="minorHAnsi"/>
                <w:color w:val="333333"/>
                <w:sz w:val="20"/>
                <w:szCs w:val="20"/>
              </w:rPr>
              <w:t xml:space="preserve">CAP Standards for New Reagent Lot Confirmation of Acceptability requires that new </w:t>
            </w:r>
            <w:r w:rsidR="00C94538">
              <w:rPr>
                <w:rFonts w:cstheme="minorHAnsi"/>
                <w:color w:val="333333"/>
                <w:sz w:val="20"/>
                <w:szCs w:val="20"/>
              </w:rPr>
              <w:t xml:space="preserve">reagent lots and shipments </w:t>
            </w:r>
            <w:proofErr w:type="gramStart"/>
            <w:r w:rsidR="00C94538">
              <w:rPr>
                <w:rFonts w:cstheme="minorHAnsi"/>
                <w:color w:val="333333"/>
                <w:sz w:val="20"/>
                <w:szCs w:val="20"/>
              </w:rPr>
              <w:t xml:space="preserve">be </w:t>
            </w:r>
            <w:r w:rsidRPr="00C0676E">
              <w:rPr>
                <w:rFonts w:cstheme="minorHAnsi"/>
                <w:color w:val="333333"/>
                <w:sz w:val="20"/>
                <w:szCs w:val="20"/>
              </w:rPr>
              <w:t>checked</w:t>
            </w:r>
            <w:proofErr w:type="gramEnd"/>
            <w:r w:rsidRPr="00C0676E">
              <w:rPr>
                <w:rFonts w:cstheme="minorHAnsi"/>
                <w:color w:val="333333"/>
                <w:sz w:val="20"/>
                <w:szCs w:val="20"/>
              </w:rPr>
              <w:t xml:space="preserve"> against previous reagent lots or with suitable reference material before or concurrently with being placed into service.  </w:t>
            </w:r>
          </w:p>
          <w:p w:rsidR="00160843" w:rsidRPr="0079099E" w:rsidRDefault="00160843" w:rsidP="007909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37AA" w:rsidRPr="00C0676E" w:rsidTr="00C0676E">
        <w:tc>
          <w:tcPr>
            <w:tcW w:w="1795" w:type="dxa"/>
          </w:tcPr>
          <w:p w:rsidR="00C637AA" w:rsidRPr="00160843" w:rsidRDefault="00C637AA" w:rsidP="00C637AA">
            <w:pPr>
              <w:rPr>
                <w:rFonts w:cstheme="minorHAnsi"/>
                <w:b/>
                <w:sz w:val="20"/>
                <w:szCs w:val="20"/>
              </w:rPr>
            </w:pPr>
            <w:r w:rsidRPr="00160843">
              <w:rPr>
                <w:rFonts w:cstheme="minorHAnsi"/>
                <w:b/>
                <w:sz w:val="20"/>
                <w:szCs w:val="20"/>
              </w:rPr>
              <w:t>What tests requires Lot-to-Lot comparison</w:t>
            </w:r>
          </w:p>
        </w:tc>
        <w:tc>
          <w:tcPr>
            <w:tcW w:w="7555" w:type="dxa"/>
          </w:tcPr>
          <w:p w:rsidR="00E96662" w:rsidRPr="00E96662" w:rsidRDefault="00E96662" w:rsidP="00C637AA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C94538">
              <w:rPr>
                <w:rFonts w:cstheme="minorHAnsi"/>
                <w:b/>
                <w:color w:val="333333"/>
                <w:sz w:val="20"/>
                <w:szCs w:val="20"/>
                <w:u w:val="single"/>
              </w:rPr>
              <w:t>Lot-to-Lot Comparison</w:t>
            </w:r>
            <w:r w:rsidR="00C94538" w:rsidRPr="00C94538">
              <w:rPr>
                <w:rFonts w:cstheme="minorHAnsi"/>
                <w:b/>
                <w:color w:val="333333"/>
                <w:sz w:val="20"/>
                <w:szCs w:val="20"/>
                <w:u w:val="single"/>
              </w:rPr>
              <w:t xml:space="preserve"> Definition</w:t>
            </w:r>
            <w:r w:rsidRPr="00E96662">
              <w:rPr>
                <w:rFonts w:cstheme="minorHAnsi"/>
                <w:color w:val="333333"/>
                <w:sz w:val="20"/>
                <w:szCs w:val="20"/>
              </w:rPr>
              <w:t xml:space="preserve">:  The comparison of testing results with new lots of lab </w:t>
            </w:r>
            <w:r w:rsidR="0079099E" w:rsidRPr="00E96662">
              <w:rPr>
                <w:rFonts w:cstheme="minorHAnsi"/>
                <w:color w:val="333333"/>
                <w:sz w:val="20"/>
                <w:szCs w:val="20"/>
              </w:rPr>
              <w:t>reagents, which</w:t>
            </w:r>
            <w:r w:rsidR="0079099E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  <w:proofErr w:type="gramStart"/>
            <w:r w:rsidR="0079099E">
              <w:rPr>
                <w:rFonts w:cstheme="minorHAnsi"/>
                <w:color w:val="333333"/>
                <w:sz w:val="20"/>
                <w:szCs w:val="20"/>
              </w:rPr>
              <w:t xml:space="preserve">are </w:t>
            </w:r>
            <w:r w:rsidRPr="005262CC">
              <w:rPr>
                <w:rFonts w:cstheme="minorHAnsi"/>
                <w:i/>
                <w:color w:val="333333"/>
                <w:sz w:val="20"/>
                <w:szCs w:val="20"/>
              </w:rPr>
              <w:t>received</w:t>
            </w:r>
            <w:proofErr w:type="gramEnd"/>
            <w:r w:rsidRPr="005262CC">
              <w:rPr>
                <w:rFonts w:cstheme="minorHAnsi"/>
                <w:i/>
                <w:color w:val="333333"/>
                <w:sz w:val="20"/>
                <w:szCs w:val="20"/>
              </w:rPr>
              <w:t xml:space="preserve"> as a kit</w:t>
            </w:r>
            <w:r w:rsidRPr="00E96662">
              <w:rPr>
                <w:rFonts w:cstheme="minorHAnsi"/>
                <w:color w:val="333333"/>
                <w:sz w:val="20"/>
                <w:szCs w:val="20"/>
              </w:rPr>
              <w:t xml:space="preserve"> (multiple reagents for the testing), to the lot currently in use to ensure that testing results are com</w:t>
            </w:r>
            <w:bookmarkStart w:id="0" w:name="_GoBack"/>
            <w:bookmarkEnd w:id="0"/>
            <w:r w:rsidRPr="00E96662">
              <w:rPr>
                <w:rFonts w:cstheme="minorHAnsi"/>
                <w:color w:val="333333"/>
                <w:sz w:val="20"/>
                <w:szCs w:val="20"/>
              </w:rPr>
              <w:t>parable. </w:t>
            </w:r>
          </w:p>
          <w:p w:rsidR="00C637AA" w:rsidRPr="00E96662" w:rsidRDefault="00C637AA" w:rsidP="00E966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333333"/>
                <w:sz w:val="20"/>
                <w:szCs w:val="20"/>
              </w:rPr>
            </w:pPr>
            <w:r w:rsidRPr="00E96662">
              <w:rPr>
                <w:rFonts w:cstheme="minorHAnsi"/>
                <w:color w:val="333333"/>
                <w:sz w:val="20"/>
                <w:szCs w:val="20"/>
              </w:rPr>
              <w:t xml:space="preserve">Fetal Bleed Screen </w:t>
            </w:r>
          </w:p>
          <w:p w:rsidR="00C637AA" w:rsidRPr="00E96662" w:rsidRDefault="00C637AA" w:rsidP="00E9666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96662">
              <w:rPr>
                <w:rFonts w:cstheme="minorHAnsi"/>
                <w:color w:val="333333"/>
                <w:sz w:val="20"/>
                <w:szCs w:val="20"/>
              </w:rPr>
              <w:t>Hemoglobin S</w:t>
            </w:r>
          </w:p>
        </w:tc>
      </w:tr>
      <w:tr w:rsidR="00C637AA" w:rsidRPr="00C0676E" w:rsidTr="00C0676E">
        <w:tc>
          <w:tcPr>
            <w:tcW w:w="1795" w:type="dxa"/>
          </w:tcPr>
          <w:p w:rsidR="00C637AA" w:rsidRPr="00160843" w:rsidRDefault="00C637AA" w:rsidP="00C637AA">
            <w:pPr>
              <w:rPr>
                <w:rFonts w:cstheme="minorHAnsi"/>
                <w:b/>
                <w:sz w:val="20"/>
                <w:szCs w:val="20"/>
              </w:rPr>
            </w:pPr>
            <w:r w:rsidRPr="00160843">
              <w:rPr>
                <w:rFonts w:cstheme="minorHAnsi"/>
                <w:b/>
                <w:sz w:val="20"/>
                <w:szCs w:val="20"/>
              </w:rPr>
              <w:t>How will we do this task?</w:t>
            </w:r>
          </w:p>
        </w:tc>
        <w:tc>
          <w:tcPr>
            <w:tcW w:w="7555" w:type="dxa"/>
          </w:tcPr>
          <w:p w:rsidR="00C637AA" w:rsidRPr="00C0676E" w:rsidRDefault="00C637AA" w:rsidP="00C637AA">
            <w:pPr>
              <w:rPr>
                <w:rFonts w:cstheme="minorHAnsi"/>
                <w:sz w:val="20"/>
                <w:szCs w:val="20"/>
              </w:rPr>
            </w:pPr>
            <w:r w:rsidRPr="00C0676E">
              <w:rPr>
                <w:rFonts w:cstheme="minorHAnsi"/>
                <w:sz w:val="20"/>
                <w:szCs w:val="20"/>
              </w:rPr>
              <w:t>Follow SOP</w:t>
            </w:r>
          </w:p>
          <w:p w:rsidR="00C637AA" w:rsidRDefault="00C637AA" w:rsidP="00C637AA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Pr="00C0676E">
                <w:rPr>
                  <w:rStyle w:val="Hyperlink"/>
                  <w:rFonts w:cstheme="minorHAnsi"/>
                  <w:sz w:val="20"/>
                  <w:szCs w:val="20"/>
                </w:rPr>
                <w:t>https://iuhealth-pathlab.policystat.co</w:t>
              </w:r>
              <w:r w:rsidRPr="00C0676E">
                <w:rPr>
                  <w:rStyle w:val="Hyperlink"/>
                  <w:rFonts w:cstheme="minorHAnsi"/>
                  <w:sz w:val="20"/>
                  <w:szCs w:val="20"/>
                </w:rPr>
                <w:t>m</w:t>
              </w:r>
              <w:r w:rsidRPr="00C0676E">
                <w:rPr>
                  <w:rStyle w:val="Hyperlink"/>
                  <w:rFonts w:cstheme="minorHAnsi"/>
                  <w:sz w:val="20"/>
                  <w:szCs w:val="20"/>
                </w:rPr>
                <w:t>/policy/4904320/latest/</w:t>
              </w:r>
            </w:hyperlink>
            <w:r w:rsidRPr="00C0676E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160843" w:rsidRPr="00C0676E" w:rsidRDefault="00160843" w:rsidP="00C637A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37AA" w:rsidRPr="00C0676E" w:rsidTr="00C0676E">
        <w:tc>
          <w:tcPr>
            <w:tcW w:w="1795" w:type="dxa"/>
          </w:tcPr>
          <w:p w:rsidR="00C637AA" w:rsidRPr="00160843" w:rsidRDefault="00C637AA" w:rsidP="00C637AA">
            <w:pPr>
              <w:rPr>
                <w:rFonts w:cstheme="minorHAnsi"/>
                <w:b/>
                <w:sz w:val="20"/>
                <w:szCs w:val="20"/>
              </w:rPr>
            </w:pPr>
            <w:r w:rsidRPr="00160843">
              <w:rPr>
                <w:rFonts w:cstheme="minorHAnsi"/>
                <w:b/>
                <w:sz w:val="20"/>
                <w:szCs w:val="20"/>
              </w:rPr>
              <w:t>When do we complete Lot to Lot Comparison?</w:t>
            </w:r>
          </w:p>
        </w:tc>
        <w:tc>
          <w:tcPr>
            <w:tcW w:w="7555" w:type="dxa"/>
          </w:tcPr>
          <w:p w:rsidR="00C637AA" w:rsidRDefault="00C637AA" w:rsidP="00C637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 </w:t>
            </w:r>
            <w:r w:rsidRPr="00160843">
              <w:rPr>
                <w:rFonts w:cstheme="minorHAnsi"/>
                <w:b/>
                <w:sz w:val="20"/>
                <w:szCs w:val="20"/>
              </w:rPr>
              <w:t xml:space="preserve">log </w:t>
            </w:r>
            <w:r>
              <w:rPr>
                <w:rFonts w:cstheme="minorHAnsi"/>
                <w:sz w:val="20"/>
                <w:szCs w:val="20"/>
              </w:rPr>
              <w:t xml:space="preserve">the reagent in per procedure, </w:t>
            </w:r>
            <w:r w:rsidRPr="00160843">
              <w:rPr>
                <w:rFonts w:cstheme="minorHAnsi"/>
                <w:b/>
                <w:sz w:val="20"/>
                <w:szCs w:val="20"/>
              </w:rPr>
              <w:t xml:space="preserve">store </w:t>
            </w:r>
            <w:r>
              <w:rPr>
                <w:rFonts w:cstheme="minorHAnsi"/>
                <w:sz w:val="20"/>
                <w:szCs w:val="20"/>
              </w:rPr>
              <w:t>the new lot in the reagent quarantine</w:t>
            </w:r>
            <w:r w:rsidR="00160843">
              <w:rPr>
                <w:rFonts w:cstheme="minorHAnsi"/>
                <w:sz w:val="20"/>
                <w:szCs w:val="20"/>
              </w:rPr>
              <w:t xml:space="preserve"> with worksheet</w:t>
            </w:r>
            <w:r>
              <w:rPr>
                <w:rFonts w:cstheme="minorHAnsi"/>
                <w:sz w:val="20"/>
                <w:szCs w:val="20"/>
              </w:rPr>
              <w:t xml:space="preserve"> and then </w:t>
            </w:r>
            <w:r w:rsidRPr="00160843">
              <w:rPr>
                <w:rFonts w:cstheme="minorHAnsi"/>
                <w:b/>
                <w:sz w:val="20"/>
                <w:szCs w:val="20"/>
              </w:rPr>
              <w:t>test</w:t>
            </w:r>
            <w:r>
              <w:rPr>
                <w:rFonts w:cstheme="minorHAnsi"/>
                <w:sz w:val="20"/>
                <w:szCs w:val="20"/>
              </w:rPr>
              <w:t xml:space="preserve"> the new lot at the time the current lot is expiring.  </w:t>
            </w:r>
          </w:p>
          <w:p w:rsidR="00E96662" w:rsidRDefault="00E96662" w:rsidP="00C637AA">
            <w:pPr>
              <w:rPr>
                <w:rFonts w:cstheme="minorHAnsi"/>
                <w:sz w:val="20"/>
                <w:szCs w:val="20"/>
              </w:rPr>
            </w:pPr>
          </w:p>
          <w:p w:rsidR="00E96662" w:rsidRPr="00C637AA" w:rsidRDefault="00E96662" w:rsidP="00004D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449580" cy="449580"/>
                  <wp:effectExtent l="0" t="0" r="7620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eremybennett_sticky_note_pad_and_pencil_clip_art_9441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4D51">
              <w:rPr>
                <w:rFonts w:cstheme="minorHAnsi"/>
                <w:b/>
                <w:szCs w:val="20"/>
              </w:rPr>
              <w:t xml:space="preserve">A reminder to complete this Lot to Lot Comparison will be placed on the Reagent Log in Page for Fetal Bleed Screen and Hemoglobin S </w:t>
            </w:r>
            <w:r w:rsidRPr="00E96662">
              <w:rPr>
                <w:rFonts w:cstheme="minorHAnsi"/>
                <w:szCs w:val="20"/>
              </w:rPr>
              <w:t xml:space="preserve"> </w:t>
            </w:r>
          </w:p>
        </w:tc>
      </w:tr>
      <w:tr w:rsidR="00C637AA" w:rsidRPr="00C0676E" w:rsidTr="00C0676E">
        <w:tc>
          <w:tcPr>
            <w:tcW w:w="1795" w:type="dxa"/>
          </w:tcPr>
          <w:p w:rsidR="00C637AA" w:rsidRPr="00160843" w:rsidRDefault="00C637AA" w:rsidP="00C637AA">
            <w:pPr>
              <w:rPr>
                <w:rFonts w:cstheme="minorHAnsi"/>
                <w:b/>
                <w:sz w:val="20"/>
                <w:szCs w:val="20"/>
              </w:rPr>
            </w:pPr>
            <w:r w:rsidRPr="00160843">
              <w:rPr>
                <w:rFonts w:cstheme="minorHAnsi"/>
                <w:b/>
                <w:sz w:val="20"/>
                <w:szCs w:val="20"/>
              </w:rPr>
              <w:t>How do we complete this comparison</w:t>
            </w:r>
          </w:p>
          <w:p w:rsidR="00160843" w:rsidRPr="00160843" w:rsidRDefault="00160843" w:rsidP="00C637AA">
            <w:pPr>
              <w:rPr>
                <w:rFonts w:cstheme="minorHAnsi"/>
                <w:b/>
                <w:sz w:val="20"/>
                <w:szCs w:val="20"/>
              </w:rPr>
            </w:pPr>
          </w:p>
          <w:p w:rsidR="00160843" w:rsidRPr="00160843" w:rsidRDefault="00160843" w:rsidP="00C637A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160843">
              <w:rPr>
                <w:rFonts w:cstheme="minorHAnsi"/>
                <w:b/>
                <w:i/>
                <w:sz w:val="20"/>
                <w:szCs w:val="20"/>
              </w:rPr>
              <w:t>This is a summary of the SOP for training purposes</w:t>
            </w:r>
          </w:p>
          <w:p w:rsidR="00160843" w:rsidRPr="00160843" w:rsidRDefault="00160843" w:rsidP="00C637AA">
            <w:pPr>
              <w:rPr>
                <w:rFonts w:cstheme="minorHAnsi"/>
                <w:b/>
                <w:sz w:val="20"/>
                <w:szCs w:val="20"/>
              </w:rPr>
            </w:pPr>
          </w:p>
          <w:p w:rsidR="00160843" w:rsidRPr="00160843" w:rsidRDefault="00160843" w:rsidP="00C637AA">
            <w:pPr>
              <w:rPr>
                <w:rFonts w:cstheme="minorHAnsi"/>
                <w:b/>
                <w:sz w:val="20"/>
                <w:szCs w:val="20"/>
              </w:rPr>
            </w:pPr>
            <w:r w:rsidRPr="00160843">
              <w:rPr>
                <w:rFonts w:cstheme="minorHAnsi"/>
                <w:b/>
                <w:sz w:val="20"/>
                <w:szCs w:val="20"/>
                <w:highlight w:val="yellow"/>
              </w:rPr>
              <w:t>Follow the SOP steps</w:t>
            </w:r>
          </w:p>
          <w:p w:rsidR="00C637AA" w:rsidRPr="00160843" w:rsidRDefault="00C637AA" w:rsidP="00C637A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555" w:type="dxa"/>
          </w:tcPr>
          <w:p w:rsidR="00160843" w:rsidRDefault="00C637AA" w:rsidP="00C637AA">
            <w:pPr>
              <w:numPr>
                <w:ilvl w:val="0"/>
                <w:numId w:val="5"/>
              </w:numPr>
              <w:spacing w:before="120" w:after="100" w:afterAutospacing="1" w:line="300" w:lineRule="atLeast"/>
              <w:ind w:left="342" w:hanging="270"/>
              <w:rPr>
                <w:rFonts w:cstheme="minorHAnsi"/>
                <w:color w:val="333333"/>
                <w:sz w:val="20"/>
                <w:szCs w:val="20"/>
              </w:rPr>
            </w:pPr>
            <w:r w:rsidRPr="00160843">
              <w:rPr>
                <w:rFonts w:cstheme="minorHAnsi"/>
                <w:color w:val="333333"/>
                <w:sz w:val="20"/>
                <w:szCs w:val="20"/>
              </w:rPr>
              <w:t xml:space="preserve">Receive new lots/shipments of FMH </w:t>
            </w:r>
            <w:proofErr w:type="spellStart"/>
            <w:r w:rsidRPr="00160843">
              <w:rPr>
                <w:rFonts w:cstheme="minorHAnsi"/>
                <w:color w:val="333333"/>
                <w:sz w:val="20"/>
                <w:szCs w:val="20"/>
              </w:rPr>
              <w:t>RapidScreen</w:t>
            </w:r>
            <w:proofErr w:type="spellEnd"/>
            <w:r w:rsidRPr="00160843">
              <w:rPr>
                <w:rFonts w:cstheme="minorHAnsi"/>
                <w:color w:val="333333"/>
                <w:sz w:val="20"/>
                <w:szCs w:val="20"/>
              </w:rPr>
              <w:t xml:space="preserve"> a</w:t>
            </w:r>
            <w:r w:rsidR="00160843">
              <w:rPr>
                <w:rFonts w:cstheme="minorHAnsi"/>
                <w:color w:val="333333"/>
                <w:sz w:val="20"/>
                <w:szCs w:val="20"/>
              </w:rPr>
              <w:t xml:space="preserve">nd </w:t>
            </w:r>
            <w:proofErr w:type="spellStart"/>
            <w:r w:rsidR="00160843">
              <w:rPr>
                <w:rFonts w:cstheme="minorHAnsi"/>
                <w:color w:val="333333"/>
                <w:sz w:val="20"/>
                <w:szCs w:val="20"/>
              </w:rPr>
              <w:t>Sickledex</w:t>
            </w:r>
            <w:proofErr w:type="spellEnd"/>
            <w:r w:rsidR="00160843">
              <w:rPr>
                <w:rFonts w:cstheme="minorHAnsi"/>
                <w:color w:val="333333"/>
                <w:sz w:val="20"/>
                <w:szCs w:val="20"/>
              </w:rPr>
              <w:t xml:space="preserve"> reagents</w:t>
            </w:r>
          </w:p>
          <w:p w:rsidR="00004D51" w:rsidRPr="0079099E" w:rsidRDefault="00C637AA" w:rsidP="00C94538">
            <w:pPr>
              <w:numPr>
                <w:ilvl w:val="0"/>
                <w:numId w:val="7"/>
              </w:numPr>
              <w:spacing w:before="120" w:after="100" w:afterAutospacing="1" w:line="300" w:lineRule="atLeast"/>
              <w:rPr>
                <w:rFonts w:cstheme="minorHAnsi"/>
                <w:color w:val="333333"/>
                <w:sz w:val="20"/>
                <w:szCs w:val="20"/>
              </w:rPr>
            </w:pPr>
            <w:r w:rsidRPr="0079099E">
              <w:rPr>
                <w:rFonts w:cstheme="minorHAnsi"/>
                <w:color w:val="333333"/>
                <w:sz w:val="20"/>
                <w:szCs w:val="20"/>
                <w:u w:val="single"/>
              </w:rPr>
              <w:t xml:space="preserve">Do not mark </w:t>
            </w:r>
            <w:r w:rsidR="00004D51" w:rsidRPr="0079099E">
              <w:rPr>
                <w:rFonts w:cstheme="minorHAnsi"/>
                <w:color w:val="333333"/>
                <w:sz w:val="20"/>
                <w:szCs w:val="20"/>
              </w:rPr>
              <w:t>these reagents as "Okay to Use”</w:t>
            </w:r>
          </w:p>
          <w:p w:rsidR="0079099E" w:rsidRDefault="00C637AA" w:rsidP="00C94538">
            <w:pPr>
              <w:numPr>
                <w:ilvl w:val="0"/>
                <w:numId w:val="7"/>
              </w:numPr>
              <w:spacing w:before="120" w:after="100" w:afterAutospacing="1" w:line="300" w:lineRule="atLeast"/>
              <w:rPr>
                <w:rFonts w:cstheme="minorHAnsi"/>
                <w:color w:val="333333"/>
                <w:sz w:val="20"/>
                <w:szCs w:val="20"/>
              </w:rPr>
            </w:pPr>
            <w:r w:rsidRPr="00004D51">
              <w:rPr>
                <w:rFonts w:cstheme="minorHAnsi"/>
                <w:color w:val="333333"/>
                <w:sz w:val="20"/>
                <w:szCs w:val="20"/>
              </w:rPr>
              <w:t xml:space="preserve">Start the Lot-to-Lot Comparison Worksheet.  </w:t>
            </w:r>
          </w:p>
          <w:p w:rsidR="00C637AA" w:rsidRPr="00004D51" w:rsidRDefault="00C637AA" w:rsidP="00C94538">
            <w:pPr>
              <w:numPr>
                <w:ilvl w:val="0"/>
                <w:numId w:val="7"/>
              </w:numPr>
              <w:spacing w:before="120" w:after="100" w:afterAutospacing="1" w:line="300" w:lineRule="atLeast"/>
              <w:rPr>
                <w:rFonts w:cstheme="minorHAnsi"/>
                <w:color w:val="333333"/>
                <w:sz w:val="20"/>
                <w:szCs w:val="20"/>
              </w:rPr>
            </w:pPr>
            <w:r w:rsidRPr="00004D51">
              <w:rPr>
                <w:rFonts w:cstheme="minorHAnsi"/>
                <w:color w:val="333333"/>
                <w:sz w:val="20"/>
                <w:szCs w:val="20"/>
              </w:rPr>
              <w:t xml:space="preserve">Place the form and the new lot of reagent in the </w:t>
            </w:r>
            <w:r w:rsidR="00160843" w:rsidRPr="00004D51">
              <w:rPr>
                <w:rFonts w:cstheme="minorHAnsi"/>
                <w:color w:val="333333"/>
                <w:sz w:val="20"/>
                <w:szCs w:val="20"/>
              </w:rPr>
              <w:t>r</w:t>
            </w:r>
            <w:r w:rsidRPr="00004D51">
              <w:rPr>
                <w:rFonts w:cstheme="minorHAnsi"/>
                <w:color w:val="333333"/>
                <w:sz w:val="20"/>
                <w:szCs w:val="20"/>
              </w:rPr>
              <w:t xml:space="preserve">eagent quarantine location.  </w:t>
            </w:r>
          </w:p>
          <w:p w:rsidR="00160843" w:rsidRDefault="00C637AA" w:rsidP="00C637AA">
            <w:pPr>
              <w:numPr>
                <w:ilvl w:val="0"/>
                <w:numId w:val="5"/>
              </w:numPr>
              <w:spacing w:before="120" w:after="100" w:afterAutospacing="1" w:line="300" w:lineRule="atLeast"/>
              <w:ind w:left="342" w:hanging="270"/>
              <w:rPr>
                <w:rFonts w:cstheme="minorHAnsi"/>
                <w:color w:val="333333"/>
                <w:sz w:val="20"/>
                <w:szCs w:val="20"/>
              </w:rPr>
            </w:pPr>
            <w:r w:rsidRPr="00160843">
              <w:rPr>
                <w:rFonts w:cstheme="minorHAnsi"/>
                <w:color w:val="333333"/>
                <w:sz w:val="20"/>
                <w:szCs w:val="20"/>
              </w:rPr>
              <w:t xml:space="preserve">When the current lot is expiring, </w:t>
            </w:r>
            <w:r w:rsidR="0079099E" w:rsidRPr="00DC7340">
              <w:rPr>
                <w:rFonts w:cstheme="minorHAnsi"/>
                <w:i/>
                <w:color w:val="333333"/>
                <w:sz w:val="20"/>
                <w:szCs w:val="20"/>
                <w:u w:val="single"/>
              </w:rPr>
              <w:t>or at a</w:t>
            </w:r>
            <w:r w:rsidR="00DC7340">
              <w:rPr>
                <w:rFonts w:cstheme="minorHAnsi"/>
                <w:i/>
                <w:color w:val="333333"/>
                <w:sz w:val="20"/>
                <w:szCs w:val="20"/>
                <w:u w:val="single"/>
              </w:rPr>
              <w:t>ny</w:t>
            </w:r>
            <w:r w:rsidR="0079099E" w:rsidRPr="00DC7340">
              <w:rPr>
                <w:rFonts w:cstheme="minorHAnsi"/>
                <w:i/>
                <w:color w:val="333333"/>
                <w:sz w:val="20"/>
                <w:szCs w:val="20"/>
                <w:u w:val="single"/>
              </w:rPr>
              <w:t xml:space="preserve"> time before put into use</w:t>
            </w:r>
            <w:r w:rsidR="0079099E">
              <w:rPr>
                <w:rFonts w:cstheme="minorHAnsi"/>
                <w:color w:val="333333"/>
                <w:sz w:val="20"/>
                <w:szCs w:val="20"/>
              </w:rPr>
              <w:t xml:space="preserve">, </w:t>
            </w:r>
            <w:r w:rsidRPr="00160843">
              <w:rPr>
                <w:rFonts w:cstheme="minorHAnsi"/>
                <w:color w:val="333333"/>
                <w:sz w:val="20"/>
                <w:szCs w:val="20"/>
              </w:rPr>
              <w:t>then obtain the new lot of reagent with the Lot</w:t>
            </w:r>
            <w:r w:rsidR="00DC7340">
              <w:rPr>
                <w:rFonts w:cstheme="minorHAnsi"/>
                <w:color w:val="333333"/>
                <w:sz w:val="20"/>
                <w:szCs w:val="20"/>
              </w:rPr>
              <w:t>-</w:t>
            </w:r>
            <w:r w:rsidRPr="00160843">
              <w:rPr>
                <w:rFonts w:cstheme="minorHAnsi"/>
                <w:color w:val="333333"/>
                <w:sz w:val="20"/>
                <w:szCs w:val="20"/>
              </w:rPr>
              <w:t>to</w:t>
            </w:r>
            <w:r w:rsidR="00DC7340">
              <w:rPr>
                <w:rFonts w:cstheme="minorHAnsi"/>
                <w:color w:val="333333"/>
                <w:sz w:val="20"/>
                <w:szCs w:val="20"/>
              </w:rPr>
              <w:t>-</w:t>
            </w:r>
            <w:r w:rsidRPr="00160843">
              <w:rPr>
                <w:rFonts w:cstheme="minorHAnsi"/>
                <w:color w:val="333333"/>
                <w:sz w:val="20"/>
                <w:szCs w:val="20"/>
              </w:rPr>
              <w:t>Lot Comparison Worksheet</w:t>
            </w:r>
            <w:r w:rsidR="00004D51">
              <w:rPr>
                <w:rFonts w:cstheme="minorHAnsi"/>
                <w:color w:val="333333"/>
                <w:sz w:val="20"/>
                <w:szCs w:val="20"/>
              </w:rPr>
              <w:t xml:space="preserve"> from the reagent quarantine location.  </w:t>
            </w:r>
          </w:p>
          <w:p w:rsidR="00160843" w:rsidRDefault="00C637AA" w:rsidP="007C27C3">
            <w:pPr>
              <w:numPr>
                <w:ilvl w:val="0"/>
                <w:numId w:val="5"/>
              </w:numPr>
              <w:spacing w:before="120" w:after="100" w:afterAutospacing="1" w:line="300" w:lineRule="atLeast"/>
              <w:ind w:left="342" w:hanging="270"/>
              <w:rPr>
                <w:rFonts w:cstheme="minorHAnsi"/>
                <w:color w:val="333333"/>
                <w:sz w:val="20"/>
                <w:szCs w:val="20"/>
              </w:rPr>
            </w:pPr>
            <w:r w:rsidRPr="00160843">
              <w:rPr>
                <w:rFonts w:cstheme="minorHAnsi"/>
                <w:color w:val="333333"/>
                <w:sz w:val="20"/>
                <w:szCs w:val="20"/>
              </w:rPr>
              <w:t xml:space="preserve">Perform Quality Control testing following the SOP/package insert for the test system </w:t>
            </w:r>
            <w:r w:rsidRPr="00160843">
              <w:rPr>
                <w:rFonts w:cstheme="minorHAnsi"/>
                <w:i/>
                <w:color w:val="333333"/>
                <w:sz w:val="20"/>
                <w:szCs w:val="20"/>
              </w:rPr>
              <w:t>with this modification</w:t>
            </w:r>
            <w:r w:rsidRPr="00160843">
              <w:rPr>
                <w:rFonts w:cstheme="minorHAnsi"/>
                <w:color w:val="333333"/>
                <w:sz w:val="20"/>
                <w:szCs w:val="20"/>
              </w:rPr>
              <w:t xml:space="preserve">:  </w:t>
            </w:r>
          </w:p>
          <w:p w:rsidR="00160843" w:rsidRDefault="00C637AA" w:rsidP="00C94538">
            <w:pPr>
              <w:numPr>
                <w:ilvl w:val="0"/>
                <w:numId w:val="9"/>
              </w:numPr>
              <w:spacing w:before="120" w:after="100" w:afterAutospacing="1" w:line="300" w:lineRule="atLeast"/>
              <w:rPr>
                <w:rFonts w:cstheme="minorHAnsi"/>
                <w:color w:val="333333"/>
                <w:sz w:val="20"/>
                <w:szCs w:val="20"/>
              </w:rPr>
            </w:pPr>
            <w:r w:rsidRPr="00160843">
              <w:rPr>
                <w:rFonts w:cstheme="minorHAnsi"/>
                <w:color w:val="333333"/>
                <w:sz w:val="20"/>
                <w:szCs w:val="20"/>
              </w:rPr>
              <w:t xml:space="preserve">Test the new lot of reagent and the CURRENT QC material.  </w:t>
            </w:r>
          </w:p>
          <w:p w:rsidR="00C94538" w:rsidRPr="00C94538" w:rsidRDefault="00C637AA" w:rsidP="00C94538">
            <w:pPr>
              <w:numPr>
                <w:ilvl w:val="0"/>
                <w:numId w:val="9"/>
              </w:numPr>
              <w:spacing w:before="120" w:after="100" w:afterAutospacing="1" w:line="300" w:lineRule="atLeast"/>
              <w:ind w:right="240"/>
              <w:rPr>
                <w:rFonts w:cstheme="minorHAnsi"/>
                <w:sz w:val="20"/>
                <w:szCs w:val="20"/>
              </w:rPr>
            </w:pPr>
            <w:r w:rsidRPr="00C94538">
              <w:rPr>
                <w:rFonts w:cstheme="minorHAnsi"/>
                <w:color w:val="333333"/>
                <w:sz w:val="20"/>
                <w:szCs w:val="20"/>
              </w:rPr>
              <w:t xml:space="preserve">The QC material </w:t>
            </w:r>
            <w:r w:rsidRPr="00C94538">
              <w:rPr>
                <w:rFonts w:cstheme="minorHAnsi"/>
                <w:color w:val="333333"/>
                <w:sz w:val="20"/>
                <w:szCs w:val="20"/>
                <w:u w:val="single"/>
              </w:rPr>
              <w:t>must</w:t>
            </w:r>
            <w:r w:rsidRPr="00C94538">
              <w:rPr>
                <w:rFonts w:cstheme="minorHAnsi"/>
                <w:color w:val="333333"/>
                <w:sz w:val="20"/>
                <w:szCs w:val="20"/>
              </w:rPr>
              <w:t xml:space="preserve"> co</w:t>
            </w:r>
            <w:r w:rsidR="00160843" w:rsidRPr="00C94538">
              <w:rPr>
                <w:rFonts w:cstheme="minorHAnsi"/>
                <w:color w:val="333333"/>
                <w:sz w:val="20"/>
                <w:szCs w:val="20"/>
              </w:rPr>
              <w:t xml:space="preserve">me from the current lot-in- use rather than the corresponding new lot of QC material.  </w:t>
            </w:r>
            <w:r w:rsidRPr="00C94538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  <w:p w:rsidR="00C94538" w:rsidRPr="00C94538" w:rsidRDefault="00C637AA" w:rsidP="00C94538">
            <w:pPr>
              <w:numPr>
                <w:ilvl w:val="0"/>
                <w:numId w:val="9"/>
              </w:numPr>
              <w:spacing w:before="120" w:after="100" w:afterAutospacing="1" w:line="300" w:lineRule="atLeast"/>
              <w:ind w:right="240"/>
              <w:rPr>
                <w:rFonts w:cstheme="minorHAnsi"/>
                <w:sz w:val="20"/>
                <w:szCs w:val="20"/>
              </w:rPr>
            </w:pPr>
            <w:r w:rsidRPr="00C94538">
              <w:rPr>
                <w:rFonts w:cstheme="minorHAnsi"/>
                <w:color w:val="333333"/>
                <w:sz w:val="20"/>
                <w:szCs w:val="20"/>
              </w:rPr>
              <w:t xml:space="preserve">Document the </w:t>
            </w:r>
            <w:r w:rsidR="00160843" w:rsidRPr="00C94538">
              <w:rPr>
                <w:rFonts w:cstheme="minorHAnsi"/>
                <w:color w:val="333333"/>
                <w:sz w:val="20"/>
                <w:szCs w:val="20"/>
              </w:rPr>
              <w:t xml:space="preserve">current </w:t>
            </w:r>
            <w:r w:rsidRPr="00C94538">
              <w:rPr>
                <w:rFonts w:cstheme="minorHAnsi"/>
                <w:color w:val="333333"/>
                <w:sz w:val="20"/>
                <w:szCs w:val="20"/>
              </w:rPr>
              <w:t xml:space="preserve">lot number of QC material on the </w:t>
            </w:r>
            <w:r w:rsidR="00004D51" w:rsidRPr="00C94538">
              <w:rPr>
                <w:rFonts w:cstheme="minorHAnsi"/>
                <w:color w:val="333333"/>
                <w:sz w:val="20"/>
                <w:szCs w:val="20"/>
              </w:rPr>
              <w:t>Lot</w:t>
            </w:r>
            <w:r w:rsidR="00DC7340" w:rsidRPr="00C94538">
              <w:rPr>
                <w:rFonts w:cstheme="minorHAnsi"/>
                <w:color w:val="333333"/>
                <w:sz w:val="20"/>
                <w:szCs w:val="20"/>
              </w:rPr>
              <w:t>-</w:t>
            </w:r>
            <w:r w:rsidR="00004D51" w:rsidRPr="00C94538">
              <w:rPr>
                <w:rFonts w:cstheme="minorHAnsi"/>
                <w:color w:val="333333"/>
                <w:sz w:val="20"/>
                <w:szCs w:val="20"/>
              </w:rPr>
              <w:t>to</w:t>
            </w:r>
            <w:r w:rsidR="00DC7340" w:rsidRPr="00C94538">
              <w:rPr>
                <w:rFonts w:cstheme="minorHAnsi"/>
                <w:color w:val="333333"/>
                <w:sz w:val="20"/>
                <w:szCs w:val="20"/>
              </w:rPr>
              <w:t>-</w:t>
            </w:r>
            <w:r w:rsidR="00004D51" w:rsidRPr="00C94538">
              <w:rPr>
                <w:rFonts w:cstheme="minorHAnsi"/>
                <w:color w:val="333333"/>
                <w:sz w:val="20"/>
                <w:szCs w:val="20"/>
              </w:rPr>
              <w:t xml:space="preserve">Lot </w:t>
            </w:r>
            <w:r w:rsidRPr="00C94538">
              <w:rPr>
                <w:rFonts w:cstheme="minorHAnsi"/>
                <w:color w:val="333333"/>
                <w:sz w:val="20"/>
                <w:szCs w:val="20"/>
              </w:rPr>
              <w:t xml:space="preserve">worksheet.  </w:t>
            </w:r>
          </w:p>
          <w:p w:rsidR="00C94538" w:rsidRPr="00C94538" w:rsidRDefault="00C637AA" w:rsidP="00C94538">
            <w:pPr>
              <w:numPr>
                <w:ilvl w:val="0"/>
                <w:numId w:val="9"/>
              </w:numPr>
              <w:spacing w:before="120" w:after="100" w:afterAutospacing="1" w:line="300" w:lineRule="atLeast"/>
              <w:ind w:right="240"/>
              <w:rPr>
                <w:rFonts w:cstheme="minorHAnsi"/>
                <w:sz w:val="20"/>
                <w:szCs w:val="20"/>
              </w:rPr>
            </w:pPr>
            <w:r w:rsidRPr="00C94538">
              <w:rPr>
                <w:rFonts w:cstheme="minorHAnsi"/>
                <w:color w:val="333333"/>
                <w:sz w:val="20"/>
                <w:szCs w:val="20"/>
              </w:rPr>
              <w:t xml:space="preserve">Document QC results and </w:t>
            </w:r>
            <w:r w:rsidR="0079099E" w:rsidRPr="00C94538">
              <w:rPr>
                <w:rFonts w:cstheme="minorHAnsi"/>
                <w:color w:val="333333"/>
                <w:sz w:val="20"/>
                <w:szCs w:val="20"/>
              </w:rPr>
              <w:t>interpretation</w:t>
            </w:r>
            <w:r w:rsidRPr="00C94538">
              <w:rPr>
                <w:rFonts w:cstheme="minorHAnsi"/>
                <w:color w:val="333333"/>
                <w:sz w:val="20"/>
                <w:szCs w:val="20"/>
              </w:rPr>
              <w:t xml:space="preserve"> on Lot to Lot Worksheet.  </w:t>
            </w:r>
          </w:p>
          <w:p w:rsidR="0079099E" w:rsidRPr="00C94538" w:rsidRDefault="0079099E" w:rsidP="00C94538">
            <w:pPr>
              <w:numPr>
                <w:ilvl w:val="0"/>
                <w:numId w:val="9"/>
              </w:numPr>
              <w:spacing w:before="120" w:after="100" w:afterAutospacing="1" w:line="300" w:lineRule="atLeast"/>
              <w:ind w:right="240"/>
              <w:rPr>
                <w:rFonts w:cstheme="minorHAnsi"/>
                <w:sz w:val="20"/>
                <w:szCs w:val="20"/>
              </w:rPr>
            </w:pPr>
            <w:r w:rsidRPr="00C94538">
              <w:rPr>
                <w:rFonts w:cstheme="minorHAnsi"/>
                <w:color w:val="333333"/>
                <w:sz w:val="20"/>
                <w:szCs w:val="20"/>
              </w:rPr>
              <w:t>If the results were valid, then t</w:t>
            </w:r>
            <w:r w:rsidR="00004D51" w:rsidRPr="00C94538">
              <w:rPr>
                <w:rFonts w:cstheme="minorHAnsi"/>
                <w:color w:val="333333"/>
                <w:sz w:val="20"/>
                <w:szCs w:val="20"/>
              </w:rPr>
              <w:t>he new lot of reagent is</w:t>
            </w:r>
            <w:r w:rsidRPr="00C94538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  <w:r w:rsidR="00004D51" w:rsidRPr="00C94538">
              <w:rPr>
                <w:rFonts w:cstheme="minorHAnsi"/>
                <w:color w:val="333333"/>
                <w:sz w:val="20"/>
                <w:szCs w:val="20"/>
              </w:rPr>
              <w:t xml:space="preserve">acceptable for use.  </w:t>
            </w:r>
          </w:p>
          <w:p w:rsidR="00160843" w:rsidRDefault="00004D51" w:rsidP="00DC7340">
            <w:pPr>
              <w:numPr>
                <w:ilvl w:val="0"/>
                <w:numId w:val="5"/>
              </w:numPr>
              <w:spacing w:before="120" w:after="100" w:afterAutospacing="1" w:line="300" w:lineRule="atLeast"/>
              <w:ind w:left="342" w:hanging="270"/>
              <w:rPr>
                <w:rFonts w:cstheme="minorHAnsi"/>
                <w:color w:val="333333"/>
                <w:sz w:val="20"/>
                <w:szCs w:val="20"/>
              </w:rPr>
            </w:pPr>
            <w:r>
              <w:rPr>
                <w:rFonts w:cstheme="minorHAnsi"/>
                <w:color w:val="333333"/>
                <w:sz w:val="20"/>
                <w:szCs w:val="20"/>
              </w:rPr>
              <w:t>Forward the Lot</w:t>
            </w:r>
            <w:r w:rsidR="00DC7340">
              <w:rPr>
                <w:rFonts w:cstheme="minorHAnsi"/>
                <w:color w:val="333333"/>
                <w:sz w:val="20"/>
                <w:szCs w:val="20"/>
              </w:rPr>
              <w:t>-</w:t>
            </w:r>
            <w:r>
              <w:rPr>
                <w:rFonts w:cstheme="minorHAnsi"/>
                <w:color w:val="333333"/>
                <w:sz w:val="20"/>
                <w:szCs w:val="20"/>
              </w:rPr>
              <w:t>to</w:t>
            </w:r>
            <w:r w:rsidR="00DC7340">
              <w:rPr>
                <w:rFonts w:cstheme="minorHAnsi"/>
                <w:color w:val="333333"/>
                <w:sz w:val="20"/>
                <w:szCs w:val="20"/>
              </w:rPr>
              <w:t>-</w:t>
            </w:r>
            <w:r>
              <w:rPr>
                <w:rFonts w:cstheme="minorHAnsi"/>
                <w:color w:val="333333"/>
                <w:sz w:val="20"/>
                <w:szCs w:val="20"/>
              </w:rPr>
              <w:t>Lot Worksheet</w:t>
            </w:r>
            <w:r w:rsidR="00C637AA" w:rsidRPr="00C0676E">
              <w:rPr>
                <w:rFonts w:cstheme="minorHAnsi"/>
                <w:color w:val="333333"/>
                <w:sz w:val="20"/>
                <w:szCs w:val="20"/>
              </w:rPr>
              <w:t xml:space="preserve"> to a supervisor for review and retention.</w:t>
            </w:r>
          </w:p>
          <w:p w:rsidR="00C94538" w:rsidRPr="00C94538" w:rsidRDefault="00C94538" w:rsidP="00C94538">
            <w:pPr>
              <w:numPr>
                <w:ilvl w:val="0"/>
                <w:numId w:val="5"/>
              </w:numPr>
              <w:spacing w:before="120" w:after="100" w:afterAutospacing="1" w:line="300" w:lineRule="atLeast"/>
              <w:ind w:left="342" w:right="240" w:hanging="270"/>
              <w:rPr>
                <w:rFonts w:cstheme="minorHAnsi"/>
                <w:sz w:val="20"/>
                <w:szCs w:val="20"/>
              </w:rPr>
            </w:pPr>
            <w:r w:rsidRPr="0079099E">
              <w:rPr>
                <w:rFonts w:cstheme="minorHAnsi"/>
                <w:color w:val="333333"/>
                <w:sz w:val="20"/>
                <w:szCs w:val="20"/>
              </w:rPr>
              <w:t>When lot-to-lot comparison is complete and acceptable, document in the Remarks column of the</w:t>
            </w:r>
            <w:hyperlink r:id="rId9" w:tgtFrame="_blank" w:history="1">
              <w:r w:rsidRPr="0079099E">
                <w:rPr>
                  <w:rFonts w:cstheme="minorHAnsi"/>
                  <w:color w:val="3966B0"/>
                  <w:sz w:val="20"/>
                  <w:szCs w:val="20"/>
                  <w:u w:val="single"/>
                </w:rPr>
                <w:t xml:space="preserve"> Reagent Receiving Log </w:t>
              </w:r>
            </w:hyperlink>
            <w:r w:rsidRPr="0079099E">
              <w:rPr>
                <w:rFonts w:cstheme="minorHAnsi"/>
                <w:color w:val="333333"/>
                <w:sz w:val="20"/>
                <w:szCs w:val="20"/>
              </w:rPr>
              <w:t xml:space="preserve">that the lot is </w:t>
            </w:r>
            <w:r w:rsidRPr="0079099E">
              <w:rPr>
                <w:rStyle w:val="Strong"/>
                <w:rFonts w:cstheme="minorHAnsi"/>
                <w:color w:val="333333"/>
                <w:sz w:val="20"/>
                <w:szCs w:val="20"/>
              </w:rPr>
              <w:t xml:space="preserve">OK to use.  </w:t>
            </w:r>
          </w:p>
        </w:tc>
      </w:tr>
    </w:tbl>
    <w:p w:rsidR="00D81351" w:rsidRDefault="00D81351"/>
    <w:sectPr w:rsidR="00D81351" w:rsidSect="00284F00">
      <w:headerReference w:type="default" r:id="rId10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351" w:rsidRDefault="00D81351" w:rsidP="00D81351">
      <w:pPr>
        <w:spacing w:after="0" w:line="240" w:lineRule="auto"/>
      </w:pPr>
      <w:r>
        <w:separator/>
      </w:r>
    </w:p>
  </w:endnote>
  <w:endnote w:type="continuationSeparator" w:id="0">
    <w:p w:rsidR="00D81351" w:rsidRDefault="00D81351" w:rsidP="00D8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351" w:rsidRDefault="00D81351" w:rsidP="00D81351">
      <w:pPr>
        <w:spacing w:after="0" w:line="240" w:lineRule="auto"/>
      </w:pPr>
      <w:r>
        <w:separator/>
      </w:r>
    </w:p>
  </w:footnote>
  <w:footnote w:type="continuationSeparator" w:id="0">
    <w:p w:rsidR="00D81351" w:rsidRDefault="00D81351" w:rsidP="00D8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51" w:rsidRDefault="00D81351">
    <w:pPr>
      <w:pStyle w:val="Header"/>
    </w:pPr>
    <w:r>
      <w:t>Lot to Lot Comparison</w:t>
    </w:r>
    <w:r w:rsidR="00160843">
      <w:t xml:space="preserve"> Training Document</w:t>
    </w:r>
  </w:p>
  <w:p w:rsidR="00D81351" w:rsidRDefault="00D81351">
    <w:pPr>
      <w:pStyle w:val="Header"/>
    </w:pPr>
    <w:r>
      <w:t>December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AC4"/>
    <w:multiLevelType w:val="multilevel"/>
    <w:tmpl w:val="506E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F602C"/>
    <w:multiLevelType w:val="hybridMultilevel"/>
    <w:tmpl w:val="786A1F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F5947"/>
    <w:multiLevelType w:val="hybridMultilevel"/>
    <w:tmpl w:val="79B82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63D8C"/>
    <w:multiLevelType w:val="hybridMultilevel"/>
    <w:tmpl w:val="A67697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32A3E"/>
    <w:multiLevelType w:val="hybridMultilevel"/>
    <w:tmpl w:val="7AE2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2761B"/>
    <w:multiLevelType w:val="hybridMultilevel"/>
    <w:tmpl w:val="88D2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44362"/>
    <w:multiLevelType w:val="hybridMultilevel"/>
    <w:tmpl w:val="A5E2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71709"/>
    <w:multiLevelType w:val="hybridMultilevel"/>
    <w:tmpl w:val="D694A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464CD"/>
    <w:multiLevelType w:val="hybridMultilevel"/>
    <w:tmpl w:val="CA4A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51"/>
    <w:rsid w:val="00004D51"/>
    <w:rsid w:val="00160843"/>
    <w:rsid w:val="001C7DF7"/>
    <w:rsid w:val="00284F00"/>
    <w:rsid w:val="005262CC"/>
    <w:rsid w:val="00600783"/>
    <w:rsid w:val="0079099E"/>
    <w:rsid w:val="00B213DA"/>
    <w:rsid w:val="00C0676E"/>
    <w:rsid w:val="00C11B70"/>
    <w:rsid w:val="00C637AA"/>
    <w:rsid w:val="00C94538"/>
    <w:rsid w:val="00D81351"/>
    <w:rsid w:val="00DC7340"/>
    <w:rsid w:val="00E9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5DF5"/>
  <w15:chartTrackingRefBased/>
  <w15:docId w15:val="{014950AB-769D-4F2D-BE99-10B0EA8B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351"/>
  </w:style>
  <w:style w:type="paragraph" w:styleId="Footer">
    <w:name w:val="footer"/>
    <w:basedOn w:val="Normal"/>
    <w:link w:val="FooterChar"/>
    <w:uiPriority w:val="99"/>
    <w:unhideWhenUsed/>
    <w:rsid w:val="00D81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351"/>
  </w:style>
  <w:style w:type="table" w:styleId="TableGrid">
    <w:name w:val="Table Grid"/>
    <w:basedOn w:val="TableNormal"/>
    <w:uiPriority w:val="39"/>
    <w:rsid w:val="00D81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6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76E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0676E"/>
    <w:rPr>
      <w:i/>
      <w:iCs/>
    </w:rPr>
  </w:style>
  <w:style w:type="character" w:styleId="Strong">
    <w:name w:val="Strong"/>
    <w:basedOn w:val="DefaultParagraphFont"/>
    <w:uiPriority w:val="22"/>
    <w:qFormat/>
    <w:rsid w:val="00C0676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966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70036">
          <w:marLeft w:val="150"/>
          <w:marRight w:val="15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single" w:sz="6" w:space="12" w:color="999999"/>
                <w:right w:val="single" w:sz="6" w:space="0" w:color="999999"/>
              </w:divBdr>
              <w:divsChild>
                <w:div w:id="20472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3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647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4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0094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uhealth-pathlab.policystat.com/policy/4904320/lates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uhealth-pathlab.policystat.com/policy/4186854/lat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 Health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Slayten, Jay K</dc:creator>
  <cp:keywords/>
  <dc:description/>
  <cp:lastModifiedBy>Slayten, Jay K</cp:lastModifiedBy>
  <cp:revision>3</cp:revision>
  <dcterms:created xsi:type="dcterms:W3CDTF">2018-12-27T14:59:00Z</dcterms:created>
  <dcterms:modified xsi:type="dcterms:W3CDTF">2018-12-29T02:40:00Z</dcterms:modified>
</cp:coreProperties>
</file>